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40"/>
      </w:pPr>
      <w:r>
        <w:rPr>
          <w:rFonts w:ascii="Times New Roman" w:hAnsi="Times New Roman" w:cs="Times New Roman" w:eastAsia="宋体"/>
          <w:b/>
          <w:i w:val="0"/>
          <w:sz w:val="22"/>
        </w:rPr>
        <w:t>Table 4. Source compatibility and joint analysis exclusions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000000"/>
          <w:left w:val="nil"/>
          <w:bottom w:val="single" w:sz="10" w:color="000000"/>
          <w:right w:val="nil"/>
          <w:insideH w:val="nil"/>
          <w:insideV w:val="nil"/>
        </w:tblBorders>
      </w:tblPr>
      <w:tblGrid>
        <w:gridCol w:w="1728"/>
        <w:gridCol w:w="4003"/>
        <w:gridCol w:w="3989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Program</w:t>
            </w:r>
          </w:p>
        </w:tc>
        <w:tc>
          <w:tcPr>
            <w:tcW w:type="dxa" w:w="4003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Observed source issue</w:t>
            </w:r>
          </w:p>
        </w:tc>
        <w:tc>
          <w:tcPr>
            <w:tcW w:type="dxa" w:w="3989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single" w:sz="10" w:color="000000"/>
              <w:left w:val="nil"/>
              <w:bottom w:val="single" w:sz="6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Disposition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ASPECT-cUTI</w:t>
            </w:r>
          </w:p>
        </w:tc>
        <w:tc>
          <w:tcPr>
            <w:tcW w:type="dxa" w:w="4003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Historical companion ID resolves to the canonical record; pooled results; separate clinical/micro counts not posted.</w:t>
            </w:r>
          </w:p>
        </w:tc>
        <w:tc>
          <w:tcPr>
            <w:tcW w:type="dxa" w:w="3989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Count pooled composite once; no joint reconstruction.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RECAPTURE</w:t>
            </w:r>
          </w:p>
        </w:tc>
        <w:tc>
          <w:tcPr>
            <w:tcW w:type="dxa" w:w="4003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Two canonical records repeat pooled results; patient-reported composite differs from investigator clinical cure.</w:t>
            </w:r>
          </w:p>
        </w:tc>
        <w:tc>
          <w:tcPr>
            <w:tcW w:type="dxa" w:w="3989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Deduplicate; separate marginals only.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TANGO-I</w:t>
            </w:r>
          </w:p>
        </w:tc>
        <w:tc>
          <w:tcPr>
            <w:tcW w:type="dxa" w:w="4003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TOC composite exceeds posted microbial successes; mMITT title and ME wording conflict.</w:t>
            </w:r>
          </w:p>
        </w:tc>
        <w:tc>
          <w:tcPr>
            <w:tcW w:type="dxa" w:w="3989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No feasible verified joint table; keep source outcomes separate.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Zidebactam pivotal</w:t>
            </w:r>
          </w:p>
        </w:tc>
        <w:tc>
          <w:tcPr>
            <w:tcW w:type="dxa" w:w="4003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Clinical endpoint description includes the microbiological requirement despite different reported counts.</w:t>
            </w:r>
          </w:p>
        </w:tc>
        <w:tc>
          <w:tcPr>
            <w:tcW w:type="dxa" w:w="3989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Retain reported marginals; exclude strict joint analysis pending clarification.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EPIC</w:t>
            </w:r>
          </w:p>
        </w:tc>
        <w:tc>
          <w:tcPr>
            <w:tcW w:type="dxa" w:w="4003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Composite results posted without the separate matched clinical and microbial marginals.</w:t>
            </w:r>
          </w:p>
        </w:tc>
        <w:tc>
          <w:tcPr>
            <w:tcW w:type="dxa" w:w="3989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Composite analysis only.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SURE-2</w:t>
            </w:r>
          </w:p>
        </w:tc>
        <w:tc>
          <w:tcPr>
            <w:tcW w:type="dxa" w:w="4003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Composite and microbial results posted; separate clinical result absent.</w:t>
            </w:r>
          </w:p>
        </w:tc>
        <w:tc>
          <w:tcPr>
            <w:tcW w:type="dxa" w:w="3989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Composite analysis retained, including unfavorable estimate.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IGNITE-2 and IGNITE-3</w:t>
            </w:r>
          </w:p>
        </w:tc>
        <w:tc>
          <w:tcPr>
            <w:tcW w:type="dxa" w:w="4003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Different or unavailable component denominators and outcome populations.</w:t>
            </w:r>
          </w:p>
        </w:tc>
        <w:tc>
          <w:tcPr>
            <w:tcW w:type="dxa" w:w="3989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Composite analysis retained; no joint reconstruction.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ALLIUM</w:t>
            </w:r>
          </w:p>
        </w:tc>
        <w:tc>
          <w:tcPr>
            <w:tcW w:type="dxa" w:w="4003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No numerical registry results at the snapshot date.</w:t>
            </w:r>
          </w:p>
        </w:tc>
        <w:tc>
          <w:tcPr>
            <w:tcW w:type="dxa" w:w="3989"/>
            <w:vAlign w:val="center"/>
            <w:tcMar>
              <w:top w:w="35" w:type="dxa"/>
              <w:bottom w:w="35" w:type="dxa"/>
              <w:left w:w="70" w:type="dxa"/>
              <w:right w:w="70" w:type="dxa"/>
            </w:tcMar>
            <w:tcBorders>
              <w:top w:val="nil"/>
              <w:left w:val="nil"/>
              <w:bottom w:val="single" w:sz="10" w:color="000000"/>
              <w:right w:val="nil"/>
              <w:insideH w:val="nil"/>
              <w:insideV w:val="nil"/>
            </w:tcBorders>
          </w:tcPr>
          <w:p>
            <w:pPr>
              <w:keepNext/>
              <w:widowControl/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FDA exact-count extension only.</w:t>
            </w:r>
          </w:p>
        </w:tc>
      </w:tr>
    </w:tbl>
    <w:p>
      <w:pPr>
        <w:widowControl/>
        <w:spacing w:before="100" w:after="0" w:line="240" w:lineRule="auto"/>
      </w:pPr>
      <w:r>
        <w:rPr>
          <w:rFonts w:ascii="Times New Roman" w:hAnsi="Times New Roman" w:cs="Times New Roman" w:eastAsia="宋体"/>
          <w:b w:val="0"/>
          <w:i/>
          <w:sz w:val="19"/>
        </w:rPr>
        <w:t>An endpoint compatibility exclusion is not a declaration of treatment inefficacy, misconduct or source error. Each source remains available for inspection in the raw data package.</w:t>
      </w:r>
    </w:p>
    <w:sectPr w:rsidR="00FC693F" w:rsidRPr="0006063C" w:rsidSect="00034616">
      <w:footerReference w:type="default" r:id="rId9"/>
      <w:pgSz w:w="11906" w:h="16838"/>
      <w:pgMar w:top="864" w:right="864" w:bottom="864" w:left="86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i w:val="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Scientific three-line tables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