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140"/>
      </w:pPr>
      <w:r>
        <w:rPr>
          <w:rFonts w:ascii="Times New Roman" w:hAnsi="Times New Roman" w:cs="Times New Roman" w:eastAsia="宋体"/>
          <w:b/>
          <w:i w:val="0"/>
          <w:sz w:val="22"/>
        </w:rPr>
        <w:t>Table 5. Covariance aware paired endpoint contrasts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color="000000"/>
          <w:left w:val="nil"/>
          <w:bottom w:val="single" w:sz="10" w:color="000000"/>
          <w:right w:val="nil"/>
          <w:insideH w:val="nil"/>
          <w:insideV w:val="nil"/>
        </w:tblBorders>
      </w:tblPr>
      <w:tblGrid>
        <w:gridCol w:w="2952"/>
        <w:gridCol w:w="1224"/>
        <w:gridCol w:w="2592"/>
        <w:gridCol w:w="1584"/>
        <w:gridCol w:w="1368"/>
      </w:tblGrid>
      <w:tr>
        <w:trPr>
          <w:cantSplit/>
          <w:tblHeader/>
        </w:trPr>
        <w:tc>
          <w:tcPr>
            <w:tcW w:type="dxa" w:w="295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/>
                <w:i w:val="0"/>
                <w:sz w:val="22"/>
              </w:rPr>
              <w:t>Contrast</w:t>
            </w:r>
          </w:p>
        </w:tc>
        <w:tc>
          <w:tcPr>
            <w:tcW w:type="dxa" w:w="122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/>
                <w:i w:val="0"/>
                <w:sz w:val="22"/>
              </w:rPr>
              <w:t>D in pp</w:t>
            </w:r>
          </w:p>
        </w:tc>
        <w:tc>
          <w:tcPr>
            <w:tcW w:type="dxa" w:w="259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/>
                <w:i w:val="0"/>
                <w:sz w:val="22"/>
              </w:rPr>
              <w:t>95% CI</w:t>
            </w:r>
          </w:p>
        </w:tc>
        <w:tc>
          <w:tcPr>
            <w:tcW w:type="dxa" w:w="158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2"/>
              </w:rPr>
              <w:t>Exploratory P</w:t>
            </w:r>
          </w:p>
        </w:tc>
        <w:tc>
          <w:tcPr>
            <w:tcW w:type="dxa" w:w="1368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2"/>
              </w:rPr>
              <w:t>BH adjusted P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ZEUS</w:t>
            </w:r>
          </w:p>
        </w:tc>
        <w:tc>
          <w:tcPr>
            <w:tcW w:type="dxa" w:w="122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10.39</w:t>
            </w:r>
          </w:p>
        </w:tc>
        <w:tc>
          <w:tcPr>
            <w:tcW w:type="dxa" w:w="259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0.38 to 20.41</w:t>
            </w:r>
          </w:p>
        </w:tc>
        <w:tc>
          <w:tcPr>
            <w:tcW w:type="dxa" w:w="158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0.0420</w:t>
            </w:r>
          </w:p>
        </w:tc>
        <w:tc>
          <w:tcPr>
            <w:tcW w:type="dxa" w:w="1368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0.1259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CERTAIN-1</w:t>
            </w:r>
          </w:p>
        </w:tc>
        <w:tc>
          <w:tcPr>
            <w:tcW w:type="dxa" w:w="122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7.18</w:t>
            </w:r>
          </w:p>
        </w:tc>
        <w:tc>
          <w:tcPr>
            <w:tcW w:type="dxa" w:w="259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-3.19 to 17.55</w:t>
            </w:r>
          </w:p>
        </w:tc>
        <w:tc>
          <w:tcPr>
            <w:tcW w:type="dxa" w:w="158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0.1750</w:t>
            </w:r>
          </w:p>
        </w:tc>
        <w:tc>
          <w:tcPr>
            <w:tcW w:type="dxa" w:w="1368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0.3499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ADAPT-PO</w:t>
            </w:r>
          </w:p>
        </w:tc>
        <w:tc>
          <w:tcPr>
            <w:tcW w:type="dxa" w:w="122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-3.56</w:t>
            </w:r>
          </w:p>
        </w:tc>
        <w:tc>
          <w:tcPr>
            <w:tcW w:type="dxa" w:w="259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-10.12 to 3.00</w:t>
            </w:r>
          </w:p>
        </w:tc>
        <w:tc>
          <w:tcPr>
            <w:tcW w:type="dxa" w:w="158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0.2876</w:t>
            </w:r>
          </w:p>
        </w:tc>
        <w:tc>
          <w:tcPr>
            <w:tcW w:type="dxa" w:w="1368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0.4087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PIVOT-PO</w:t>
            </w:r>
          </w:p>
        </w:tc>
        <w:tc>
          <w:tcPr>
            <w:tcW w:type="dxa" w:w="122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0.77</w:t>
            </w:r>
          </w:p>
        </w:tc>
        <w:tc>
          <w:tcPr>
            <w:tcW w:type="dxa" w:w="259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-5.68 to 7.23</w:t>
            </w:r>
          </w:p>
        </w:tc>
        <w:tc>
          <w:tcPr>
            <w:tcW w:type="dxa" w:w="158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0.8150</w:t>
            </w:r>
          </w:p>
        </w:tc>
        <w:tc>
          <w:tcPr>
            <w:tcW w:type="dxa" w:w="1368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0.8150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INTEGRAL-1 FEP/NAC</w:t>
            </w:r>
          </w:p>
        </w:tc>
        <w:tc>
          <w:tcPr>
            <w:tcW w:type="dxa" w:w="122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18.67</w:t>
            </w:r>
          </w:p>
        </w:tc>
        <w:tc>
          <w:tcPr>
            <w:tcW w:type="dxa" w:w="259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8.21 to 29.13</w:t>
            </w:r>
          </w:p>
        </w:tc>
        <w:tc>
          <w:tcPr>
            <w:tcW w:type="dxa" w:w="158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0.0005</w:t>
            </w:r>
          </w:p>
        </w:tc>
        <w:tc>
          <w:tcPr>
            <w:tcW w:type="dxa" w:w="1368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0.0028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INTEGRAL-1 ATM/NAC</w:t>
            </w:r>
          </w:p>
        </w:tc>
        <w:tc>
          <w:tcPr>
            <w:tcW w:type="dxa" w:w="122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5.95</w:t>
            </w:r>
          </w:p>
        </w:tc>
        <w:tc>
          <w:tcPr>
            <w:tcW w:type="dxa" w:w="259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-6.29 to 18.19</w:t>
            </w:r>
          </w:p>
        </w:tc>
        <w:tc>
          <w:tcPr>
            <w:tcW w:type="dxa" w:w="158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0.3405</w:t>
            </w:r>
          </w:p>
        </w:tc>
        <w:tc>
          <w:tcPr>
            <w:tcW w:type="dxa" w:w="1368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0.4087</w:t>
            </w:r>
          </w:p>
        </w:tc>
      </w:tr>
    </w:tbl>
    <w:p>
      <w:pPr>
        <w:widowControl/>
        <w:spacing w:before="100" w:after="0" w:line="240" w:lineRule="auto"/>
      </w:pPr>
      <w:r>
        <w:rPr>
          <w:rFonts w:ascii="Times New Roman" w:hAnsi="Times New Roman" w:cs="Times New Roman" w:eastAsia="宋体"/>
          <w:b w:val="0"/>
          <w:i/>
          <w:sz w:val="19"/>
        </w:rPr>
        <w:t>D = microbiological treatment benefit minus clinical treatment benefit. Intervals use matched joint classifications. P values are exploratory and were not used for inclusion. BH adjustment covers six primary contrasts; shared-control dependence remains explicit.</w:t>
      </w:r>
    </w:p>
    <w:sectPr w:rsidR="00FC693F" w:rsidRPr="0006063C" w:rsidSect="00034616">
      <w:footerReference w:type="default" r:id="rId9"/>
      <w:pgSz w:w="11906" w:h="16838"/>
      <w:pgMar w:top="864" w:right="864" w:bottom="864" w:left="864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宋体"/>
        <w:b w:val="0"/>
        <w:i w:val="0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Scientific three-line tables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