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40"/>
      </w:pPr>
      <w:r>
        <w:rPr>
          <w:rFonts w:ascii="Times New Roman" w:hAnsi="Times New Roman" w:cs="Times New Roman" w:eastAsia="宋体"/>
          <w:b/>
          <w:i w:val="0"/>
          <w:sz w:val="22"/>
        </w:rPr>
        <w:t>Table 6. Exploratory program level synthesis and sensitivity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2664"/>
        <w:gridCol w:w="1656"/>
        <w:gridCol w:w="3600"/>
        <w:gridCol w:w="1800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Analysis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Programs k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Mean D in pp (95% CI)</w:t>
            </w:r>
          </w:p>
        </w:tc>
        <w:tc>
          <w:tcPr>
            <w:tcW w:type="dxa" w:w="18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I²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Registry exact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5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4.95 (-4.27 to 14.18)</w:t>
            </w:r>
          </w:p>
        </w:tc>
        <w:tc>
          <w:tcPr>
            <w:tcW w:type="dxa" w:w="18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65.8%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Add derived phase 2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6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6.45 (-1.73 to 14.63)</w:t>
            </w:r>
          </w:p>
        </w:tc>
        <w:tc>
          <w:tcPr>
            <w:tcW w:type="dxa" w:w="18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68.5%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Add FDA ALLIUM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6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6.76 (-1.49 to 15.01)</w:t>
            </w:r>
          </w:p>
        </w:tc>
        <w:tc>
          <w:tcPr>
            <w:tcW w:type="dxa" w:w="18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73.8%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Both extensions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7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7.73 (0.48 to 14.99)</w:t>
            </w:r>
          </w:p>
        </w:tc>
        <w:tc>
          <w:tcPr>
            <w:tcW w:type="dxa" w:w="18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72.5%</w:t>
            </w:r>
          </w:p>
        </w:tc>
      </w:tr>
    </w:tbl>
    <w:p>
      <w:pPr>
        <w:widowControl/>
        <w:spacing w:before="100" w:after="0" w:line="240" w:lineRule="auto"/>
      </w:pPr>
      <w:r>
        <w:rPr>
          <w:rFonts w:ascii="Times New Roman" w:hAnsi="Times New Roman" w:cs="Times New Roman" w:eastAsia="宋体"/>
          <w:b w:val="0"/>
          <w:i/>
          <w:sz w:val="19"/>
        </w:rPr>
        <w:t>REML with modified Hartung–Knapp intervals. Active nacubactam arms are combined before synthesis. The strict registry result is the primary evidence tier; extensions retain their designated sensitivity status.</w:t>
      </w:r>
    </w:p>
    <w:sectPr w:rsidR="00FC693F" w:rsidRPr="0006063C" w:rsidSect="00034616">
      <w:footerReference w:type="default" r:id="rId9"/>
      <w:pgSz w:w="11906" w:h="16838"/>
      <w:pgMar w:top="864" w:right="864" w:bottom="864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i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three-line tables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