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来特莫韦肾移植论文修订说明</w:t>
      </w:r>
    </w:p>
    <w:p>
      <w:r>
        <w:rPr>
          <w:b w:val="0"/>
        </w:rPr>
        <w:t>依据用户上传的 medical-manuscript-integrated Skill 完成整稿英文修订。源稿：Letermovir_Kidney_Transplant_Manuscript(1).docx。本稿按原有一般医学论文结构编辑；尚未套用具体期刊投稿要求。</w:t>
      </w:r>
    </w:p>
    <w:p>
      <w:pPr>
        <w:pStyle w:val="Heading1"/>
      </w:pPr>
      <w:r>
        <w:t>本次实质性修改</w:t>
      </w:r>
    </w:p>
    <w:p>
      <w:r>
        <w:rPr>
          <w:b w:val="0"/>
        </w:rPr>
        <w:t>• 题目保留研究对象和临床主题；副标题明确 2006–2025 是研究启动时间的筛选窗口，避免误读为连续随访时段。关键词从 6 个减至 5 个。</w:t>
      </w:r>
    </w:p>
    <w:p>
      <w:r>
        <w:rPr>
          <w:b w:val="0"/>
        </w:rPr>
        <w:t>• 摘要重写为 332 个英文词，保留结构式形式、主要效应值及置信区间，补明关键安全性收集窗口。</w:t>
      </w:r>
    </w:p>
    <w:p>
      <w:r>
        <w:rPr>
          <w:b w:val="0"/>
        </w:rPr>
        <w:t>• Discussion 由 19 段、1855 词重组为 3 段、786 词，依次展开主要发现、临床与既往证据背景、外推边界与局限。删除重复自评及反复否认创新/因果/验证的表述，保留影响解释的限制。</w:t>
      </w:r>
    </w:p>
    <w:p>
      <w:r>
        <w:rPr>
          <w:b w:val="0"/>
        </w:rPr>
        <w:t>• Methods 精简流程性叙述，保留研究日期、筛选标准、非劣效界值、调整与未调整分析的区分、Newcombe 区间、分母、失访处理、重建计数与探索性质。</w:t>
      </w:r>
    </w:p>
    <w:p>
      <w:r>
        <w:rPr>
          <w:b w:val="0"/>
        </w:rPr>
        <w:t>• Results 统一百分点表述、规范图表交叉引用，并保留贫血及其他区间跨零结果。日本研究的百分比推导整数统一标为 reconstructed/compatible counts。</w:t>
      </w:r>
    </w:p>
    <w:p>
      <w:r>
        <w:rPr>
          <w:b w:val="0"/>
        </w:rPr>
        <w:t>• Figure 4 用原有四组点估计和置信区间重新绘制：一般不良事件行改为 Any adverse event (source analysis)，删除容易引起误解的统一 week 52 标签。单独保留图源、原始绘图数据和矢量 PDF。Figure 7 图注准确列出 disease-or-treatment 复合终点。</w:t>
      </w:r>
    </w:p>
    <w:p>
      <w:r>
        <w:rPr>
          <w:b w:val="0"/>
        </w:rPr>
        <w:t>• 删除正文中“完整数据包/代码/矢量图已随稿附上”等本次材料无法证实的承诺；数据可用性段改述实际公共来源和处理内容。原始研究中有关快照留存、筛选和提取的陈述仍需作者用真实记录核实。</w:t>
      </w:r>
    </w:p>
    <w:p>
      <w:r>
        <w:rPr>
          <w:b w:val="0"/>
        </w:rPr>
        <w:t>• 正文删除三处次要风险比（白细胞减少、中性粒细胞减少、研究未完成）的叙述，使结果与原 Methods 明确规定的风险差指标一致。相关风险差、原始人数及区间全部保留。原风险比数值和删除理由保留在本说明中。</w:t>
      </w:r>
    </w:p>
    <w:p>
      <w:r>
        <w:rPr>
          <w:b w:val="0"/>
        </w:rPr>
        <w:t>• 原 45 条参考文献保持文字、身份和编号；重组后的引文仍对应原有论点主题。PRISMA 与数据库使用条款仅从 Discussion 撤出，其 Methods 引用继续保留。没有新增或替换文献。</w:t>
      </w:r>
    </w:p>
    <w:p>
      <w:pPr>
        <w:pStyle w:val="Heading1"/>
      </w:pPr>
      <w:r>
        <w:t>关键数值与对象保护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/>
        </w:trPr>
        <w:tc>
          <w:tcPr>
            <w:tcW w:type="dxa" w:w="1800"/>
          </w:tcPr>
          <w:p>
            <w:r>
              <w:rPr>
                <w:b/>
              </w:rPr>
              <w:t>项目</w:t>
            </w:r>
          </w:p>
        </w:tc>
        <w:tc>
          <w:tcPr>
            <w:tcW w:type="dxa" w:w="7704"/>
          </w:tcPr>
          <w:p>
            <w:r>
              <w:rPr>
                <w:b/>
              </w:rPr>
              <w:t>处理与核对结果</w:t>
            </w:r>
          </w:p>
        </w:tc>
      </w:tr>
      <w:tr>
        <w:tc>
          <w:tcPr>
            <w:tcW w:type="dxa" w:w="1800"/>
          </w:tcPr>
          <w:p>
            <w:r>
              <w:t>主要疗效</w:t>
            </w:r>
          </w:p>
        </w:tc>
        <w:tc>
          <w:tcPr>
            <w:tcW w:type="dxa" w:w="7704"/>
          </w:tcPr>
          <w:p>
            <w:r>
              <w:t>−1.4 个百分点；95% CI −6.5 至 3.8；非劣效界值 +10 个百分点。未改为优效或等效结论。</w:t>
            </w:r>
          </w:p>
        </w:tc>
      </w:tr>
      <w:tr>
        <w:tc>
          <w:tcPr>
            <w:tcW w:type="dxa" w:w="1800"/>
          </w:tcPr>
          <w:p>
            <w:r>
              <w:t>分析分母</w:t>
            </w:r>
          </w:p>
        </w:tc>
        <w:tc>
          <w:tcPr>
            <w:tcW w:type="dxa" w:w="7704"/>
          </w:tcPr>
          <w:p>
            <w:r>
              <w:t>随机 301/300；安全性 292/297；疗效 289/297。日本安全性 22、疗效 21（12 D+/R− 与 9 R+）。</w:t>
            </w:r>
          </w:p>
        </w:tc>
      </w:tr>
      <w:tr>
        <w:tc>
          <w:tcPr>
            <w:tcW w:type="dxa" w:w="1800"/>
          </w:tcPr>
          <w:p>
            <w:r>
              <w:t>白细胞/中性粒细胞减少</w:t>
            </w:r>
          </w:p>
        </w:tc>
        <w:tc>
          <w:tcPr>
            <w:tcW w:type="dxa" w:w="7704"/>
          </w:tcPr>
          <w:p>
            <w:r>
              <w:t>35/292 对 105/297，RD −23.37（−29.83 至 −16.65）；7/292 对 50/297，RD −14.44（−19.27 至 −9.89）。</w:t>
            </w:r>
          </w:p>
        </w:tc>
      </w:tr>
      <w:tr>
        <w:tc>
          <w:tcPr>
            <w:tcW w:type="dxa" w:w="1800"/>
          </w:tcPr>
          <w:p>
            <w:r>
              <w:t>被精简的次要 RR</w:t>
            </w:r>
          </w:p>
        </w:tc>
        <w:tc>
          <w:tcPr>
            <w:tcW w:type="dxa" w:w="7704"/>
          </w:tcPr>
          <w:p>
            <w:r>
              <w:t>白细胞减少 0.34（0.24–0.48）；中性粒细胞减少 0.14（0.07–0.31）；研究未完成 1.32（0.87–2.00）。如需恢复，应一并明确 RR 置信区间算法。</w:t>
            </w:r>
          </w:p>
        </w:tc>
      </w:tr>
      <w:tr>
        <w:tc>
          <w:tcPr>
            <w:tcW w:type="dxa" w:w="1800"/>
          </w:tcPr>
          <w:p>
            <w:r>
              <w:t>图表与文献</w:t>
            </w:r>
          </w:p>
        </w:tc>
        <w:tc>
          <w:tcPr>
            <w:tcW w:type="dxa" w:w="7704"/>
          </w:tcPr>
          <w:p>
            <w:r>
              <w:t>7 张可编辑表格逐格及 XML 原样保留；9 个图像对象保留，其中仅 Figure 4 更新。45 条参考文献原文保留，全部仍有正文/图表引用。</w:t>
            </w:r>
          </w:p>
        </w:tc>
      </w:tr>
      <w:tr>
        <w:tc>
          <w:tcPr>
            <w:tcW w:type="dxa" w:w="1800"/>
          </w:tcPr>
          <w:p>
            <w:r>
              <w:t>Word 域与格式</w:t>
            </w:r>
          </w:p>
        </w:tc>
        <w:tc>
          <w:tcPr>
            <w:tcW w:type="dxa" w:w="7704"/>
          </w:tcPr>
          <w:p>
            <w:r>
              <w:t>原稿未含原生 EndNote 引文域；现有静态编号保持。页眉页脚/页码域、其他包对象和页面设置保留；调整图题/表题连排，并用参考文献标题分页替代空段落硬分页以避免空白页。</w:t>
            </w:r>
          </w:p>
        </w:tc>
      </w:tr>
    </w:tbl>
    <w:p>
      <w:pPr>
        <w:pStyle w:val="Heading1"/>
      </w:pPr>
      <w:r>
        <w:t>投稿前需作者核实的事项</w:t>
      </w:r>
    </w:p>
    <w:p>
      <w:r>
        <w:rPr>
          <w:b w:val="0"/>
        </w:rPr>
        <w:t>1. 补齐真实筛选与提取方法：执行人员、交叉检查方式、完整 API 检索式/筛选字段/分页设置，以及所选安全性术语的选择依据及是否为事后选择。本次未补造双人独立筛选或预设分析。</w:t>
      </w:r>
    </w:p>
    <w:p>
      <w:r>
        <w:rPr>
          <w:b w:val="0"/>
        </w:rPr>
        <w:t>2. 提供或核对 2026 年 10 月 16 日原始快照、筛选表、提取单元和原分析代码，并据实际共享方式完善数据与代码可用性。当前仅收到稿件 DOCX，未收到研究数据包。</w:t>
      </w:r>
    </w:p>
    <w:p>
      <w:r>
        <w:rPr>
          <w:b w:val="0"/>
        </w:rPr>
        <w:t>3. 用原始 SAP/注册资料确认一般 AE 给药期及停药后 14 天、后期药物相关严重 AE 至第 52 周的收集规则。本文保留源稿记载的规则；Figure 4 的一般 AE 标签已去除统一 52 周断言。</w:t>
      </w:r>
    </w:p>
    <w:p>
      <w:r>
        <w:rPr>
          <w:b w:val="0"/>
        </w:rPr>
        <w:t>4. 核对引用的 2026 年 FDA/DailyMed 标签版本及适应证年龄/体重边界。源稿表 7 中 ≥12 岁、≥40 kg 的标签信息予以保留，不能视为本次独立验证或成人试验含儿科受试者。</w:t>
      </w:r>
    </w:p>
    <w:p>
      <w:r>
        <w:rPr>
          <w:b w:val="0"/>
        </w:rPr>
        <w:t>5. 确认作者、单位、贡献、基金、利益冲突及本研究所需的机构伦理审查意见。公共汇总数据不等于已取得伦理豁免。本次未代填任何身份或声明。</w:t>
      </w:r>
    </w:p>
    <w:p>
      <w:pPr>
        <w:pStyle w:val="Heading1"/>
      </w:pPr>
      <w:r>
        <w:t>验收范围</w:t>
      </w:r>
    </w:p>
    <w:p>
      <w:r>
        <w:rPr>
          <w:b w:val="0"/>
        </w:rPr>
        <w:t>PASS — 9 组已有风险差及 Newcombe 区间和日本研究已给出的精确区间可按稿内人数/比例复现；这是内部算术核对。</w:t>
      </w:r>
    </w:p>
    <w:p>
      <w:r>
        <w:rPr>
          <w:b w:val="0"/>
        </w:rPr>
        <w:t>PASS — 非劣效方向、界值、疗效/安全性分母、重建计数标识及章节结论一致；7 表、9 图和 45 条文献的身份集合保持。</w:t>
      </w:r>
    </w:p>
    <w:p>
      <w:r>
        <w:rPr>
          <w:b w:val="0"/>
        </w:rPr>
        <w:t>PASS — 修订 DOCX 包结构有效；原稿 SHA-256 不变；非编辑对象保留。</w:t>
      </w:r>
    </w:p>
    <w:p>
      <w:r>
        <w:rPr>
          <w:b w:val="0"/>
        </w:rPr>
        <w:t>NOT VERIFIED — 全部参考文献的真实性、撤稿/更正状态与逐论点全文支持未完成。对核心文献、注册页及标签的公开网页访问均返回 HTTP 403，包括受许可重试；不得将本次内文核对称为外部全文核验。</w:t>
      </w:r>
    </w:p>
    <w:p>
      <w:r>
        <w:rPr>
          <w:b w:val="0"/>
        </w:rPr>
        <w:t>NOT VERIFIED — 原生 EndNote 关联与应用内更新未执行；源稿本身没有原生 EndNote 引文域。本次没有导出文库。</w:t>
      </w:r>
    </w:p>
    <w:p>
      <w:r>
        <w:rPr>
          <w:b w:val="0"/>
        </w:rPr>
        <w:t>PASS — 修订稿全部 18 页均已实际渲染并逐页检查，未见裁切、重叠、缺字、图题分离或意外空白页。跨页表头重复，图表完整。</w:t>
      </w:r>
    </w:p>
    <w:p>
      <w:pPr>
        <w:pStyle w:val="Heading1"/>
      </w:pPr>
      <w:r>
        <w:t>词数口径与核心公开来源</w:t>
      </w:r>
    </w:p>
    <w:p>
      <w:r>
        <w:rPr>
          <w:b w:val="0"/>
        </w:rPr>
        <w:t>摘要 332 词；Discussion 786 词、3 段。计数不含标题、摘要结构标签及数字引文标注；计入数字/统计表达，连字符词按一词计。Discussion 包含其局限内容，不含独立 Conclusion。</w:t>
      </w:r>
    </w:p>
    <w:p>
      <w:r>
        <w:rPr>
          <w:b w:val="0"/>
        </w:rPr>
        <w:t>JAMA pivotal trial: PMID 37279999；DOI 10.1001/jama.2023.9106。</w:t>
      </w:r>
    </w:p>
    <w:p>
      <w:r>
        <w:rPr>
          <w:b w:val="0"/>
        </w:rPr>
        <w:t>Japanese phase 3 study: PMID 38615067；DOI 10.1007/s10157-024-02471-0。</w:t>
      </w:r>
    </w:p>
    <w:p>
      <w:r>
        <w:rPr>
          <w:b w:val="0"/>
        </w:rPr>
        <w:t>ClinicalTrials.gov: https://clinicaltrials.gov/study/NCT03443869；https://clinicaltrials.gov/study/NCT04129398。</w:t>
      </w:r>
    </w:p>
    <w:p>
      <w:r>
        <w:rPr>
          <w:b w:val="0"/>
        </w:rPr>
        <w:t>标签：原稿 Reference 37 中所列 DailyMed PREVYMIS 2026 版本；本次访问未成功。</w:t>
      </w:r>
    </w:p>
    <w:p>
      <w:r>
        <w:rPr>
          <w:b w:val="0"/>
        </w:rPr>
        <w:t>Skill：medical-manuscript-integrated/SKILL.md，及 writing、document-qa、figures-tables、reference-audit 模块。本次按其规则压缩 Discussion、保留研究事实和引文身份，并分别报告内文核对与外部核验状态。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76" w:lineRule="auto"/>
    </w:pPr>
    <w:rPr>
      <w:rFonts w:ascii="Calibri" w:hAnsi="Calibri" w:eastAsia="Noto Sans CJK S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eastAsia="Noto Sans CJK SC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eastAsia="Noto Sans CJK SC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eastAsia="Noto Sans CJK SC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