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5847703"/>
        <w:docPartObj>
          <w:docPartGallery w:val="Cover Pages"/>
          <w:docPartUnique/>
        </w:docPartObj>
      </w:sdtPr>
      <w:sdtContent>
        <w:p w14:paraId="10EE2C32" w14:textId="77777777" w:rsidR="0011350D" w:rsidRDefault="0011350D">
          <w:r>
            <w:rPr>
              <w:noProof/>
            </w:rPr>
            <mc:AlternateContent>
              <mc:Choice Requires="wpg">
                <w:drawing>
                  <wp:anchor distT="0" distB="0" distL="114300" distR="114300" simplePos="0" relativeHeight="251659264" behindDoc="1" locked="0" layoutInCell="1" allowOverlap="1" wp14:anchorId="1C22330A" wp14:editId="670CB4F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28E4A5B" w14:textId="118EF102" w:rsidR="007803C2" w:rsidRDefault="007803C2">
                                      <w:pPr>
                                        <w:pStyle w:val="NoSpacing"/>
                                        <w:rPr>
                                          <w:color w:val="FFFFFF" w:themeColor="background1"/>
                                          <w:sz w:val="32"/>
                                          <w:szCs w:val="32"/>
                                        </w:rPr>
                                      </w:pPr>
                                      <w:r>
                                        <w:rPr>
                                          <w:color w:val="FFFFFF" w:themeColor="background1"/>
                                          <w:sz w:val="32"/>
                                          <w:szCs w:val="32"/>
                                        </w:rPr>
                                        <w:t>HENRY LEE (HHL38)</w:t>
                                      </w:r>
                                    </w:p>
                                  </w:sdtContent>
                                </w:sdt>
                                <w:p w14:paraId="67C761E5" w14:textId="73977444" w:rsidR="007803C2" w:rsidRDefault="007803C2">
                                  <w:pPr>
                                    <w:pStyle w:val="NoSpacing"/>
                                    <w:rPr>
                                      <w:caps/>
                                      <w:color w:val="FFFFFF" w:themeColor="background1"/>
                                    </w:rPr>
                                  </w:pPr>
                                  <w:r>
                                    <w:rPr>
                                      <w:caps/>
                                      <w:color w:val="FFFFFF" w:themeColor="background1"/>
                                    </w:rPr>
                                    <w:t xml:space="preserve">November </w:t>
                                  </w:r>
                                  <w:r w:rsidR="005B0FA2">
                                    <w:rPr>
                                      <w:caps/>
                                      <w:color w:val="FFFFFF" w:themeColor="background1"/>
                                    </w:rPr>
                                    <w:t>26</w:t>
                                  </w:r>
                                  <w:r>
                                    <w:rPr>
                                      <w:caps/>
                                      <w:color w:val="FFFFFF" w:themeColor="background1"/>
                                    </w:rPr>
                                    <w:t>, 2020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9086917" w14:textId="60EA4CCA" w:rsidR="007803C2" w:rsidRPr="00221CBE" w:rsidRDefault="007803C2" w:rsidP="0011350D">
                                      <w:pPr>
                                        <w:pStyle w:val="Title"/>
                                        <w:rPr>
                                          <w:sz w:val="72"/>
                                          <w:szCs w:val="72"/>
                                        </w:rPr>
                                      </w:pPr>
                                      <w:r>
                                        <w:rPr>
                                          <w:sz w:val="72"/>
                                          <w:szCs w:val="72"/>
                                        </w:rPr>
                                        <w:t>Exploring Trading Strategies Using Technical Indicators</w:t>
                                      </w:r>
                                    </w:p>
                                  </w:sdtContent>
                                </w:sdt>
                                <w:sdt>
                                  <w:sdtPr>
                                    <w:rPr>
                                      <w:color w:val="000000"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2B44E35" w14:textId="54EBB8D3" w:rsidR="007803C2" w:rsidRPr="00221CBE" w:rsidRDefault="007803C2">
                                      <w:pPr>
                                        <w:pStyle w:val="NoSpacing"/>
                                        <w:spacing w:before="240"/>
                                        <w:rPr>
                                          <w:color w:val="000000" w:themeColor="text2"/>
                                          <w:sz w:val="28"/>
                                          <w:szCs w:val="28"/>
                                        </w:rPr>
                                      </w:pPr>
                                      <w:r w:rsidRPr="00221CBE">
                                        <w:rPr>
                                          <w:color w:val="000000" w:themeColor="text2"/>
                                          <w:sz w:val="28"/>
                                          <w:szCs w:val="28"/>
                                        </w:rPr>
                                        <w:t>ORIE 525</w:t>
                                      </w:r>
                                      <w:r>
                                        <w:rPr>
                                          <w:color w:val="000000" w:themeColor="text2"/>
                                          <w:sz w:val="28"/>
                                          <w:szCs w:val="28"/>
                                        </w:rPr>
                                        <w:t>2</w:t>
                                      </w:r>
                                      <w:r w:rsidRPr="00221CBE">
                                        <w:rPr>
                                          <w:color w:val="000000" w:themeColor="text2"/>
                                          <w:sz w:val="28"/>
                                          <w:szCs w:val="28"/>
                                        </w:rPr>
                                        <w:t xml:space="preserve"> – </w:t>
                                      </w:r>
                                      <w:r>
                                        <w:rPr>
                                          <w:color w:val="000000" w:themeColor="text2"/>
                                          <w:sz w:val="28"/>
                                          <w:szCs w:val="28"/>
                                        </w:rPr>
                                        <w:t>Quantitative Portfolio Management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22330A"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dd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b2b2b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28E4A5B" w14:textId="118EF102" w:rsidR="007803C2" w:rsidRDefault="007803C2">
                                <w:pPr>
                                  <w:pStyle w:val="NoSpacing"/>
                                  <w:rPr>
                                    <w:color w:val="FFFFFF" w:themeColor="background1"/>
                                    <w:sz w:val="32"/>
                                    <w:szCs w:val="32"/>
                                  </w:rPr>
                                </w:pPr>
                                <w:r>
                                  <w:rPr>
                                    <w:color w:val="FFFFFF" w:themeColor="background1"/>
                                    <w:sz w:val="32"/>
                                    <w:szCs w:val="32"/>
                                  </w:rPr>
                                  <w:t>HENRY LEE (HHL38)</w:t>
                                </w:r>
                              </w:p>
                            </w:sdtContent>
                          </w:sdt>
                          <w:p w14:paraId="67C761E5" w14:textId="73977444" w:rsidR="007803C2" w:rsidRDefault="007803C2">
                            <w:pPr>
                              <w:pStyle w:val="NoSpacing"/>
                              <w:rPr>
                                <w:caps/>
                                <w:color w:val="FFFFFF" w:themeColor="background1"/>
                              </w:rPr>
                            </w:pPr>
                            <w:r>
                              <w:rPr>
                                <w:caps/>
                                <w:color w:val="FFFFFF" w:themeColor="background1"/>
                              </w:rPr>
                              <w:t xml:space="preserve">November </w:t>
                            </w:r>
                            <w:r w:rsidR="005B0FA2">
                              <w:rPr>
                                <w:caps/>
                                <w:color w:val="FFFFFF" w:themeColor="background1"/>
                              </w:rPr>
                              <w:t>26</w:t>
                            </w:r>
                            <w:r>
                              <w:rPr>
                                <w:caps/>
                                <w:color w:val="FFFFFF" w:themeColor="background1"/>
                              </w:rPr>
                              <w:t>, 2020</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9086917" w14:textId="60EA4CCA" w:rsidR="007803C2" w:rsidRPr="00221CBE" w:rsidRDefault="007803C2" w:rsidP="0011350D">
                                <w:pPr>
                                  <w:pStyle w:val="Title"/>
                                  <w:rPr>
                                    <w:sz w:val="72"/>
                                    <w:szCs w:val="72"/>
                                  </w:rPr>
                                </w:pPr>
                                <w:r>
                                  <w:rPr>
                                    <w:sz w:val="72"/>
                                    <w:szCs w:val="72"/>
                                  </w:rPr>
                                  <w:t>Exploring Trading Strategies Using Technical Indicators</w:t>
                                </w:r>
                              </w:p>
                            </w:sdtContent>
                          </w:sdt>
                          <w:sdt>
                            <w:sdtPr>
                              <w:rPr>
                                <w:color w:val="000000"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2B44E35" w14:textId="54EBB8D3" w:rsidR="007803C2" w:rsidRPr="00221CBE" w:rsidRDefault="007803C2">
                                <w:pPr>
                                  <w:pStyle w:val="NoSpacing"/>
                                  <w:spacing w:before="240"/>
                                  <w:rPr>
                                    <w:color w:val="000000" w:themeColor="text2"/>
                                    <w:sz w:val="28"/>
                                    <w:szCs w:val="28"/>
                                  </w:rPr>
                                </w:pPr>
                                <w:r w:rsidRPr="00221CBE">
                                  <w:rPr>
                                    <w:color w:val="000000" w:themeColor="text2"/>
                                    <w:sz w:val="28"/>
                                    <w:szCs w:val="28"/>
                                  </w:rPr>
                                  <w:t>ORIE 525</w:t>
                                </w:r>
                                <w:r>
                                  <w:rPr>
                                    <w:color w:val="000000" w:themeColor="text2"/>
                                    <w:sz w:val="28"/>
                                    <w:szCs w:val="28"/>
                                  </w:rPr>
                                  <w:t>2</w:t>
                                </w:r>
                                <w:r w:rsidRPr="00221CBE">
                                  <w:rPr>
                                    <w:color w:val="000000" w:themeColor="text2"/>
                                    <w:sz w:val="28"/>
                                    <w:szCs w:val="28"/>
                                  </w:rPr>
                                  <w:t xml:space="preserve"> – </w:t>
                                </w:r>
                                <w:r>
                                  <w:rPr>
                                    <w:color w:val="000000" w:themeColor="text2"/>
                                    <w:sz w:val="28"/>
                                    <w:szCs w:val="28"/>
                                  </w:rPr>
                                  <w:t>Quantitative Portfolio Management</w:t>
                                </w:r>
                              </w:p>
                            </w:sdtContent>
                          </w:sdt>
                        </w:txbxContent>
                      </v:textbox>
                    </v:shape>
                    <w10:wrap anchorx="page" anchory="page"/>
                  </v:group>
                </w:pict>
              </mc:Fallback>
            </mc:AlternateContent>
          </w:r>
        </w:p>
        <w:p w14:paraId="34F5D71D" w14:textId="77777777" w:rsidR="00221CBE" w:rsidRDefault="0011350D">
          <w:r>
            <w:br w:type="page"/>
          </w:r>
        </w:p>
        <w:sdt>
          <w:sdtPr>
            <w:rPr>
              <w:rFonts w:asciiTheme="minorHAnsi" w:eastAsiaTheme="minorEastAsia" w:hAnsiTheme="minorHAnsi" w:cstheme="minorBidi"/>
              <w:b w:val="0"/>
              <w:sz w:val="24"/>
              <w:szCs w:val="24"/>
            </w:rPr>
            <w:id w:val="1529222685"/>
            <w:docPartObj>
              <w:docPartGallery w:val="Table of Contents"/>
              <w:docPartUnique/>
            </w:docPartObj>
          </w:sdtPr>
          <w:sdtEndPr>
            <w:rPr>
              <w:bCs/>
              <w:noProof/>
            </w:rPr>
          </w:sdtEndPr>
          <w:sdtContent>
            <w:p w14:paraId="564A54A4" w14:textId="60D3849D" w:rsidR="00221CBE" w:rsidRPr="00221CBE" w:rsidRDefault="00221CBE" w:rsidP="00E33FE6">
              <w:pPr>
                <w:pStyle w:val="TOCHeading"/>
                <w:ind w:firstLine="0"/>
              </w:pPr>
              <w:r w:rsidRPr="00221CBE">
                <w:t>Table of Contents</w:t>
              </w:r>
            </w:p>
            <w:p w14:paraId="689C614B" w14:textId="170C54BA" w:rsidR="002A1058" w:rsidRDefault="00221CBE" w:rsidP="002A1058">
              <w:pPr>
                <w:pStyle w:val="TOC1"/>
                <w:rPr>
                  <w:kern w:val="0"/>
                  <w:sz w:val="22"/>
                  <w:szCs w:val="22"/>
                  <w:lang w:eastAsia="zh-CN"/>
                </w:rPr>
              </w:pPr>
              <w:r>
                <w:fldChar w:fldCharType="begin"/>
              </w:r>
              <w:r>
                <w:instrText xml:space="preserve"> TOC \o "1-3" \h \z \u </w:instrText>
              </w:r>
              <w:r>
                <w:fldChar w:fldCharType="separate"/>
              </w:r>
              <w:hyperlink w:anchor="_Toc57256044" w:history="1">
                <w:r w:rsidR="002A1058" w:rsidRPr="00AA538B">
                  <w:rPr>
                    <w:rStyle w:val="Hyperlink"/>
                  </w:rPr>
                  <w:t>Exploring Trading Strategies Using Technical Indicators</w:t>
                </w:r>
                <w:r w:rsidR="002A1058">
                  <w:rPr>
                    <w:webHidden/>
                  </w:rPr>
                  <w:tab/>
                </w:r>
                <w:r w:rsidR="002A1058">
                  <w:rPr>
                    <w:webHidden/>
                  </w:rPr>
                  <w:fldChar w:fldCharType="begin"/>
                </w:r>
                <w:r w:rsidR="002A1058">
                  <w:rPr>
                    <w:webHidden/>
                  </w:rPr>
                  <w:instrText xml:space="preserve"> PAGEREF _Toc57256044 \h </w:instrText>
                </w:r>
                <w:r w:rsidR="002A1058">
                  <w:rPr>
                    <w:webHidden/>
                  </w:rPr>
                </w:r>
                <w:r w:rsidR="002A1058">
                  <w:rPr>
                    <w:webHidden/>
                  </w:rPr>
                  <w:fldChar w:fldCharType="separate"/>
                </w:r>
                <w:r w:rsidR="00B6504C">
                  <w:rPr>
                    <w:webHidden/>
                  </w:rPr>
                  <w:t>2</w:t>
                </w:r>
                <w:r w:rsidR="002A1058">
                  <w:rPr>
                    <w:webHidden/>
                  </w:rPr>
                  <w:fldChar w:fldCharType="end"/>
                </w:r>
              </w:hyperlink>
            </w:p>
            <w:p w14:paraId="524D5CB3" w14:textId="58C5EEC2" w:rsidR="002A1058" w:rsidRDefault="002A1058" w:rsidP="002A1058">
              <w:pPr>
                <w:pStyle w:val="TOC1"/>
                <w:rPr>
                  <w:kern w:val="0"/>
                  <w:sz w:val="22"/>
                  <w:szCs w:val="22"/>
                  <w:lang w:eastAsia="zh-CN"/>
                </w:rPr>
              </w:pPr>
              <w:hyperlink w:anchor="_Toc57256045" w:history="1">
                <w:r w:rsidRPr="00AA538B">
                  <w:rPr>
                    <w:rStyle w:val="Hyperlink"/>
                  </w:rPr>
                  <w:t>Technical Indicators</w:t>
                </w:r>
                <w:r>
                  <w:rPr>
                    <w:webHidden/>
                  </w:rPr>
                  <w:tab/>
                </w:r>
                <w:r>
                  <w:rPr>
                    <w:webHidden/>
                  </w:rPr>
                  <w:fldChar w:fldCharType="begin"/>
                </w:r>
                <w:r>
                  <w:rPr>
                    <w:webHidden/>
                  </w:rPr>
                  <w:instrText xml:space="preserve"> PAGEREF _Toc57256045 \h </w:instrText>
                </w:r>
                <w:r>
                  <w:rPr>
                    <w:webHidden/>
                  </w:rPr>
                </w:r>
                <w:r>
                  <w:rPr>
                    <w:webHidden/>
                  </w:rPr>
                  <w:fldChar w:fldCharType="separate"/>
                </w:r>
                <w:r w:rsidR="00B6504C">
                  <w:rPr>
                    <w:webHidden/>
                  </w:rPr>
                  <w:t>2</w:t>
                </w:r>
                <w:r>
                  <w:rPr>
                    <w:webHidden/>
                  </w:rPr>
                  <w:fldChar w:fldCharType="end"/>
                </w:r>
              </w:hyperlink>
            </w:p>
            <w:p w14:paraId="7CEA32CA" w14:textId="1ADDD38E" w:rsidR="002A1058" w:rsidRDefault="002A1058" w:rsidP="002A1058">
              <w:pPr>
                <w:pStyle w:val="TOC1"/>
                <w:rPr>
                  <w:kern w:val="0"/>
                  <w:sz w:val="22"/>
                  <w:szCs w:val="22"/>
                  <w:lang w:eastAsia="zh-CN"/>
                </w:rPr>
              </w:pPr>
              <w:hyperlink w:anchor="_Toc57256046" w:history="1">
                <w:r w:rsidRPr="00AA538B">
                  <w:rPr>
                    <w:rStyle w:val="Hyperlink"/>
                  </w:rPr>
                  <w:t>Methodology</w:t>
                </w:r>
                <w:r>
                  <w:rPr>
                    <w:webHidden/>
                  </w:rPr>
                  <w:tab/>
                </w:r>
                <w:r>
                  <w:rPr>
                    <w:webHidden/>
                  </w:rPr>
                  <w:fldChar w:fldCharType="begin"/>
                </w:r>
                <w:r>
                  <w:rPr>
                    <w:webHidden/>
                  </w:rPr>
                  <w:instrText xml:space="preserve"> PAGEREF _Toc57256046 \h </w:instrText>
                </w:r>
                <w:r>
                  <w:rPr>
                    <w:webHidden/>
                  </w:rPr>
                </w:r>
                <w:r>
                  <w:rPr>
                    <w:webHidden/>
                  </w:rPr>
                  <w:fldChar w:fldCharType="separate"/>
                </w:r>
                <w:r w:rsidR="00B6504C">
                  <w:rPr>
                    <w:webHidden/>
                  </w:rPr>
                  <w:t>3</w:t>
                </w:r>
                <w:r>
                  <w:rPr>
                    <w:webHidden/>
                  </w:rPr>
                  <w:fldChar w:fldCharType="end"/>
                </w:r>
              </w:hyperlink>
            </w:p>
            <w:p w14:paraId="3FAB6193" w14:textId="4C392A5F" w:rsidR="002A1058" w:rsidRPr="002A1058" w:rsidRDefault="002A1058">
              <w:pPr>
                <w:pStyle w:val="TOC2"/>
                <w:rPr>
                  <w:b/>
                  <w:bCs/>
                  <w:noProof/>
                  <w:kern w:val="0"/>
                  <w:sz w:val="22"/>
                  <w:szCs w:val="22"/>
                  <w:lang w:eastAsia="zh-CN"/>
                </w:rPr>
              </w:pPr>
              <w:hyperlink w:anchor="_Toc57256047" w:history="1">
                <w:r w:rsidRPr="002A1058">
                  <w:rPr>
                    <w:rStyle w:val="Hyperlink"/>
                    <w:b/>
                    <w:bCs/>
                    <w:noProof/>
                  </w:rPr>
                  <w:t>Data Source</w:t>
                </w:r>
                <w:r w:rsidRPr="002A1058">
                  <w:rPr>
                    <w:b/>
                    <w:bCs/>
                    <w:noProof/>
                    <w:webHidden/>
                  </w:rPr>
                  <w:tab/>
                </w:r>
                <w:r w:rsidRPr="002A1058">
                  <w:rPr>
                    <w:b/>
                    <w:bCs/>
                    <w:noProof/>
                    <w:webHidden/>
                  </w:rPr>
                  <w:fldChar w:fldCharType="begin"/>
                </w:r>
                <w:r w:rsidRPr="002A1058">
                  <w:rPr>
                    <w:b/>
                    <w:bCs/>
                    <w:noProof/>
                    <w:webHidden/>
                  </w:rPr>
                  <w:instrText xml:space="preserve"> PAGEREF _Toc57256047 \h </w:instrText>
                </w:r>
                <w:r w:rsidRPr="002A1058">
                  <w:rPr>
                    <w:b/>
                    <w:bCs/>
                    <w:noProof/>
                    <w:webHidden/>
                  </w:rPr>
                </w:r>
                <w:r w:rsidRPr="002A1058">
                  <w:rPr>
                    <w:b/>
                    <w:bCs/>
                    <w:noProof/>
                    <w:webHidden/>
                  </w:rPr>
                  <w:fldChar w:fldCharType="separate"/>
                </w:r>
                <w:r w:rsidR="00B6504C">
                  <w:rPr>
                    <w:b/>
                    <w:bCs/>
                    <w:noProof/>
                    <w:webHidden/>
                  </w:rPr>
                  <w:t>4</w:t>
                </w:r>
                <w:r w:rsidRPr="002A1058">
                  <w:rPr>
                    <w:b/>
                    <w:bCs/>
                    <w:noProof/>
                    <w:webHidden/>
                  </w:rPr>
                  <w:fldChar w:fldCharType="end"/>
                </w:r>
              </w:hyperlink>
            </w:p>
            <w:p w14:paraId="2CCB1759" w14:textId="5C8F2110" w:rsidR="002A1058" w:rsidRPr="002A1058" w:rsidRDefault="002A1058">
              <w:pPr>
                <w:pStyle w:val="TOC2"/>
                <w:rPr>
                  <w:b/>
                  <w:bCs/>
                  <w:noProof/>
                  <w:kern w:val="0"/>
                  <w:sz w:val="22"/>
                  <w:szCs w:val="22"/>
                  <w:lang w:eastAsia="zh-CN"/>
                </w:rPr>
              </w:pPr>
              <w:hyperlink w:anchor="_Toc57256048" w:history="1">
                <w:r w:rsidRPr="002A1058">
                  <w:rPr>
                    <w:rStyle w:val="Hyperlink"/>
                    <w:b/>
                    <w:bCs/>
                    <w:noProof/>
                  </w:rPr>
                  <w:t>Factor (Technical Indicator) Analysis and Selection</w:t>
                </w:r>
                <w:r w:rsidRPr="002A1058">
                  <w:rPr>
                    <w:b/>
                    <w:bCs/>
                    <w:noProof/>
                    <w:webHidden/>
                  </w:rPr>
                  <w:tab/>
                </w:r>
                <w:r w:rsidRPr="002A1058">
                  <w:rPr>
                    <w:b/>
                    <w:bCs/>
                    <w:noProof/>
                    <w:webHidden/>
                  </w:rPr>
                  <w:fldChar w:fldCharType="begin"/>
                </w:r>
                <w:r w:rsidRPr="002A1058">
                  <w:rPr>
                    <w:b/>
                    <w:bCs/>
                    <w:noProof/>
                    <w:webHidden/>
                  </w:rPr>
                  <w:instrText xml:space="preserve"> PAGEREF _Toc57256048 \h </w:instrText>
                </w:r>
                <w:r w:rsidRPr="002A1058">
                  <w:rPr>
                    <w:b/>
                    <w:bCs/>
                    <w:noProof/>
                    <w:webHidden/>
                  </w:rPr>
                </w:r>
                <w:r w:rsidRPr="002A1058">
                  <w:rPr>
                    <w:b/>
                    <w:bCs/>
                    <w:noProof/>
                    <w:webHidden/>
                  </w:rPr>
                  <w:fldChar w:fldCharType="separate"/>
                </w:r>
                <w:r w:rsidR="00B6504C">
                  <w:rPr>
                    <w:b/>
                    <w:bCs/>
                    <w:noProof/>
                    <w:webHidden/>
                  </w:rPr>
                  <w:t>4</w:t>
                </w:r>
                <w:r w:rsidRPr="002A1058">
                  <w:rPr>
                    <w:b/>
                    <w:bCs/>
                    <w:noProof/>
                    <w:webHidden/>
                  </w:rPr>
                  <w:fldChar w:fldCharType="end"/>
                </w:r>
              </w:hyperlink>
            </w:p>
            <w:p w14:paraId="064B8E19" w14:textId="2D231DAC" w:rsidR="002A1058" w:rsidRPr="002A1058" w:rsidRDefault="002A1058">
              <w:pPr>
                <w:pStyle w:val="TOC3"/>
                <w:tabs>
                  <w:tab w:val="right" w:leader="dot" w:pos="9350"/>
                </w:tabs>
                <w:rPr>
                  <w:b/>
                  <w:bCs/>
                  <w:noProof/>
                  <w:kern w:val="0"/>
                  <w:sz w:val="22"/>
                  <w:szCs w:val="22"/>
                  <w:lang w:eastAsia="zh-CN"/>
                </w:rPr>
              </w:pPr>
              <w:hyperlink w:anchor="_Toc57256049" w:history="1">
                <w:r w:rsidRPr="002A1058">
                  <w:rPr>
                    <w:rStyle w:val="Hyperlink"/>
                    <w:b/>
                    <w:bCs/>
                    <w:noProof/>
                  </w:rPr>
                  <w:t>Factor Correlation Analysis</w:t>
                </w:r>
                <w:r w:rsidRPr="002A1058">
                  <w:rPr>
                    <w:b/>
                    <w:bCs/>
                    <w:noProof/>
                    <w:webHidden/>
                  </w:rPr>
                  <w:tab/>
                </w:r>
                <w:r w:rsidRPr="002A1058">
                  <w:rPr>
                    <w:b/>
                    <w:bCs/>
                    <w:noProof/>
                    <w:webHidden/>
                  </w:rPr>
                  <w:fldChar w:fldCharType="begin"/>
                </w:r>
                <w:r w:rsidRPr="002A1058">
                  <w:rPr>
                    <w:b/>
                    <w:bCs/>
                    <w:noProof/>
                    <w:webHidden/>
                  </w:rPr>
                  <w:instrText xml:space="preserve"> PAGEREF _Toc57256049 \h </w:instrText>
                </w:r>
                <w:r w:rsidRPr="002A1058">
                  <w:rPr>
                    <w:b/>
                    <w:bCs/>
                    <w:noProof/>
                    <w:webHidden/>
                  </w:rPr>
                </w:r>
                <w:r w:rsidRPr="002A1058">
                  <w:rPr>
                    <w:b/>
                    <w:bCs/>
                    <w:noProof/>
                    <w:webHidden/>
                  </w:rPr>
                  <w:fldChar w:fldCharType="separate"/>
                </w:r>
                <w:r w:rsidR="00B6504C">
                  <w:rPr>
                    <w:b/>
                    <w:bCs/>
                    <w:noProof/>
                    <w:webHidden/>
                  </w:rPr>
                  <w:t>5</w:t>
                </w:r>
                <w:r w:rsidRPr="002A1058">
                  <w:rPr>
                    <w:b/>
                    <w:bCs/>
                    <w:noProof/>
                    <w:webHidden/>
                  </w:rPr>
                  <w:fldChar w:fldCharType="end"/>
                </w:r>
              </w:hyperlink>
            </w:p>
            <w:p w14:paraId="1B97039D" w14:textId="331E6F5C" w:rsidR="002A1058" w:rsidRPr="002A1058" w:rsidRDefault="002A1058">
              <w:pPr>
                <w:pStyle w:val="TOC2"/>
                <w:rPr>
                  <w:b/>
                  <w:bCs/>
                  <w:noProof/>
                  <w:kern w:val="0"/>
                  <w:sz w:val="22"/>
                  <w:szCs w:val="22"/>
                  <w:lang w:eastAsia="zh-CN"/>
                </w:rPr>
              </w:pPr>
              <w:hyperlink w:anchor="_Toc57256050" w:history="1">
                <w:r w:rsidRPr="002A1058">
                  <w:rPr>
                    <w:rStyle w:val="Hyperlink"/>
                    <w:b/>
                    <w:bCs/>
                    <w:noProof/>
                  </w:rPr>
                  <w:t>Signal Creation</w:t>
                </w:r>
                <w:r w:rsidRPr="002A1058">
                  <w:rPr>
                    <w:b/>
                    <w:bCs/>
                    <w:noProof/>
                    <w:webHidden/>
                  </w:rPr>
                  <w:tab/>
                </w:r>
                <w:r w:rsidRPr="002A1058">
                  <w:rPr>
                    <w:b/>
                    <w:bCs/>
                    <w:noProof/>
                    <w:webHidden/>
                  </w:rPr>
                  <w:fldChar w:fldCharType="begin"/>
                </w:r>
                <w:r w:rsidRPr="002A1058">
                  <w:rPr>
                    <w:b/>
                    <w:bCs/>
                    <w:noProof/>
                    <w:webHidden/>
                  </w:rPr>
                  <w:instrText xml:space="preserve"> PAGEREF _Toc57256050 \h </w:instrText>
                </w:r>
                <w:r w:rsidRPr="002A1058">
                  <w:rPr>
                    <w:b/>
                    <w:bCs/>
                    <w:noProof/>
                    <w:webHidden/>
                  </w:rPr>
                </w:r>
                <w:r w:rsidRPr="002A1058">
                  <w:rPr>
                    <w:b/>
                    <w:bCs/>
                    <w:noProof/>
                    <w:webHidden/>
                  </w:rPr>
                  <w:fldChar w:fldCharType="separate"/>
                </w:r>
                <w:r w:rsidR="00B6504C">
                  <w:rPr>
                    <w:b/>
                    <w:bCs/>
                    <w:noProof/>
                    <w:webHidden/>
                  </w:rPr>
                  <w:t>9</w:t>
                </w:r>
                <w:r w:rsidRPr="002A1058">
                  <w:rPr>
                    <w:b/>
                    <w:bCs/>
                    <w:noProof/>
                    <w:webHidden/>
                  </w:rPr>
                  <w:fldChar w:fldCharType="end"/>
                </w:r>
              </w:hyperlink>
            </w:p>
            <w:p w14:paraId="0B727029" w14:textId="544134D6" w:rsidR="002A1058" w:rsidRPr="002A1058" w:rsidRDefault="002A1058">
              <w:pPr>
                <w:pStyle w:val="TOC2"/>
                <w:rPr>
                  <w:b/>
                  <w:bCs/>
                  <w:noProof/>
                  <w:kern w:val="0"/>
                  <w:sz w:val="22"/>
                  <w:szCs w:val="22"/>
                  <w:lang w:eastAsia="zh-CN"/>
                </w:rPr>
              </w:pPr>
              <w:hyperlink w:anchor="_Toc57256051" w:history="1">
                <w:r w:rsidRPr="002A1058">
                  <w:rPr>
                    <w:rStyle w:val="Hyperlink"/>
                    <w:b/>
                    <w:bCs/>
                    <w:noProof/>
                  </w:rPr>
                  <w:t>Strategy and Backtesting</w:t>
                </w:r>
                <w:r w:rsidRPr="002A1058">
                  <w:rPr>
                    <w:b/>
                    <w:bCs/>
                    <w:noProof/>
                    <w:webHidden/>
                  </w:rPr>
                  <w:tab/>
                </w:r>
                <w:r w:rsidRPr="002A1058">
                  <w:rPr>
                    <w:b/>
                    <w:bCs/>
                    <w:noProof/>
                    <w:webHidden/>
                  </w:rPr>
                  <w:fldChar w:fldCharType="begin"/>
                </w:r>
                <w:r w:rsidRPr="002A1058">
                  <w:rPr>
                    <w:b/>
                    <w:bCs/>
                    <w:noProof/>
                    <w:webHidden/>
                  </w:rPr>
                  <w:instrText xml:space="preserve"> PAGEREF _Toc57256051 \h </w:instrText>
                </w:r>
                <w:r w:rsidRPr="002A1058">
                  <w:rPr>
                    <w:b/>
                    <w:bCs/>
                    <w:noProof/>
                    <w:webHidden/>
                  </w:rPr>
                </w:r>
                <w:r w:rsidRPr="002A1058">
                  <w:rPr>
                    <w:b/>
                    <w:bCs/>
                    <w:noProof/>
                    <w:webHidden/>
                  </w:rPr>
                  <w:fldChar w:fldCharType="separate"/>
                </w:r>
                <w:r w:rsidR="00B6504C">
                  <w:rPr>
                    <w:b/>
                    <w:bCs/>
                    <w:noProof/>
                    <w:webHidden/>
                  </w:rPr>
                  <w:t>11</w:t>
                </w:r>
                <w:r w:rsidRPr="002A1058">
                  <w:rPr>
                    <w:b/>
                    <w:bCs/>
                    <w:noProof/>
                    <w:webHidden/>
                  </w:rPr>
                  <w:fldChar w:fldCharType="end"/>
                </w:r>
              </w:hyperlink>
            </w:p>
            <w:p w14:paraId="40458B5E" w14:textId="3FE5EB05" w:rsidR="002A1058" w:rsidRPr="002A1058" w:rsidRDefault="002A1058">
              <w:pPr>
                <w:pStyle w:val="TOC3"/>
                <w:tabs>
                  <w:tab w:val="right" w:leader="dot" w:pos="9350"/>
                </w:tabs>
                <w:rPr>
                  <w:b/>
                  <w:bCs/>
                  <w:noProof/>
                  <w:kern w:val="0"/>
                  <w:sz w:val="22"/>
                  <w:szCs w:val="22"/>
                  <w:lang w:eastAsia="zh-CN"/>
                </w:rPr>
              </w:pPr>
              <w:hyperlink w:anchor="_Toc57256052" w:history="1">
                <w:r w:rsidRPr="002A1058">
                  <w:rPr>
                    <w:rStyle w:val="Hyperlink"/>
                    <w:b/>
                    <w:bCs/>
                    <w:noProof/>
                  </w:rPr>
                  <w:t>Transaction Cost Model</w:t>
                </w:r>
                <w:r w:rsidRPr="002A1058">
                  <w:rPr>
                    <w:b/>
                    <w:bCs/>
                    <w:noProof/>
                    <w:webHidden/>
                  </w:rPr>
                  <w:tab/>
                </w:r>
                <w:r w:rsidRPr="002A1058">
                  <w:rPr>
                    <w:b/>
                    <w:bCs/>
                    <w:noProof/>
                    <w:webHidden/>
                  </w:rPr>
                  <w:fldChar w:fldCharType="begin"/>
                </w:r>
                <w:r w:rsidRPr="002A1058">
                  <w:rPr>
                    <w:b/>
                    <w:bCs/>
                    <w:noProof/>
                    <w:webHidden/>
                  </w:rPr>
                  <w:instrText xml:space="preserve"> PAGEREF _Toc57256052 \h </w:instrText>
                </w:r>
                <w:r w:rsidRPr="002A1058">
                  <w:rPr>
                    <w:b/>
                    <w:bCs/>
                    <w:noProof/>
                    <w:webHidden/>
                  </w:rPr>
                </w:r>
                <w:r w:rsidRPr="002A1058">
                  <w:rPr>
                    <w:b/>
                    <w:bCs/>
                    <w:noProof/>
                    <w:webHidden/>
                  </w:rPr>
                  <w:fldChar w:fldCharType="separate"/>
                </w:r>
                <w:r w:rsidR="00B6504C">
                  <w:rPr>
                    <w:b/>
                    <w:bCs/>
                    <w:noProof/>
                    <w:webHidden/>
                  </w:rPr>
                  <w:t>11</w:t>
                </w:r>
                <w:r w:rsidRPr="002A1058">
                  <w:rPr>
                    <w:b/>
                    <w:bCs/>
                    <w:noProof/>
                    <w:webHidden/>
                  </w:rPr>
                  <w:fldChar w:fldCharType="end"/>
                </w:r>
              </w:hyperlink>
            </w:p>
            <w:p w14:paraId="47007103" w14:textId="3297994A" w:rsidR="002A1058" w:rsidRPr="002A1058" w:rsidRDefault="002A1058">
              <w:pPr>
                <w:pStyle w:val="TOC3"/>
                <w:tabs>
                  <w:tab w:val="right" w:leader="dot" w:pos="9350"/>
                </w:tabs>
                <w:rPr>
                  <w:b/>
                  <w:bCs/>
                  <w:noProof/>
                  <w:kern w:val="0"/>
                  <w:sz w:val="22"/>
                  <w:szCs w:val="22"/>
                  <w:lang w:eastAsia="zh-CN"/>
                </w:rPr>
              </w:pPr>
              <w:hyperlink w:anchor="_Toc57256053" w:history="1">
                <w:r w:rsidRPr="002A1058">
                  <w:rPr>
                    <w:rStyle w:val="Hyperlink"/>
                    <w:b/>
                    <w:bCs/>
                    <w:noProof/>
                  </w:rPr>
                  <w:t>Risk Control and Portfolio Weights</w:t>
                </w:r>
                <w:r w:rsidRPr="002A1058">
                  <w:rPr>
                    <w:b/>
                    <w:bCs/>
                    <w:noProof/>
                    <w:webHidden/>
                  </w:rPr>
                  <w:tab/>
                </w:r>
                <w:r w:rsidRPr="002A1058">
                  <w:rPr>
                    <w:b/>
                    <w:bCs/>
                    <w:noProof/>
                    <w:webHidden/>
                  </w:rPr>
                  <w:fldChar w:fldCharType="begin"/>
                </w:r>
                <w:r w:rsidRPr="002A1058">
                  <w:rPr>
                    <w:b/>
                    <w:bCs/>
                    <w:noProof/>
                    <w:webHidden/>
                  </w:rPr>
                  <w:instrText xml:space="preserve"> PAGEREF _Toc57256053 \h </w:instrText>
                </w:r>
                <w:r w:rsidRPr="002A1058">
                  <w:rPr>
                    <w:b/>
                    <w:bCs/>
                    <w:noProof/>
                    <w:webHidden/>
                  </w:rPr>
                </w:r>
                <w:r w:rsidRPr="002A1058">
                  <w:rPr>
                    <w:b/>
                    <w:bCs/>
                    <w:noProof/>
                    <w:webHidden/>
                  </w:rPr>
                  <w:fldChar w:fldCharType="separate"/>
                </w:r>
                <w:r w:rsidR="00B6504C">
                  <w:rPr>
                    <w:b/>
                    <w:bCs/>
                    <w:noProof/>
                    <w:webHidden/>
                  </w:rPr>
                  <w:t>12</w:t>
                </w:r>
                <w:r w:rsidRPr="002A1058">
                  <w:rPr>
                    <w:b/>
                    <w:bCs/>
                    <w:noProof/>
                    <w:webHidden/>
                  </w:rPr>
                  <w:fldChar w:fldCharType="end"/>
                </w:r>
              </w:hyperlink>
            </w:p>
            <w:p w14:paraId="76FC4E16" w14:textId="4D45D291" w:rsidR="002A1058" w:rsidRPr="002A1058" w:rsidRDefault="002A1058">
              <w:pPr>
                <w:pStyle w:val="TOC3"/>
                <w:tabs>
                  <w:tab w:val="right" w:leader="dot" w:pos="9350"/>
                </w:tabs>
                <w:rPr>
                  <w:b/>
                  <w:bCs/>
                  <w:noProof/>
                  <w:kern w:val="0"/>
                  <w:sz w:val="22"/>
                  <w:szCs w:val="22"/>
                  <w:lang w:eastAsia="zh-CN"/>
                </w:rPr>
              </w:pPr>
              <w:hyperlink w:anchor="_Toc57256054" w:history="1">
                <w:r w:rsidRPr="002A1058">
                  <w:rPr>
                    <w:rStyle w:val="Hyperlink"/>
                    <w:b/>
                    <w:bCs/>
                    <w:noProof/>
                  </w:rPr>
                  <w:t>Strategy Backtest</w:t>
                </w:r>
                <w:r w:rsidRPr="002A1058">
                  <w:rPr>
                    <w:b/>
                    <w:bCs/>
                    <w:noProof/>
                    <w:webHidden/>
                  </w:rPr>
                  <w:tab/>
                </w:r>
                <w:r w:rsidRPr="002A1058">
                  <w:rPr>
                    <w:b/>
                    <w:bCs/>
                    <w:noProof/>
                    <w:webHidden/>
                  </w:rPr>
                  <w:fldChar w:fldCharType="begin"/>
                </w:r>
                <w:r w:rsidRPr="002A1058">
                  <w:rPr>
                    <w:b/>
                    <w:bCs/>
                    <w:noProof/>
                    <w:webHidden/>
                  </w:rPr>
                  <w:instrText xml:space="preserve"> PAGEREF _Toc57256054 \h </w:instrText>
                </w:r>
                <w:r w:rsidRPr="002A1058">
                  <w:rPr>
                    <w:b/>
                    <w:bCs/>
                    <w:noProof/>
                    <w:webHidden/>
                  </w:rPr>
                </w:r>
                <w:r w:rsidRPr="002A1058">
                  <w:rPr>
                    <w:b/>
                    <w:bCs/>
                    <w:noProof/>
                    <w:webHidden/>
                  </w:rPr>
                  <w:fldChar w:fldCharType="separate"/>
                </w:r>
                <w:r w:rsidR="00B6504C">
                  <w:rPr>
                    <w:b/>
                    <w:bCs/>
                    <w:noProof/>
                    <w:webHidden/>
                  </w:rPr>
                  <w:t>13</w:t>
                </w:r>
                <w:r w:rsidRPr="002A1058">
                  <w:rPr>
                    <w:b/>
                    <w:bCs/>
                    <w:noProof/>
                    <w:webHidden/>
                  </w:rPr>
                  <w:fldChar w:fldCharType="end"/>
                </w:r>
              </w:hyperlink>
            </w:p>
            <w:p w14:paraId="484CA591" w14:textId="7FFFAE8D" w:rsidR="002A1058" w:rsidRDefault="002A1058" w:rsidP="002A1058">
              <w:pPr>
                <w:pStyle w:val="TOC1"/>
                <w:rPr>
                  <w:kern w:val="0"/>
                  <w:sz w:val="22"/>
                  <w:szCs w:val="22"/>
                  <w:lang w:eastAsia="zh-CN"/>
                </w:rPr>
              </w:pPr>
              <w:hyperlink w:anchor="_Toc57256055" w:history="1">
                <w:r w:rsidRPr="00AA538B">
                  <w:rPr>
                    <w:rStyle w:val="Hyperlink"/>
                  </w:rPr>
                  <w:t>Strategy Performance Analysis</w:t>
                </w:r>
                <w:r>
                  <w:rPr>
                    <w:webHidden/>
                  </w:rPr>
                  <w:tab/>
                </w:r>
                <w:r>
                  <w:rPr>
                    <w:webHidden/>
                  </w:rPr>
                  <w:fldChar w:fldCharType="begin"/>
                </w:r>
                <w:r>
                  <w:rPr>
                    <w:webHidden/>
                  </w:rPr>
                  <w:instrText xml:space="preserve"> PAGEREF _Toc57256055 \h </w:instrText>
                </w:r>
                <w:r>
                  <w:rPr>
                    <w:webHidden/>
                  </w:rPr>
                </w:r>
                <w:r>
                  <w:rPr>
                    <w:webHidden/>
                  </w:rPr>
                  <w:fldChar w:fldCharType="separate"/>
                </w:r>
                <w:r w:rsidR="00B6504C">
                  <w:rPr>
                    <w:webHidden/>
                  </w:rPr>
                  <w:t>15</w:t>
                </w:r>
                <w:r>
                  <w:rPr>
                    <w:webHidden/>
                  </w:rPr>
                  <w:fldChar w:fldCharType="end"/>
                </w:r>
              </w:hyperlink>
            </w:p>
            <w:p w14:paraId="3F788404" w14:textId="1B850F05" w:rsidR="002A1058" w:rsidRDefault="002A1058" w:rsidP="002A1058">
              <w:pPr>
                <w:pStyle w:val="TOC1"/>
                <w:rPr>
                  <w:kern w:val="0"/>
                  <w:sz w:val="22"/>
                  <w:szCs w:val="22"/>
                  <w:lang w:eastAsia="zh-CN"/>
                </w:rPr>
              </w:pPr>
              <w:hyperlink w:anchor="_Toc57256056" w:history="1">
                <w:r w:rsidRPr="00AA538B">
                  <w:rPr>
                    <w:rStyle w:val="Hyperlink"/>
                  </w:rPr>
                  <w:t>Conclusion</w:t>
                </w:r>
                <w:r>
                  <w:rPr>
                    <w:webHidden/>
                  </w:rPr>
                  <w:tab/>
                </w:r>
                <w:r>
                  <w:rPr>
                    <w:webHidden/>
                  </w:rPr>
                  <w:fldChar w:fldCharType="begin"/>
                </w:r>
                <w:r>
                  <w:rPr>
                    <w:webHidden/>
                  </w:rPr>
                  <w:instrText xml:space="preserve"> PAGEREF _Toc57256056 \h </w:instrText>
                </w:r>
                <w:r>
                  <w:rPr>
                    <w:webHidden/>
                  </w:rPr>
                </w:r>
                <w:r>
                  <w:rPr>
                    <w:webHidden/>
                  </w:rPr>
                  <w:fldChar w:fldCharType="separate"/>
                </w:r>
                <w:r w:rsidR="00B6504C">
                  <w:rPr>
                    <w:webHidden/>
                  </w:rPr>
                  <w:t>16</w:t>
                </w:r>
                <w:r>
                  <w:rPr>
                    <w:webHidden/>
                  </w:rPr>
                  <w:fldChar w:fldCharType="end"/>
                </w:r>
              </w:hyperlink>
            </w:p>
            <w:p w14:paraId="0D6D6D37" w14:textId="7A9ACEBF" w:rsidR="002A1058" w:rsidRPr="002A1058" w:rsidRDefault="002A1058" w:rsidP="002A1058">
              <w:pPr>
                <w:pStyle w:val="TOC1"/>
                <w:rPr>
                  <w:kern w:val="0"/>
                  <w:sz w:val="22"/>
                  <w:szCs w:val="22"/>
                  <w:lang w:eastAsia="zh-CN"/>
                </w:rPr>
              </w:pPr>
              <w:hyperlink w:anchor="_Toc57256057" w:history="1">
                <w:r w:rsidRPr="002A1058">
                  <w:rPr>
                    <w:rStyle w:val="Hyperlink"/>
                  </w:rPr>
                  <w:t>References</w:t>
                </w:r>
                <w:r w:rsidRPr="002A1058">
                  <w:rPr>
                    <w:webHidden/>
                  </w:rPr>
                  <w:tab/>
                </w:r>
                <w:r w:rsidRPr="002A1058">
                  <w:rPr>
                    <w:webHidden/>
                  </w:rPr>
                  <w:fldChar w:fldCharType="begin"/>
                </w:r>
                <w:r w:rsidRPr="002A1058">
                  <w:rPr>
                    <w:webHidden/>
                  </w:rPr>
                  <w:instrText xml:space="preserve"> PAGEREF _Toc57256057 \h </w:instrText>
                </w:r>
                <w:r w:rsidRPr="002A1058">
                  <w:rPr>
                    <w:webHidden/>
                  </w:rPr>
                </w:r>
                <w:r w:rsidRPr="002A1058">
                  <w:rPr>
                    <w:webHidden/>
                  </w:rPr>
                  <w:fldChar w:fldCharType="separate"/>
                </w:r>
                <w:r w:rsidR="00B6504C">
                  <w:rPr>
                    <w:webHidden/>
                  </w:rPr>
                  <w:t>18</w:t>
                </w:r>
                <w:r w:rsidRPr="002A1058">
                  <w:rPr>
                    <w:webHidden/>
                  </w:rPr>
                  <w:fldChar w:fldCharType="end"/>
                </w:r>
              </w:hyperlink>
            </w:p>
            <w:p w14:paraId="3A038FB4" w14:textId="646A2B9A" w:rsidR="002A1058" w:rsidRDefault="002A1058" w:rsidP="002A1058">
              <w:pPr>
                <w:pStyle w:val="TOC1"/>
                <w:rPr>
                  <w:kern w:val="0"/>
                  <w:sz w:val="22"/>
                  <w:szCs w:val="22"/>
                  <w:lang w:eastAsia="zh-CN"/>
                </w:rPr>
              </w:pPr>
              <w:hyperlink w:anchor="_Toc57256058" w:history="1">
                <w:r w:rsidRPr="00AA538B">
                  <w:rPr>
                    <w:rStyle w:val="Hyperlink"/>
                  </w:rPr>
                  <w:t>Appendix</w:t>
                </w:r>
                <w:r>
                  <w:rPr>
                    <w:webHidden/>
                  </w:rPr>
                  <w:tab/>
                </w:r>
                <w:r>
                  <w:rPr>
                    <w:webHidden/>
                  </w:rPr>
                  <w:fldChar w:fldCharType="begin"/>
                </w:r>
                <w:r>
                  <w:rPr>
                    <w:webHidden/>
                  </w:rPr>
                  <w:instrText xml:space="preserve"> PAGEREF _Toc57256058 \h </w:instrText>
                </w:r>
                <w:r>
                  <w:rPr>
                    <w:webHidden/>
                  </w:rPr>
                </w:r>
                <w:r>
                  <w:rPr>
                    <w:webHidden/>
                  </w:rPr>
                  <w:fldChar w:fldCharType="separate"/>
                </w:r>
                <w:r w:rsidR="00B6504C">
                  <w:rPr>
                    <w:webHidden/>
                  </w:rPr>
                  <w:t>19</w:t>
                </w:r>
                <w:r>
                  <w:rPr>
                    <w:webHidden/>
                  </w:rPr>
                  <w:fldChar w:fldCharType="end"/>
                </w:r>
              </w:hyperlink>
            </w:p>
            <w:p w14:paraId="7C9E0100" w14:textId="35ACB320" w:rsidR="00221CBE" w:rsidRDefault="00221CBE">
              <w:r>
                <w:rPr>
                  <w:b/>
                  <w:bCs/>
                  <w:noProof/>
                </w:rPr>
                <w:fldChar w:fldCharType="end"/>
              </w:r>
            </w:p>
          </w:sdtContent>
        </w:sdt>
        <w:p w14:paraId="5D039946" w14:textId="0198EC3C" w:rsidR="0011350D" w:rsidRDefault="00221CBE" w:rsidP="00221CBE">
          <w:r>
            <w:br w:type="page"/>
          </w:r>
        </w:p>
      </w:sdtContent>
    </w:sdt>
    <w:bookmarkStart w:id="0" w:name="_Toc57256044"/>
    <w:p w14:paraId="48E21C83" w14:textId="283456D1" w:rsidR="00E81978" w:rsidRDefault="00BD78A9" w:rsidP="00E33FE6">
      <w:pPr>
        <w:pStyle w:val="Heading1"/>
      </w:pPr>
      <w:sdt>
        <w:sdtPr>
          <w:alias w:val="Section title:"/>
          <w:tag w:val="Section title:"/>
          <w:id w:val="984196707"/>
          <w:placeholder>
            <w:docPart w:val="5010B0D0D0DA4CAABC5064A0F0E6B0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02452">
            <w:t>Exploring Trading Strategies Using Technical Indicators</w:t>
          </w:r>
        </w:sdtContent>
      </w:sdt>
      <w:bookmarkEnd w:id="0"/>
    </w:p>
    <w:p w14:paraId="269E4268" w14:textId="08392225" w:rsidR="00B02452" w:rsidRDefault="00B02452" w:rsidP="00B02452">
      <w:r>
        <w:t xml:space="preserve">Technical indicators have long been used as a method to develop alpha-generating trading strategies by predicting price movements. Unlike other factors which can be calculated from alternative data sources such as economic data or even news, technical indicators are derived from the historical prices and volumes of the underlying asset. </w:t>
      </w:r>
      <w:r w:rsidR="004D3F2C">
        <w:t xml:space="preserve">Technical analysis attempts to capture market behavior, psychology, and sentiment through the study of price or volume trends and patterns. Technical analysis is mostly used on publicly traded stocks but can also be applied on other derivative products, such as futures or options. </w:t>
      </w:r>
    </w:p>
    <w:p w14:paraId="65DEF7BF" w14:textId="5A05475D" w:rsidR="004D3F2C" w:rsidRDefault="004D3F2C" w:rsidP="00B02452">
      <w:r>
        <w:t xml:space="preserve">This paper explores the application of such technical indicators in a daily trading strategy. The universe of stocks considered in this paper is limited to companies listed in the NASDAQ-100, the largest 100 non-financial companies listed on the Nasdaq stock exchange. The paper will cover the methodology of </w:t>
      </w:r>
      <w:r w:rsidR="00B701CB">
        <w:t xml:space="preserve">factor selection, signal creation, </w:t>
      </w:r>
      <w:r>
        <w:t>trading strategy</w:t>
      </w:r>
      <w:r w:rsidR="00B701CB">
        <w:t xml:space="preserve"> development</w:t>
      </w:r>
      <w:r>
        <w:t xml:space="preserve"> and </w:t>
      </w:r>
      <w:r w:rsidR="00B701CB">
        <w:t>strategy performance analysis</w:t>
      </w:r>
      <w:r>
        <w:t>.</w:t>
      </w:r>
    </w:p>
    <w:p w14:paraId="3BED0DD3" w14:textId="77777777" w:rsidR="006607E0" w:rsidRDefault="006607E0" w:rsidP="007815FA">
      <w:pPr>
        <w:ind w:firstLine="0"/>
      </w:pPr>
    </w:p>
    <w:p w14:paraId="578D7408" w14:textId="20665AF0" w:rsidR="00E81978" w:rsidRDefault="00B02452" w:rsidP="00E33FE6">
      <w:pPr>
        <w:pStyle w:val="Heading1"/>
      </w:pPr>
      <w:bookmarkStart w:id="1" w:name="_Toc57256045"/>
      <w:r>
        <w:t>Technical Indicators</w:t>
      </w:r>
      <w:bookmarkEnd w:id="1"/>
    </w:p>
    <w:p w14:paraId="11BB63C9" w14:textId="12779F1B" w:rsidR="00B02452" w:rsidRDefault="00B02452" w:rsidP="00B02452">
      <w:r>
        <w:t xml:space="preserve">There are many technical indicators used by traders and portfolio managers today. These technical indicators can be divided into four different classes: Momentum, Volume, Volatility, and Trend. </w:t>
      </w:r>
      <w:r w:rsidR="004D3F2C">
        <w:t xml:space="preserve">There exist many indicators within each class. For example, </w:t>
      </w:r>
      <w:r w:rsidR="00E475B7">
        <w:t xml:space="preserve">average directional index (ADX), moving average (MA), and smart money index (SMI) are all classified as trend indicators. These indicators all attempt to quantify the </w:t>
      </w:r>
      <w:r w:rsidR="005C016A">
        <w:t>relationship of the current price to its</w:t>
      </w:r>
      <w:r w:rsidR="00E475B7">
        <w:t xml:space="preserve"> trend, albeit in different calculations and methods.</w:t>
      </w:r>
      <w:r w:rsidR="005C016A">
        <w:t xml:space="preserve"> To avoid redundancy</w:t>
      </w:r>
      <w:r w:rsidR="00F02D06">
        <w:t xml:space="preserve"> and inter-factor correlation</w:t>
      </w:r>
      <w:r w:rsidR="005C016A">
        <w:t xml:space="preserve">, only one indicator of each class should be used in a multi-indicator strategy. </w:t>
      </w:r>
      <w:r w:rsidR="00F02D06">
        <w:t>The full list of technical indicators considered and analyzed is shown below.</w:t>
      </w:r>
    </w:p>
    <w:tbl>
      <w:tblPr>
        <w:tblStyle w:val="APAReport"/>
        <w:tblW w:w="9353" w:type="dxa"/>
        <w:tblLook w:val="06A0" w:firstRow="1" w:lastRow="0" w:firstColumn="1" w:lastColumn="0" w:noHBand="1" w:noVBand="1"/>
      </w:tblPr>
      <w:tblGrid>
        <w:gridCol w:w="5194"/>
        <w:gridCol w:w="4159"/>
      </w:tblGrid>
      <w:tr w:rsidR="00F02D06" w14:paraId="7CC4602E" w14:textId="574B3C9A" w:rsidTr="00880F59">
        <w:trPr>
          <w:cnfStyle w:val="100000000000" w:firstRow="1" w:lastRow="0" w:firstColumn="0" w:lastColumn="0" w:oddVBand="0" w:evenVBand="0" w:oddHBand="0" w:evenHBand="0" w:firstRowFirstColumn="0" w:firstRowLastColumn="0" w:lastRowFirstColumn="0" w:lastRowLastColumn="0"/>
          <w:trHeight w:val="432"/>
        </w:trPr>
        <w:tc>
          <w:tcPr>
            <w:tcW w:w="5194" w:type="dxa"/>
            <w:vAlign w:val="center"/>
          </w:tcPr>
          <w:p w14:paraId="72242F15" w14:textId="31B0417B" w:rsidR="00F02D06" w:rsidRPr="00880F59" w:rsidRDefault="00F02D06" w:rsidP="00880F59">
            <w:pPr>
              <w:jc w:val="center"/>
              <w:rPr>
                <w:b/>
                <w:bCs/>
              </w:rPr>
            </w:pPr>
            <w:r w:rsidRPr="00880F59">
              <w:rPr>
                <w:b/>
                <w:bCs/>
              </w:rPr>
              <w:lastRenderedPageBreak/>
              <w:t>Momentum</w:t>
            </w:r>
          </w:p>
        </w:tc>
        <w:tc>
          <w:tcPr>
            <w:tcW w:w="4159" w:type="dxa"/>
            <w:vAlign w:val="center"/>
          </w:tcPr>
          <w:p w14:paraId="712F3263" w14:textId="0E76859A" w:rsidR="00F02D06" w:rsidRPr="00880F59" w:rsidRDefault="00F02D06" w:rsidP="00880F59">
            <w:pPr>
              <w:jc w:val="center"/>
              <w:rPr>
                <w:b/>
                <w:bCs/>
              </w:rPr>
            </w:pPr>
            <w:r w:rsidRPr="00880F59">
              <w:rPr>
                <w:b/>
                <w:bCs/>
              </w:rPr>
              <w:t>Volume</w:t>
            </w:r>
          </w:p>
        </w:tc>
      </w:tr>
      <w:tr w:rsidR="00F02D06" w14:paraId="791EB50D" w14:textId="26A003AD" w:rsidTr="00880F59">
        <w:trPr>
          <w:trHeight w:val="432"/>
        </w:trPr>
        <w:tc>
          <w:tcPr>
            <w:tcW w:w="5194" w:type="dxa"/>
            <w:vAlign w:val="center"/>
          </w:tcPr>
          <w:p w14:paraId="14AACCDC" w14:textId="1C1C68DA" w:rsidR="00F02D06" w:rsidRDefault="00F02D06" w:rsidP="00880F59">
            <w:pPr>
              <w:jc w:val="center"/>
            </w:pPr>
            <w:r>
              <w:t>Awesome Oscillator (AO)</w:t>
            </w:r>
          </w:p>
        </w:tc>
        <w:tc>
          <w:tcPr>
            <w:tcW w:w="4159" w:type="dxa"/>
            <w:vAlign w:val="center"/>
          </w:tcPr>
          <w:p w14:paraId="7781C90B" w14:textId="626E1D58" w:rsidR="00F02D06" w:rsidRDefault="000F1BE4" w:rsidP="00880F59">
            <w:pPr>
              <w:jc w:val="center"/>
            </w:pPr>
            <w:r>
              <w:t xml:space="preserve">Accumulation/Distribution Index </w:t>
            </w:r>
            <w:r w:rsidR="00F02D06">
              <w:t>(ADI)</w:t>
            </w:r>
          </w:p>
        </w:tc>
      </w:tr>
      <w:tr w:rsidR="00F02D06" w14:paraId="5EA54B54" w14:textId="1A46E94C" w:rsidTr="00880F59">
        <w:trPr>
          <w:trHeight w:val="432"/>
        </w:trPr>
        <w:tc>
          <w:tcPr>
            <w:tcW w:w="5194" w:type="dxa"/>
            <w:vAlign w:val="center"/>
          </w:tcPr>
          <w:p w14:paraId="2A14A517" w14:textId="5DBA625A" w:rsidR="00F02D06" w:rsidRDefault="000F1BE4" w:rsidP="00880F59">
            <w:pPr>
              <w:jc w:val="center"/>
            </w:pPr>
            <w:r>
              <w:t xml:space="preserve">Kaufman’s Adaptive Moving Average </w:t>
            </w:r>
            <w:r w:rsidR="00F02D06">
              <w:t>(KAMA)</w:t>
            </w:r>
          </w:p>
        </w:tc>
        <w:tc>
          <w:tcPr>
            <w:tcW w:w="4159" w:type="dxa"/>
            <w:vAlign w:val="center"/>
          </w:tcPr>
          <w:p w14:paraId="750E3673" w14:textId="7E184FF9" w:rsidR="00F02D06" w:rsidRDefault="000F1BE4" w:rsidP="00880F59">
            <w:pPr>
              <w:jc w:val="center"/>
            </w:pPr>
            <w:proofErr w:type="spellStart"/>
            <w:r>
              <w:t>Chaikin</w:t>
            </w:r>
            <w:proofErr w:type="spellEnd"/>
            <w:r>
              <w:t xml:space="preserve"> Money Flow </w:t>
            </w:r>
            <w:r w:rsidR="00F02D06">
              <w:t>(CMF)</w:t>
            </w:r>
          </w:p>
        </w:tc>
      </w:tr>
      <w:tr w:rsidR="00F02D06" w14:paraId="535AA710" w14:textId="3A004E73" w:rsidTr="00880F59">
        <w:trPr>
          <w:trHeight w:val="432"/>
        </w:trPr>
        <w:tc>
          <w:tcPr>
            <w:tcW w:w="5194" w:type="dxa"/>
            <w:vAlign w:val="center"/>
          </w:tcPr>
          <w:p w14:paraId="0647AB50" w14:textId="0B41E332" w:rsidR="00F02D06" w:rsidRDefault="000F1BE4" w:rsidP="00880F59">
            <w:pPr>
              <w:jc w:val="center"/>
            </w:pPr>
            <w:r>
              <w:t xml:space="preserve">Price Percentage Oscillator </w:t>
            </w:r>
            <w:r w:rsidR="00F02D06">
              <w:t>(PPO)</w:t>
            </w:r>
          </w:p>
        </w:tc>
        <w:tc>
          <w:tcPr>
            <w:tcW w:w="4159" w:type="dxa"/>
            <w:vAlign w:val="center"/>
          </w:tcPr>
          <w:p w14:paraId="0683CEB8" w14:textId="4DA99725" w:rsidR="00F02D06" w:rsidRDefault="000F1BE4" w:rsidP="00880F59">
            <w:pPr>
              <w:jc w:val="center"/>
            </w:pPr>
            <w:r>
              <w:t xml:space="preserve">Ease of Movement </w:t>
            </w:r>
            <w:r w:rsidR="00F02D06">
              <w:t>(</w:t>
            </w:r>
            <w:proofErr w:type="spellStart"/>
            <w:r w:rsidR="00F02D06">
              <w:t>EoM</w:t>
            </w:r>
            <w:proofErr w:type="spellEnd"/>
            <w:r w:rsidR="00F02D06">
              <w:t>)</w:t>
            </w:r>
          </w:p>
        </w:tc>
      </w:tr>
      <w:tr w:rsidR="00F02D06" w14:paraId="0F08DA71" w14:textId="653F2A5E" w:rsidTr="00880F59">
        <w:trPr>
          <w:trHeight w:val="432"/>
        </w:trPr>
        <w:tc>
          <w:tcPr>
            <w:tcW w:w="5194" w:type="dxa"/>
            <w:vAlign w:val="center"/>
          </w:tcPr>
          <w:p w14:paraId="57C8034D" w14:textId="2BC6E52F" w:rsidR="00F02D06" w:rsidRDefault="000F1BE4" w:rsidP="00880F59">
            <w:pPr>
              <w:jc w:val="center"/>
            </w:pPr>
            <w:r>
              <w:t xml:space="preserve">Relative Strength Index </w:t>
            </w:r>
            <w:r w:rsidR="00F02D06">
              <w:t>(RSI)</w:t>
            </w:r>
          </w:p>
        </w:tc>
        <w:tc>
          <w:tcPr>
            <w:tcW w:w="4159" w:type="dxa"/>
            <w:vAlign w:val="center"/>
          </w:tcPr>
          <w:p w14:paraId="2F338FCB" w14:textId="03D892C2" w:rsidR="00F02D06" w:rsidRDefault="000F1BE4" w:rsidP="00880F59">
            <w:pPr>
              <w:jc w:val="center"/>
            </w:pPr>
            <w:r>
              <w:t xml:space="preserve">Force Index </w:t>
            </w:r>
            <w:r w:rsidR="00F02D06">
              <w:t>(FI)</w:t>
            </w:r>
          </w:p>
        </w:tc>
      </w:tr>
      <w:tr w:rsidR="00F02D06" w14:paraId="14F5D8A2" w14:textId="3C61606B" w:rsidTr="00880F59">
        <w:trPr>
          <w:trHeight w:val="432"/>
        </w:trPr>
        <w:tc>
          <w:tcPr>
            <w:tcW w:w="5194" w:type="dxa"/>
            <w:vAlign w:val="center"/>
          </w:tcPr>
          <w:p w14:paraId="61B0D1D4" w14:textId="5653EB48" w:rsidR="00F02D06" w:rsidRDefault="000F1BE4" w:rsidP="00880F59">
            <w:pPr>
              <w:jc w:val="center"/>
            </w:pPr>
            <w:r>
              <w:t xml:space="preserve">Stochastic Oscillator </w:t>
            </w:r>
            <w:r w:rsidR="00F02D06">
              <w:t>(SO)</w:t>
            </w:r>
          </w:p>
        </w:tc>
        <w:tc>
          <w:tcPr>
            <w:tcW w:w="4159" w:type="dxa"/>
            <w:vAlign w:val="center"/>
          </w:tcPr>
          <w:p w14:paraId="576E955F" w14:textId="28CA2438" w:rsidR="00F02D06" w:rsidRDefault="00880F59" w:rsidP="00880F59">
            <w:pPr>
              <w:jc w:val="center"/>
            </w:pPr>
            <w:r>
              <w:t xml:space="preserve">On-Balance Volume </w:t>
            </w:r>
            <w:r w:rsidR="00F02D06">
              <w:t>(OBV)</w:t>
            </w:r>
          </w:p>
        </w:tc>
      </w:tr>
    </w:tbl>
    <w:p w14:paraId="07E6CD44" w14:textId="7DBD5EB2" w:rsidR="00F02D06" w:rsidRDefault="00F02D06" w:rsidP="00F02D06">
      <w:pPr>
        <w:pStyle w:val="TableFigure"/>
        <w:spacing w:before="0" w:line="240" w:lineRule="auto"/>
      </w:pPr>
    </w:p>
    <w:tbl>
      <w:tblPr>
        <w:tblStyle w:val="APAReport"/>
        <w:tblW w:w="9353" w:type="dxa"/>
        <w:tblLook w:val="06A0" w:firstRow="1" w:lastRow="0" w:firstColumn="1" w:lastColumn="0" w:noHBand="1" w:noVBand="1"/>
      </w:tblPr>
      <w:tblGrid>
        <w:gridCol w:w="5194"/>
        <w:gridCol w:w="4159"/>
      </w:tblGrid>
      <w:tr w:rsidR="00F02D06" w14:paraId="7A068E97" w14:textId="77777777" w:rsidTr="00880F59">
        <w:trPr>
          <w:cnfStyle w:val="100000000000" w:firstRow="1" w:lastRow="0" w:firstColumn="0" w:lastColumn="0" w:oddVBand="0" w:evenVBand="0" w:oddHBand="0" w:evenHBand="0" w:firstRowFirstColumn="0" w:firstRowLastColumn="0" w:lastRowFirstColumn="0" w:lastRowLastColumn="0"/>
          <w:trHeight w:val="432"/>
        </w:trPr>
        <w:tc>
          <w:tcPr>
            <w:tcW w:w="5194" w:type="dxa"/>
            <w:vAlign w:val="center"/>
          </w:tcPr>
          <w:p w14:paraId="07AFCF54" w14:textId="2351AA04" w:rsidR="00F02D06" w:rsidRPr="00880F59" w:rsidRDefault="00F02D06" w:rsidP="00880F59">
            <w:pPr>
              <w:jc w:val="center"/>
              <w:rPr>
                <w:b/>
                <w:bCs/>
              </w:rPr>
            </w:pPr>
            <w:r w:rsidRPr="00880F59">
              <w:rPr>
                <w:b/>
                <w:bCs/>
              </w:rPr>
              <w:t>Volatility</w:t>
            </w:r>
          </w:p>
        </w:tc>
        <w:tc>
          <w:tcPr>
            <w:tcW w:w="4159" w:type="dxa"/>
            <w:vAlign w:val="center"/>
          </w:tcPr>
          <w:p w14:paraId="7EB17C9D" w14:textId="053B7210" w:rsidR="00F02D06" w:rsidRPr="00880F59" w:rsidRDefault="00F02D06" w:rsidP="00880F59">
            <w:pPr>
              <w:jc w:val="center"/>
              <w:rPr>
                <w:b/>
                <w:bCs/>
              </w:rPr>
            </w:pPr>
            <w:r w:rsidRPr="00880F59">
              <w:rPr>
                <w:b/>
                <w:bCs/>
              </w:rPr>
              <w:t>Trend</w:t>
            </w:r>
          </w:p>
        </w:tc>
      </w:tr>
      <w:tr w:rsidR="00F02D06" w14:paraId="346AA0FB" w14:textId="77777777" w:rsidTr="00880F59">
        <w:trPr>
          <w:trHeight w:val="432"/>
        </w:trPr>
        <w:tc>
          <w:tcPr>
            <w:tcW w:w="5194" w:type="dxa"/>
            <w:vAlign w:val="center"/>
          </w:tcPr>
          <w:p w14:paraId="689924EC" w14:textId="785A548E" w:rsidR="00F02D06" w:rsidRDefault="00880F59" w:rsidP="00880F59">
            <w:pPr>
              <w:jc w:val="center"/>
            </w:pPr>
            <w:r>
              <w:t xml:space="preserve">Ulcer Index </w:t>
            </w:r>
            <w:r w:rsidR="00F02D06">
              <w:t>(UI)</w:t>
            </w:r>
          </w:p>
        </w:tc>
        <w:tc>
          <w:tcPr>
            <w:tcW w:w="4159" w:type="dxa"/>
            <w:vAlign w:val="center"/>
          </w:tcPr>
          <w:p w14:paraId="562A6B7E" w14:textId="3501B329" w:rsidR="00F02D06" w:rsidRDefault="00880F59" w:rsidP="00880F59">
            <w:pPr>
              <w:jc w:val="center"/>
            </w:pPr>
            <w:r>
              <w:t xml:space="preserve">Average Directional Movement Index </w:t>
            </w:r>
            <w:r w:rsidR="00F02D06">
              <w:t>(ADX)</w:t>
            </w:r>
          </w:p>
        </w:tc>
      </w:tr>
      <w:tr w:rsidR="00F02D06" w14:paraId="08CA8A0E" w14:textId="77777777" w:rsidTr="00880F59">
        <w:trPr>
          <w:trHeight w:val="432"/>
        </w:trPr>
        <w:tc>
          <w:tcPr>
            <w:tcW w:w="5194" w:type="dxa"/>
            <w:vAlign w:val="center"/>
          </w:tcPr>
          <w:p w14:paraId="79AE9FB6" w14:textId="44A287B8" w:rsidR="00F02D06" w:rsidRDefault="00880F59" w:rsidP="00880F59">
            <w:pPr>
              <w:jc w:val="center"/>
            </w:pPr>
            <w:r>
              <w:t xml:space="preserve">Average True Range </w:t>
            </w:r>
            <w:r w:rsidR="00F02D06">
              <w:t>(ATR)</w:t>
            </w:r>
          </w:p>
        </w:tc>
        <w:tc>
          <w:tcPr>
            <w:tcW w:w="4159" w:type="dxa"/>
            <w:vAlign w:val="center"/>
          </w:tcPr>
          <w:p w14:paraId="3B3203DA" w14:textId="33748C8D" w:rsidR="00F02D06" w:rsidRDefault="00880F59" w:rsidP="00880F59">
            <w:pPr>
              <w:jc w:val="center"/>
            </w:pPr>
            <w:r>
              <w:t xml:space="preserve">Commodity Channel Index </w:t>
            </w:r>
            <w:r w:rsidR="00F02D06">
              <w:t>(CCI)</w:t>
            </w:r>
          </w:p>
        </w:tc>
      </w:tr>
      <w:tr w:rsidR="00F02D06" w14:paraId="3BE91F1D" w14:textId="77777777" w:rsidTr="00880F59">
        <w:trPr>
          <w:trHeight w:val="432"/>
        </w:trPr>
        <w:tc>
          <w:tcPr>
            <w:tcW w:w="5194" w:type="dxa"/>
            <w:vAlign w:val="center"/>
          </w:tcPr>
          <w:p w14:paraId="5D1EF5FA" w14:textId="612E0556" w:rsidR="00F02D06" w:rsidRPr="00F02D06" w:rsidRDefault="00880F59" w:rsidP="00880F59">
            <w:pPr>
              <w:jc w:val="center"/>
            </w:pPr>
            <w:r>
              <w:t xml:space="preserve">Bollinger Bands </w:t>
            </w:r>
            <w:r w:rsidR="00F02D06">
              <w:t>(BB)</w:t>
            </w:r>
          </w:p>
        </w:tc>
        <w:tc>
          <w:tcPr>
            <w:tcW w:w="4159" w:type="dxa"/>
            <w:vAlign w:val="center"/>
          </w:tcPr>
          <w:p w14:paraId="07CF6F2F" w14:textId="65C06234" w:rsidR="00F02D06" w:rsidRDefault="00880F59" w:rsidP="00880F59">
            <w:pPr>
              <w:jc w:val="center"/>
            </w:pPr>
            <w:r>
              <w:t xml:space="preserve">Detrended Price Oscillator </w:t>
            </w:r>
            <w:r w:rsidR="00F02D06">
              <w:t>(DPO)</w:t>
            </w:r>
          </w:p>
        </w:tc>
      </w:tr>
      <w:tr w:rsidR="00F02D06" w14:paraId="7F9C7033" w14:textId="77777777" w:rsidTr="00880F59">
        <w:trPr>
          <w:trHeight w:val="432"/>
        </w:trPr>
        <w:tc>
          <w:tcPr>
            <w:tcW w:w="5194" w:type="dxa"/>
            <w:vAlign w:val="center"/>
          </w:tcPr>
          <w:p w14:paraId="795B687C" w14:textId="035C867A" w:rsidR="00F02D06" w:rsidRDefault="00880F59" w:rsidP="00880F59">
            <w:pPr>
              <w:jc w:val="center"/>
            </w:pPr>
            <w:proofErr w:type="spellStart"/>
            <w:r>
              <w:t>Donchian</w:t>
            </w:r>
            <w:proofErr w:type="spellEnd"/>
            <w:r>
              <w:t xml:space="preserve"> Channel </w:t>
            </w:r>
            <w:r w:rsidR="00F02D06">
              <w:t>(DC)</w:t>
            </w:r>
          </w:p>
        </w:tc>
        <w:tc>
          <w:tcPr>
            <w:tcW w:w="4159" w:type="dxa"/>
            <w:vAlign w:val="center"/>
          </w:tcPr>
          <w:p w14:paraId="42C44BCB" w14:textId="5FA5536E" w:rsidR="00F02D06" w:rsidRDefault="00880F59" w:rsidP="00880F59">
            <w:pPr>
              <w:jc w:val="center"/>
            </w:pPr>
            <w:r>
              <w:t xml:space="preserve">Moving Average Convergence Divergence </w:t>
            </w:r>
            <w:r w:rsidR="00F02D06">
              <w:t>(MACD)</w:t>
            </w:r>
          </w:p>
        </w:tc>
      </w:tr>
      <w:tr w:rsidR="00F02D06" w14:paraId="6A638B1E" w14:textId="77777777" w:rsidTr="00880F59">
        <w:trPr>
          <w:trHeight w:val="432"/>
        </w:trPr>
        <w:tc>
          <w:tcPr>
            <w:tcW w:w="5194" w:type="dxa"/>
            <w:vAlign w:val="center"/>
          </w:tcPr>
          <w:p w14:paraId="2F896358" w14:textId="351E3681" w:rsidR="00F02D06" w:rsidRDefault="00880F59" w:rsidP="00880F59">
            <w:pPr>
              <w:jc w:val="center"/>
            </w:pPr>
            <w:r>
              <w:t xml:space="preserve">Keltner Channel </w:t>
            </w:r>
            <w:r w:rsidR="00F02D06">
              <w:t>(KC)</w:t>
            </w:r>
          </w:p>
        </w:tc>
        <w:tc>
          <w:tcPr>
            <w:tcW w:w="4159" w:type="dxa"/>
            <w:vAlign w:val="center"/>
          </w:tcPr>
          <w:p w14:paraId="44B4E289" w14:textId="7CE91E29" w:rsidR="00F02D06" w:rsidRPr="00F02D06" w:rsidRDefault="00880F59" w:rsidP="00880F59">
            <w:pPr>
              <w:jc w:val="center"/>
            </w:pPr>
            <w:r>
              <w:t xml:space="preserve">Mass Index </w:t>
            </w:r>
            <w:r w:rsidR="00F02D06">
              <w:t>(MI)</w:t>
            </w:r>
          </w:p>
        </w:tc>
      </w:tr>
    </w:tbl>
    <w:p w14:paraId="3684716E" w14:textId="383B4E73" w:rsidR="00F02D06" w:rsidRPr="00FB2CC2" w:rsidRDefault="00F02D06" w:rsidP="00FB2CC2">
      <w:pPr>
        <w:pStyle w:val="tables"/>
      </w:pPr>
      <w:r w:rsidRPr="00FB2CC2">
        <w:t>List of All Considered Technical Indicators</w:t>
      </w:r>
    </w:p>
    <w:p w14:paraId="09001EC0" w14:textId="59E717FF" w:rsidR="005C016A" w:rsidRDefault="00F02D06" w:rsidP="00F02D06">
      <w:r>
        <w:t>The technical indicators selected above due to their popularity and usage by traders today. There are countless more other indicators that can also be considered but the examination of every single technical indicator is beyond the scope of this paper.</w:t>
      </w:r>
    </w:p>
    <w:p w14:paraId="2ADD691C" w14:textId="24F42E16" w:rsidR="00F02D06" w:rsidRDefault="00F02D06" w:rsidP="002B393A">
      <w:pPr>
        <w:ind w:firstLine="0"/>
      </w:pPr>
    </w:p>
    <w:p w14:paraId="4D21147D" w14:textId="79443CB2" w:rsidR="0011350D" w:rsidRDefault="0011350D" w:rsidP="00E33FE6">
      <w:pPr>
        <w:pStyle w:val="Heading1"/>
      </w:pPr>
      <w:bookmarkStart w:id="2" w:name="_Toc57256046"/>
      <w:r>
        <w:t>Methodology</w:t>
      </w:r>
      <w:bookmarkEnd w:id="2"/>
    </w:p>
    <w:p w14:paraId="49D9811C" w14:textId="72B79CD1" w:rsidR="005B4796" w:rsidRDefault="005B4796" w:rsidP="005B4796">
      <w:r>
        <w:t xml:space="preserve">The goal is to develop a profitable daily trading strategy utilizing </w:t>
      </w:r>
      <w:r w:rsidR="002B393A">
        <w:t xml:space="preserve">a set of factors composed of </w:t>
      </w:r>
      <w:r>
        <w:t xml:space="preserve">technical indicators </w:t>
      </w:r>
      <w:r w:rsidR="002B393A">
        <w:t>listed</w:t>
      </w:r>
      <w:r>
        <w:t xml:space="preserve"> above. The universe of stocks utilized </w:t>
      </w:r>
      <w:r w:rsidR="000A7142">
        <w:t xml:space="preserve">is composed by the </w:t>
      </w:r>
      <w:r>
        <w:t>companies in NASDAQ-100</w:t>
      </w:r>
      <w:r w:rsidR="000A7142">
        <w:t xml:space="preserve"> index</w:t>
      </w:r>
      <w:r w:rsidR="000A7142">
        <w:rPr>
          <w:rStyle w:val="FootnoteReference"/>
        </w:rPr>
        <w:footnoteReference w:id="1"/>
      </w:r>
      <w:r>
        <w:t>. The benchmark index</w:t>
      </w:r>
      <w:r w:rsidR="000A7142">
        <w:t xml:space="preserve"> used to measure strategy performance is</w:t>
      </w:r>
      <w:r>
        <w:t xml:space="preserve"> NASDAQ-100</w:t>
      </w:r>
      <w:r w:rsidR="000A7142">
        <w:t xml:space="preserve"> (Ticker: ^NDX)</w:t>
      </w:r>
      <w:r>
        <w:t xml:space="preserve">. </w:t>
      </w:r>
      <w:r w:rsidR="000A7142">
        <w:t xml:space="preserve">An optimal combination of factors is determined through </w:t>
      </w:r>
      <w:r w:rsidR="000A7142">
        <w:lastRenderedPageBreak/>
        <w:t>analysis of factor</w:t>
      </w:r>
      <w:r w:rsidR="005E4129">
        <w:t>-factor and factor-target correlations. From the t</w:t>
      </w:r>
      <w:r>
        <w:t xml:space="preserve">rade signals </w:t>
      </w:r>
      <w:r w:rsidR="000A7142">
        <w:t>are</w:t>
      </w:r>
      <w:r>
        <w:t xml:space="preserve"> derived from the </w:t>
      </w:r>
      <w:r w:rsidR="005E4129">
        <w:t xml:space="preserve">selected </w:t>
      </w:r>
      <w:r>
        <w:t>factor</w:t>
      </w:r>
      <w:r w:rsidR="005E4129">
        <w:t>s,</w:t>
      </w:r>
      <w:r>
        <w:t xml:space="preserve"> a trading strategy will be </w:t>
      </w:r>
      <w:r w:rsidR="005E4129">
        <w:t>developed and backtested</w:t>
      </w:r>
      <w:r>
        <w:t>. A transaction cost model will be implemented to replicate real-world environments.</w:t>
      </w:r>
    </w:p>
    <w:p w14:paraId="4482C4C9" w14:textId="77777777" w:rsidR="00EF6842" w:rsidRPr="005B4796" w:rsidRDefault="00EF6842" w:rsidP="005B4796"/>
    <w:p w14:paraId="42C1B27B" w14:textId="7429601A" w:rsidR="00437C40" w:rsidRDefault="00437C40" w:rsidP="0011350D">
      <w:pPr>
        <w:pStyle w:val="Heading2"/>
      </w:pPr>
      <w:bookmarkStart w:id="3" w:name="_Toc57256047"/>
      <w:r>
        <w:t>Data Source</w:t>
      </w:r>
      <w:bookmarkEnd w:id="3"/>
    </w:p>
    <w:p w14:paraId="572D5C41" w14:textId="6075A7C6" w:rsidR="002B393A" w:rsidRDefault="00437C40" w:rsidP="00437C40">
      <w:r>
        <w:t xml:space="preserve">The data required for the calculation are the open, high, low, close (OHLC) prices and volume for each stock. The data is downloaded from Yahoo Finance using a Python API and then </w:t>
      </w:r>
      <w:r w:rsidR="005B4796">
        <w:t xml:space="preserve">cleaned and </w:t>
      </w:r>
      <w:r>
        <w:t>adjusted for dividends and splits.</w:t>
      </w:r>
      <w:r w:rsidR="002B393A">
        <w:t xml:space="preserve"> This paper conduct</w:t>
      </w:r>
      <w:r w:rsidR="000A7142">
        <w:t>s</w:t>
      </w:r>
      <w:r w:rsidR="002B393A">
        <w:t xml:space="preserve"> its calculations using data from 2010 to November 24, 2020. This time frame is separated into three periods: </w:t>
      </w:r>
    </w:p>
    <w:p w14:paraId="793B6037" w14:textId="40F939A7" w:rsidR="002B393A" w:rsidRDefault="002B393A" w:rsidP="002B393A">
      <w:pPr>
        <w:pStyle w:val="ListParagraph"/>
        <w:numPr>
          <w:ilvl w:val="0"/>
          <w:numId w:val="23"/>
        </w:numPr>
      </w:pPr>
      <w:r>
        <w:t>Training (In-Sample) Period: 2010 to 2015</w:t>
      </w:r>
    </w:p>
    <w:p w14:paraId="432C6FA3" w14:textId="2EC9617F" w:rsidR="002B393A" w:rsidRDefault="002B393A" w:rsidP="002B393A">
      <w:pPr>
        <w:pStyle w:val="ListParagraph"/>
        <w:numPr>
          <w:ilvl w:val="0"/>
          <w:numId w:val="23"/>
        </w:numPr>
      </w:pPr>
      <w:r>
        <w:t>Test (Out-Sample) Period: 2016 to 201</w:t>
      </w:r>
      <w:r w:rsidR="004A451D">
        <w:t>7</w:t>
      </w:r>
    </w:p>
    <w:p w14:paraId="1730CC6B" w14:textId="76520C3C" w:rsidR="002B393A" w:rsidRDefault="002B393A" w:rsidP="002B393A">
      <w:pPr>
        <w:pStyle w:val="ListParagraph"/>
        <w:numPr>
          <w:ilvl w:val="0"/>
          <w:numId w:val="23"/>
        </w:numPr>
      </w:pPr>
      <w:r>
        <w:t>Back Test Period: 201</w:t>
      </w:r>
      <w:r w:rsidR="004A451D">
        <w:t>8</w:t>
      </w:r>
      <w:r>
        <w:t xml:space="preserve"> to 2020</w:t>
      </w:r>
    </w:p>
    <w:p w14:paraId="43AF561B" w14:textId="26935F41" w:rsidR="00437C40" w:rsidRDefault="00EF6842" w:rsidP="00437C40">
      <w:r>
        <w:t xml:space="preserve">Only data from stocks that have data for the entire </w:t>
      </w:r>
      <w:r w:rsidR="002B393A">
        <w:t>time frame</w:t>
      </w:r>
      <w:r>
        <w:t xml:space="preserve"> is used.</w:t>
      </w:r>
      <w:r w:rsidR="002B393A">
        <w:t xml:space="preserve"> Only 81 </w:t>
      </w:r>
      <w:r w:rsidR="000A7142">
        <w:t>of the stocks from the NASDAQ-100</w:t>
      </w:r>
      <w:r w:rsidR="002F6440">
        <w:t xml:space="preserve"> fulfill the conditions. </w:t>
      </w:r>
      <w:r>
        <w:t xml:space="preserve">The </w:t>
      </w:r>
      <w:r w:rsidR="002F6440">
        <w:t xml:space="preserve">full </w:t>
      </w:r>
      <w:r>
        <w:t xml:space="preserve">stock list </w:t>
      </w:r>
      <w:r w:rsidR="002F6440">
        <w:t xml:space="preserve">considered </w:t>
      </w:r>
      <w:r>
        <w:t>is shown in the appendix.</w:t>
      </w:r>
    </w:p>
    <w:p w14:paraId="6B827AEC" w14:textId="77777777" w:rsidR="00EF6842" w:rsidRPr="00437C40" w:rsidRDefault="00EF6842" w:rsidP="00437C40"/>
    <w:p w14:paraId="48F40BA0" w14:textId="0CF7C372" w:rsidR="0011350D" w:rsidRDefault="00437C40" w:rsidP="0011350D">
      <w:pPr>
        <w:pStyle w:val="Heading2"/>
      </w:pPr>
      <w:bookmarkStart w:id="4" w:name="_Toc57256048"/>
      <w:r>
        <w:t xml:space="preserve">Factor (Technical Indicator) </w:t>
      </w:r>
      <w:r w:rsidR="000A7142">
        <w:t>Analysis and Selection</w:t>
      </w:r>
      <w:bookmarkEnd w:id="4"/>
    </w:p>
    <w:p w14:paraId="52C3A401" w14:textId="5BC0AA77" w:rsidR="00B701CB" w:rsidRDefault="00A9169E" w:rsidP="00242563">
      <w:r>
        <w:t xml:space="preserve">The trading strategy to be developed utilizes a linear regression factor model to create signals. The factors for this model will be a set of 4 technical indicator. </w:t>
      </w:r>
      <w:r w:rsidR="00897A89">
        <w:t xml:space="preserve">As explained before, to remove factor redundancy, only one </w:t>
      </w:r>
      <w:r>
        <w:t>technical indicator</w:t>
      </w:r>
      <w:r w:rsidR="00897A89">
        <w:t xml:space="preserve"> from each class of indicators will be chosen. </w:t>
      </w:r>
      <w:r w:rsidR="000A7142">
        <w:t>Each of the four classes of indicators contains five technical indicators for consideration</w:t>
      </w:r>
      <w:r w:rsidR="006222F9">
        <w:t xml:space="preserve">. </w:t>
      </w:r>
      <w:r w:rsidR="000A7142">
        <w:t>The technical indicators are calculated for each stock given its OHLC and volume data</w:t>
      </w:r>
      <w:sdt>
        <w:sdtPr>
          <w:id w:val="1476879025"/>
          <w:citation/>
        </w:sdtPr>
        <w:sdtContent>
          <w:r w:rsidR="0067625B">
            <w:fldChar w:fldCharType="begin"/>
          </w:r>
          <w:r w:rsidR="0067625B">
            <w:instrText xml:space="preserve"> CITATION Pad18 \l 1033 </w:instrText>
          </w:r>
          <w:r w:rsidR="0067625B">
            <w:fldChar w:fldCharType="separate"/>
          </w:r>
          <w:r w:rsidR="00D50500">
            <w:rPr>
              <w:noProof/>
            </w:rPr>
            <w:t xml:space="preserve"> (Padial, </w:t>
          </w:r>
          <w:r w:rsidR="00D50500">
            <w:rPr>
              <w:noProof/>
            </w:rPr>
            <w:lastRenderedPageBreak/>
            <w:t>2018)</w:t>
          </w:r>
          <w:r w:rsidR="0067625B">
            <w:fldChar w:fldCharType="end"/>
          </w:r>
        </w:sdtContent>
      </w:sdt>
      <w:r w:rsidR="0067625B">
        <w:rPr>
          <w:rStyle w:val="FootnoteReference"/>
        </w:rPr>
        <w:footnoteReference w:id="2"/>
      </w:r>
      <w:r w:rsidR="000A7142">
        <w:t>. As many calculated indicators depend on the underlying price and volume, they cannot be directly compared between different stocks. A normalization process is applied by scaling each factor linearly to values between 0 and 1. This scaler will preserve the shape of the factor unlike other processes such as a normal (or standard normal) distribution mapping</w:t>
      </w:r>
      <w:sdt>
        <w:sdtPr>
          <w:id w:val="-1431973744"/>
          <w:citation/>
        </w:sdtPr>
        <w:sdtContent>
          <w:r w:rsidR="000A7142">
            <w:fldChar w:fldCharType="begin"/>
          </w:r>
          <w:r w:rsidR="000A7142">
            <w:instrText xml:space="preserve"> CITATION Hal19 \l 1033 </w:instrText>
          </w:r>
          <w:r w:rsidR="000A7142">
            <w:fldChar w:fldCharType="separate"/>
          </w:r>
          <w:r w:rsidR="00D50500">
            <w:rPr>
              <w:noProof/>
            </w:rPr>
            <w:t xml:space="preserve"> (Hale, 2019)</w:t>
          </w:r>
          <w:r w:rsidR="000A7142">
            <w:fldChar w:fldCharType="end"/>
          </w:r>
        </w:sdtContent>
      </w:sdt>
      <w:r w:rsidR="000A7142">
        <w:t>.</w:t>
      </w:r>
      <w:r w:rsidR="005E4129">
        <w:t xml:space="preserve"> Note that some technical indicators require a period of data before the evaluation date, </w:t>
      </w:r>
      <w:r w:rsidR="00085BF3">
        <w:t>thus null values will be present in some of the indicator calculations. Dates where there exist null values are dropped from consideration.</w:t>
      </w:r>
    </w:p>
    <w:p w14:paraId="524D06EE" w14:textId="4FE1623E" w:rsidR="00437C40" w:rsidRDefault="006222F9" w:rsidP="00085BF3">
      <w:pPr>
        <w:pStyle w:val="Heading3"/>
      </w:pPr>
      <w:r>
        <w:t xml:space="preserve">  </w:t>
      </w:r>
      <w:bookmarkStart w:id="5" w:name="_Toc57256049"/>
      <w:r w:rsidR="00085BF3">
        <w:t>Factor Correlation Analysis</w:t>
      </w:r>
      <w:bookmarkEnd w:id="5"/>
    </w:p>
    <w:p w14:paraId="1DECC3DD" w14:textId="22BB7542" w:rsidR="00B701CB" w:rsidRDefault="0046000C" w:rsidP="00A96746">
      <w:r>
        <w:t xml:space="preserve">The target vector is composed the forward close-close 1-day returns, given that the strategy will be daily trading. The </w:t>
      </w:r>
      <w:r w:rsidR="00085BF3">
        <w:t>trading signal is developed by attempting</w:t>
      </w:r>
      <w:r>
        <w:t xml:space="preserve"> to draw a relation between the proposed factors and the next-day return. </w:t>
      </w:r>
      <w:r w:rsidR="00A9169E">
        <w:t xml:space="preserve">Factors will be chosen based on their inter-factor and factor-target correlations. The goal here is to choose factors with the most correlation with the target factor, to maximize forecast predictability or explainability. Furthermore, to decrease redundancy and inter-factor correlations should be minimized. </w:t>
      </w:r>
      <w:r w:rsidR="00085BF3">
        <w:t xml:space="preserve">To determine </w:t>
      </w:r>
      <w:r w:rsidR="00A9169E">
        <w:t>these</w:t>
      </w:r>
      <w:r w:rsidR="00085BF3">
        <w:t xml:space="preserve"> correlations on the entire universe of stocks, the calculated factor matrix a</w:t>
      </w:r>
      <w:r w:rsidR="00A9169E">
        <w:t>nd target vector for each stock is combined into one large dataset</w:t>
      </w:r>
      <w:r w:rsidR="00085BF3">
        <w:t>.</w:t>
      </w:r>
      <w:r w:rsidR="00A9169E">
        <w:t xml:space="preserve"> Only the training data will be utilized for this correlation analysis.</w:t>
      </w:r>
      <w:r w:rsidR="00094998">
        <w:t xml:space="preserve"> From the large dataset, a correlation is calculated. The table below shows the inter-factor correlations and factor-target correlations for the momentum technical indicator factors</w:t>
      </w:r>
      <w:r w:rsidR="00880F59">
        <w:t xml:space="preserve">. The full matrix is 21 x 21, for the 20 factors and </w:t>
      </w:r>
      <w:r w:rsidR="007372FA">
        <w:t>one target vector.</w:t>
      </w:r>
      <w:r w:rsidR="00A96746">
        <w:t xml:space="preserve"> The inter-factor </w:t>
      </w:r>
      <w:r w:rsidR="00A96746">
        <w:lastRenderedPageBreak/>
        <w:t>correlation</w:t>
      </w:r>
      <w:r w:rsidR="002F6440">
        <w:t>s</w:t>
      </w:r>
      <w:r w:rsidR="00A96746">
        <w:t xml:space="preserve"> of the factors </w:t>
      </w:r>
      <w:r w:rsidR="002F6440">
        <w:t>are</w:t>
      </w:r>
      <w:r w:rsidR="00A96746">
        <w:t xml:space="preserve"> relatively high, especially the correlation between AO and PPO or PPO and RSI. This justifies our rational for choosing one factor from each factor class.</w:t>
      </w:r>
    </w:p>
    <w:tbl>
      <w:tblPr>
        <w:tblStyle w:val="APAReport"/>
        <w:tblW w:w="9360" w:type="dxa"/>
        <w:tblLook w:val="06A0" w:firstRow="1" w:lastRow="0" w:firstColumn="1" w:lastColumn="0" w:noHBand="1" w:noVBand="1"/>
      </w:tblPr>
      <w:tblGrid>
        <w:gridCol w:w="1972"/>
        <w:gridCol w:w="1083"/>
        <w:gridCol w:w="1083"/>
        <w:gridCol w:w="1083"/>
        <w:gridCol w:w="1083"/>
        <w:gridCol w:w="1084"/>
        <w:gridCol w:w="1972"/>
      </w:tblGrid>
      <w:tr w:rsidR="000F1BE4" w14:paraId="14541A79" w14:textId="52CE723F" w:rsidTr="000F1BE4">
        <w:trPr>
          <w:cnfStyle w:val="100000000000" w:firstRow="1" w:lastRow="0" w:firstColumn="0" w:lastColumn="0" w:oddVBand="0" w:evenVBand="0" w:oddHBand="0" w:evenHBand="0" w:firstRowFirstColumn="0" w:firstRowLastColumn="0" w:lastRowFirstColumn="0" w:lastRowLastColumn="0"/>
          <w:trHeight w:val="264"/>
        </w:trPr>
        <w:tc>
          <w:tcPr>
            <w:tcW w:w="1972" w:type="dxa"/>
          </w:tcPr>
          <w:p w14:paraId="62EC0A25" w14:textId="3203700C" w:rsidR="000F1BE4" w:rsidRDefault="000F1BE4" w:rsidP="000F1BE4">
            <w:pPr>
              <w:jc w:val="center"/>
            </w:pPr>
          </w:p>
        </w:tc>
        <w:tc>
          <w:tcPr>
            <w:tcW w:w="1083" w:type="dxa"/>
          </w:tcPr>
          <w:p w14:paraId="144E20FC" w14:textId="7911E3D8" w:rsidR="000F1BE4" w:rsidRDefault="000F1BE4" w:rsidP="000F1BE4">
            <w:pPr>
              <w:jc w:val="center"/>
            </w:pPr>
            <w:r w:rsidRPr="003C56FE">
              <w:t>AO</w:t>
            </w:r>
          </w:p>
        </w:tc>
        <w:tc>
          <w:tcPr>
            <w:tcW w:w="1083" w:type="dxa"/>
          </w:tcPr>
          <w:p w14:paraId="3213AE73" w14:textId="3E5ED526" w:rsidR="000F1BE4" w:rsidRDefault="000F1BE4" w:rsidP="000F1BE4">
            <w:pPr>
              <w:jc w:val="center"/>
            </w:pPr>
            <w:r w:rsidRPr="003C56FE">
              <w:t>KAMA</w:t>
            </w:r>
          </w:p>
        </w:tc>
        <w:tc>
          <w:tcPr>
            <w:tcW w:w="1083" w:type="dxa"/>
          </w:tcPr>
          <w:p w14:paraId="38185296" w14:textId="5723DA0F" w:rsidR="000F1BE4" w:rsidRDefault="000F1BE4" w:rsidP="000F1BE4">
            <w:pPr>
              <w:jc w:val="center"/>
            </w:pPr>
            <w:r w:rsidRPr="003C56FE">
              <w:t>PPO</w:t>
            </w:r>
          </w:p>
        </w:tc>
        <w:tc>
          <w:tcPr>
            <w:tcW w:w="1083" w:type="dxa"/>
          </w:tcPr>
          <w:p w14:paraId="1B0D6922" w14:textId="157167B0" w:rsidR="000F1BE4" w:rsidRDefault="000F1BE4" w:rsidP="000F1BE4">
            <w:pPr>
              <w:jc w:val="center"/>
            </w:pPr>
            <w:r w:rsidRPr="003C56FE">
              <w:t>RSI</w:t>
            </w:r>
          </w:p>
        </w:tc>
        <w:tc>
          <w:tcPr>
            <w:tcW w:w="1084" w:type="dxa"/>
          </w:tcPr>
          <w:p w14:paraId="0A5D242F" w14:textId="3AA3968A" w:rsidR="000F1BE4" w:rsidRDefault="000F1BE4" w:rsidP="000F1BE4">
            <w:pPr>
              <w:jc w:val="center"/>
            </w:pPr>
            <w:r w:rsidRPr="003C56FE">
              <w:t>SO</w:t>
            </w:r>
          </w:p>
        </w:tc>
        <w:tc>
          <w:tcPr>
            <w:tcW w:w="1972" w:type="dxa"/>
          </w:tcPr>
          <w:p w14:paraId="5501AFDB" w14:textId="171F7EB3" w:rsidR="000F1BE4" w:rsidRPr="003C56FE" w:rsidRDefault="000F1BE4" w:rsidP="000F1BE4">
            <w:pPr>
              <w:jc w:val="center"/>
            </w:pPr>
            <w:r w:rsidRPr="00961DCC">
              <w:t>Forward</w:t>
            </w:r>
            <w:r>
              <w:t xml:space="preserve"> </w:t>
            </w:r>
            <w:r w:rsidRPr="00961DCC">
              <w:t>Returns</w:t>
            </w:r>
          </w:p>
        </w:tc>
      </w:tr>
      <w:tr w:rsidR="000F1BE4" w14:paraId="4776C81F" w14:textId="3CC43DA6" w:rsidTr="000F1BE4">
        <w:trPr>
          <w:trHeight w:val="278"/>
        </w:trPr>
        <w:tc>
          <w:tcPr>
            <w:tcW w:w="1972" w:type="dxa"/>
          </w:tcPr>
          <w:p w14:paraId="79884CE6" w14:textId="2C2E40E5" w:rsidR="000F1BE4" w:rsidRDefault="000F1BE4" w:rsidP="000F1BE4">
            <w:pPr>
              <w:jc w:val="center"/>
            </w:pPr>
            <w:r w:rsidRPr="003C56FE">
              <w:t>AO</w:t>
            </w:r>
          </w:p>
        </w:tc>
        <w:tc>
          <w:tcPr>
            <w:tcW w:w="1083" w:type="dxa"/>
          </w:tcPr>
          <w:p w14:paraId="7CFB158D" w14:textId="103A0E0F" w:rsidR="000F1BE4" w:rsidRDefault="000F1BE4" w:rsidP="000F1BE4">
            <w:pPr>
              <w:jc w:val="center"/>
            </w:pPr>
            <w:r w:rsidRPr="003C56FE">
              <w:t>1.0000</w:t>
            </w:r>
          </w:p>
        </w:tc>
        <w:tc>
          <w:tcPr>
            <w:tcW w:w="1083" w:type="dxa"/>
          </w:tcPr>
          <w:p w14:paraId="613209C2" w14:textId="1E39FD04" w:rsidR="000F1BE4" w:rsidRDefault="000F1BE4" w:rsidP="000F1BE4">
            <w:pPr>
              <w:jc w:val="center"/>
            </w:pPr>
            <w:r w:rsidRPr="003C56FE">
              <w:t>0.1412</w:t>
            </w:r>
          </w:p>
        </w:tc>
        <w:tc>
          <w:tcPr>
            <w:tcW w:w="1083" w:type="dxa"/>
          </w:tcPr>
          <w:p w14:paraId="57AD488B" w14:textId="31AC3255" w:rsidR="000F1BE4" w:rsidRDefault="000F1BE4" w:rsidP="000F1BE4">
            <w:pPr>
              <w:jc w:val="center"/>
            </w:pPr>
            <w:r w:rsidRPr="003C56FE">
              <w:t>0.6135</w:t>
            </w:r>
          </w:p>
        </w:tc>
        <w:tc>
          <w:tcPr>
            <w:tcW w:w="1083" w:type="dxa"/>
          </w:tcPr>
          <w:p w14:paraId="1441339B" w14:textId="3613C357" w:rsidR="000F1BE4" w:rsidRDefault="000F1BE4" w:rsidP="000F1BE4">
            <w:pPr>
              <w:jc w:val="center"/>
            </w:pPr>
            <w:r w:rsidRPr="003C56FE">
              <w:t>0.3563</w:t>
            </w:r>
          </w:p>
        </w:tc>
        <w:tc>
          <w:tcPr>
            <w:tcW w:w="1084" w:type="dxa"/>
          </w:tcPr>
          <w:p w14:paraId="2100CADD" w14:textId="2F39BFFE" w:rsidR="000F1BE4" w:rsidRDefault="000F1BE4" w:rsidP="000F1BE4">
            <w:pPr>
              <w:jc w:val="center"/>
            </w:pPr>
            <w:r w:rsidRPr="003C56FE">
              <w:t>0.3046</w:t>
            </w:r>
          </w:p>
        </w:tc>
        <w:tc>
          <w:tcPr>
            <w:tcW w:w="1972" w:type="dxa"/>
          </w:tcPr>
          <w:p w14:paraId="4F7DE205" w14:textId="268E2CBC" w:rsidR="000F1BE4" w:rsidRPr="003C56FE" w:rsidRDefault="000F1BE4" w:rsidP="000F1BE4">
            <w:pPr>
              <w:jc w:val="center"/>
            </w:pPr>
            <w:r w:rsidRPr="00961DCC">
              <w:t>-0.0172</w:t>
            </w:r>
          </w:p>
        </w:tc>
      </w:tr>
      <w:tr w:rsidR="000F1BE4" w14:paraId="48296908" w14:textId="2B54B60E" w:rsidTr="000F1BE4">
        <w:trPr>
          <w:trHeight w:val="264"/>
        </w:trPr>
        <w:tc>
          <w:tcPr>
            <w:tcW w:w="1972" w:type="dxa"/>
          </w:tcPr>
          <w:p w14:paraId="32E81784" w14:textId="3E36B64B" w:rsidR="000F1BE4" w:rsidRDefault="000F1BE4" w:rsidP="000F1BE4">
            <w:pPr>
              <w:jc w:val="center"/>
            </w:pPr>
            <w:r w:rsidRPr="003C56FE">
              <w:t>KAMA</w:t>
            </w:r>
          </w:p>
        </w:tc>
        <w:tc>
          <w:tcPr>
            <w:tcW w:w="1083" w:type="dxa"/>
          </w:tcPr>
          <w:p w14:paraId="0CDAFD05" w14:textId="0A37A514" w:rsidR="000F1BE4" w:rsidRDefault="000F1BE4" w:rsidP="000F1BE4">
            <w:pPr>
              <w:jc w:val="center"/>
            </w:pPr>
            <w:r w:rsidRPr="003C56FE">
              <w:t>0.1412</w:t>
            </w:r>
          </w:p>
        </w:tc>
        <w:tc>
          <w:tcPr>
            <w:tcW w:w="1083" w:type="dxa"/>
          </w:tcPr>
          <w:p w14:paraId="73EC4C93" w14:textId="13C49FA0" w:rsidR="000F1BE4" w:rsidRDefault="000F1BE4" w:rsidP="000F1BE4">
            <w:pPr>
              <w:jc w:val="center"/>
            </w:pPr>
            <w:r w:rsidRPr="003C56FE">
              <w:t>1.0000</w:t>
            </w:r>
          </w:p>
        </w:tc>
        <w:tc>
          <w:tcPr>
            <w:tcW w:w="1083" w:type="dxa"/>
          </w:tcPr>
          <w:p w14:paraId="4B42990A" w14:textId="792C68CE" w:rsidR="000F1BE4" w:rsidRDefault="000F1BE4" w:rsidP="000F1BE4">
            <w:pPr>
              <w:jc w:val="center"/>
            </w:pPr>
            <w:r w:rsidRPr="003C56FE">
              <w:t>0.0099</w:t>
            </w:r>
          </w:p>
        </w:tc>
        <w:tc>
          <w:tcPr>
            <w:tcW w:w="1083" w:type="dxa"/>
          </w:tcPr>
          <w:p w14:paraId="66742FB4" w14:textId="37BDA311" w:rsidR="000F1BE4" w:rsidRDefault="000F1BE4" w:rsidP="000F1BE4">
            <w:pPr>
              <w:jc w:val="center"/>
            </w:pPr>
            <w:r w:rsidRPr="003C56FE">
              <w:t>0.0231</w:t>
            </w:r>
          </w:p>
        </w:tc>
        <w:tc>
          <w:tcPr>
            <w:tcW w:w="1084" w:type="dxa"/>
          </w:tcPr>
          <w:p w14:paraId="7FF9AA74" w14:textId="0125A350" w:rsidR="000F1BE4" w:rsidRDefault="000F1BE4" w:rsidP="000F1BE4">
            <w:pPr>
              <w:jc w:val="center"/>
            </w:pPr>
            <w:r w:rsidRPr="003C56FE">
              <w:t>-0.0309</w:t>
            </w:r>
          </w:p>
        </w:tc>
        <w:tc>
          <w:tcPr>
            <w:tcW w:w="1972" w:type="dxa"/>
          </w:tcPr>
          <w:p w14:paraId="6BD90190" w14:textId="3756FF37" w:rsidR="000F1BE4" w:rsidRPr="003C56FE" w:rsidRDefault="000F1BE4" w:rsidP="000F1BE4">
            <w:pPr>
              <w:jc w:val="center"/>
            </w:pPr>
            <w:r w:rsidRPr="00961DCC">
              <w:t>-0.0174</w:t>
            </w:r>
          </w:p>
        </w:tc>
      </w:tr>
      <w:tr w:rsidR="000F1BE4" w14:paraId="5594E39C" w14:textId="7F1DE047" w:rsidTr="000F1BE4">
        <w:trPr>
          <w:trHeight w:val="278"/>
        </w:trPr>
        <w:tc>
          <w:tcPr>
            <w:tcW w:w="1972" w:type="dxa"/>
          </w:tcPr>
          <w:p w14:paraId="77AF24EE" w14:textId="6A5F87D4" w:rsidR="000F1BE4" w:rsidRDefault="000F1BE4" w:rsidP="000F1BE4">
            <w:pPr>
              <w:jc w:val="center"/>
            </w:pPr>
            <w:r w:rsidRPr="003C56FE">
              <w:t>PPO</w:t>
            </w:r>
          </w:p>
        </w:tc>
        <w:tc>
          <w:tcPr>
            <w:tcW w:w="1083" w:type="dxa"/>
          </w:tcPr>
          <w:p w14:paraId="1528B42D" w14:textId="63360211" w:rsidR="000F1BE4" w:rsidRDefault="000F1BE4" w:rsidP="000F1BE4">
            <w:pPr>
              <w:jc w:val="center"/>
            </w:pPr>
            <w:r w:rsidRPr="003C56FE">
              <w:t>0.6135</w:t>
            </w:r>
          </w:p>
        </w:tc>
        <w:tc>
          <w:tcPr>
            <w:tcW w:w="1083" w:type="dxa"/>
          </w:tcPr>
          <w:p w14:paraId="7AD2DDBA" w14:textId="29FA4448" w:rsidR="000F1BE4" w:rsidRDefault="000F1BE4" w:rsidP="000F1BE4">
            <w:pPr>
              <w:jc w:val="center"/>
            </w:pPr>
            <w:r w:rsidRPr="003C56FE">
              <w:t>0.0099</w:t>
            </w:r>
          </w:p>
        </w:tc>
        <w:tc>
          <w:tcPr>
            <w:tcW w:w="1083" w:type="dxa"/>
          </w:tcPr>
          <w:p w14:paraId="06912CD3" w14:textId="011A4C89" w:rsidR="000F1BE4" w:rsidRDefault="000F1BE4" w:rsidP="000F1BE4">
            <w:pPr>
              <w:jc w:val="center"/>
            </w:pPr>
            <w:r w:rsidRPr="003C56FE">
              <w:t>1.0000</w:t>
            </w:r>
          </w:p>
        </w:tc>
        <w:tc>
          <w:tcPr>
            <w:tcW w:w="1083" w:type="dxa"/>
          </w:tcPr>
          <w:p w14:paraId="2C522585" w14:textId="68F6D718" w:rsidR="000F1BE4" w:rsidRDefault="000F1BE4" w:rsidP="000F1BE4">
            <w:pPr>
              <w:jc w:val="center"/>
            </w:pPr>
            <w:r w:rsidRPr="003C56FE">
              <w:t>0.6102</w:t>
            </w:r>
          </w:p>
        </w:tc>
        <w:tc>
          <w:tcPr>
            <w:tcW w:w="1084" w:type="dxa"/>
          </w:tcPr>
          <w:p w14:paraId="189D33B9" w14:textId="60A69DD1" w:rsidR="000F1BE4" w:rsidRDefault="000F1BE4" w:rsidP="000F1BE4">
            <w:pPr>
              <w:jc w:val="center"/>
            </w:pPr>
            <w:r w:rsidRPr="003C56FE">
              <w:t>0.3181</w:t>
            </w:r>
          </w:p>
        </w:tc>
        <w:tc>
          <w:tcPr>
            <w:tcW w:w="1972" w:type="dxa"/>
          </w:tcPr>
          <w:p w14:paraId="38320472" w14:textId="1F89AF6F" w:rsidR="000F1BE4" w:rsidRPr="003C56FE" w:rsidRDefault="000F1BE4" w:rsidP="000F1BE4">
            <w:pPr>
              <w:jc w:val="center"/>
            </w:pPr>
            <w:r w:rsidRPr="00961DCC">
              <w:t>-0.0182</w:t>
            </w:r>
          </w:p>
        </w:tc>
      </w:tr>
      <w:tr w:rsidR="000F1BE4" w14:paraId="48E4E608" w14:textId="71E15E9B" w:rsidTr="000F1BE4">
        <w:trPr>
          <w:trHeight w:val="264"/>
        </w:trPr>
        <w:tc>
          <w:tcPr>
            <w:tcW w:w="1972" w:type="dxa"/>
          </w:tcPr>
          <w:p w14:paraId="4BECB987" w14:textId="1334D3A4" w:rsidR="000F1BE4" w:rsidRDefault="000F1BE4" w:rsidP="000F1BE4">
            <w:pPr>
              <w:jc w:val="center"/>
            </w:pPr>
            <w:r w:rsidRPr="003C56FE">
              <w:t>RSI</w:t>
            </w:r>
          </w:p>
        </w:tc>
        <w:tc>
          <w:tcPr>
            <w:tcW w:w="1083" w:type="dxa"/>
          </w:tcPr>
          <w:p w14:paraId="5396526C" w14:textId="0397C76A" w:rsidR="000F1BE4" w:rsidRDefault="000F1BE4" w:rsidP="000F1BE4">
            <w:pPr>
              <w:jc w:val="center"/>
            </w:pPr>
            <w:r w:rsidRPr="003C56FE">
              <w:t>0.3563</w:t>
            </w:r>
          </w:p>
        </w:tc>
        <w:tc>
          <w:tcPr>
            <w:tcW w:w="1083" w:type="dxa"/>
          </w:tcPr>
          <w:p w14:paraId="357EF44D" w14:textId="70C9DE95" w:rsidR="000F1BE4" w:rsidRDefault="000F1BE4" w:rsidP="000F1BE4">
            <w:pPr>
              <w:jc w:val="center"/>
            </w:pPr>
            <w:r w:rsidRPr="003C56FE">
              <w:t>0.0231</w:t>
            </w:r>
          </w:p>
        </w:tc>
        <w:tc>
          <w:tcPr>
            <w:tcW w:w="1083" w:type="dxa"/>
          </w:tcPr>
          <w:p w14:paraId="626F0C4E" w14:textId="0B6CF95C" w:rsidR="000F1BE4" w:rsidRDefault="000F1BE4" w:rsidP="000F1BE4">
            <w:pPr>
              <w:jc w:val="center"/>
            </w:pPr>
            <w:r w:rsidRPr="003C56FE">
              <w:t>0.6102</w:t>
            </w:r>
          </w:p>
        </w:tc>
        <w:tc>
          <w:tcPr>
            <w:tcW w:w="1083" w:type="dxa"/>
          </w:tcPr>
          <w:p w14:paraId="5CE96E54" w14:textId="6EA70261" w:rsidR="000F1BE4" w:rsidRDefault="000F1BE4" w:rsidP="000F1BE4">
            <w:pPr>
              <w:jc w:val="center"/>
            </w:pPr>
            <w:r w:rsidRPr="003C56FE">
              <w:t>1.0000</w:t>
            </w:r>
          </w:p>
        </w:tc>
        <w:tc>
          <w:tcPr>
            <w:tcW w:w="1084" w:type="dxa"/>
          </w:tcPr>
          <w:p w14:paraId="68796C2A" w14:textId="181339C7" w:rsidR="000F1BE4" w:rsidRDefault="000F1BE4" w:rsidP="000F1BE4">
            <w:pPr>
              <w:jc w:val="center"/>
            </w:pPr>
            <w:r w:rsidRPr="003C56FE">
              <w:t>0.6531</w:t>
            </w:r>
          </w:p>
        </w:tc>
        <w:tc>
          <w:tcPr>
            <w:tcW w:w="1972" w:type="dxa"/>
          </w:tcPr>
          <w:p w14:paraId="6DF74E4D" w14:textId="001BEF9F" w:rsidR="000F1BE4" w:rsidRPr="003C56FE" w:rsidRDefault="000F1BE4" w:rsidP="000F1BE4">
            <w:pPr>
              <w:jc w:val="center"/>
            </w:pPr>
            <w:r w:rsidRPr="00961DCC">
              <w:t>-0.0294</w:t>
            </w:r>
          </w:p>
        </w:tc>
      </w:tr>
      <w:tr w:rsidR="000F1BE4" w14:paraId="1B751679" w14:textId="4383D2B0" w:rsidTr="000F1BE4">
        <w:trPr>
          <w:trHeight w:val="264"/>
        </w:trPr>
        <w:tc>
          <w:tcPr>
            <w:tcW w:w="1972" w:type="dxa"/>
          </w:tcPr>
          <w:p w14:paraId="423ABD81" w14:textId="349C488E" w:rsidR="000F1BE4" w:rsidRDefault="000F1BE4" w:rsidP="000F1BE4">
            <w:pPr>
              <w:jc w:val="center"/>
            </w:pPr>
            <w:r w:rsidRPr="003C56FE">
              <w:t>SO</w:t>
            </w:r>
          </w:p>
        </w:tc>
        <w:tc>
          <w:tcPr>
            <w:tcW w:w="1083" w:type="dxa"/>
          </w:tcPr>
          <w:p w14:paraId="6284DCA5" w14:textId="6A985171" w:rsidR="000F1BE4" w:rsidRDefault="000F1BE4" w:rsidP="000F1BE4">
            <w:pPr>
              <w:jc w:val="center"/>
            </w:pPr>
            <w:r w:rsidRPr="003C56FE">
              <w:t>0.3046</w:t>
            </w:r>
          </w:p>
        </w:tc>
        <w:tc>
          <w:tcPr>
            <w:tcW w:w="1083" w:type="dxa"/>
          </w:tcPr>
          <w:p w14:paraId="1E119D88" w14:textId="70793E6E" w:rsidR="000F1BE4" w:rsidRDefault="000F1BE4" w:rsidP="000F1BE4">
            <w:pPr>
              <w:jc w:val="center"/>
            </w:pPr>
            <w:r w:rsidRPr="003C56FE">
              <w:t>-0.0309</w:t>
            </w:r>
          </w:p>
        </w:tc>
        <w:tc>
          <w:tcPr>
            <w:tcW w:w="1083" w:type="dxa"/>
          </w:tcPr>
          <w:p w14:paraId="24D519FD" w14:textId="765CEEC1" w:rsidR="000F1BE4" w:rsidRDefault="000F1BE4" w:rsidP="000F1BE4">
            <w:pPr>
              <w:jc w:val="center"/>
            </w:pPr>
            <w:r w:rsidRPr="003C56FE">
              <w:t>0.3181</w:t>
            </w:r>
          </w:p>
        </w:tc>
        <w:tc>
          <w:tcPr>
            <w:tcW w:w="1083" w:type="dxa"/>
          </w:tcPr>
          <w:p w14:paraId="1E52BF80" w14:textId="6640586C" w:rsidR="000F1BE4" w:rsidRDefault="000F1BE4" w:rsidP="000F1BE4">
            <w:pPr>
              <w:jc w:val="center"/>
            </w:pPr>
            <w:r w:rsidRPr="003C56FE">
              <w:t>0.6531</w:t>
            </w:r>
          </w:p>
        </w:tc>
        <w:tc>
          <w:tcPr>
            <w:tcW w:w="1084" w:type="dxa"/>
          </w:tcPr>
          <w:p w14:paraId="67895B01" w14:textId="4D8D203E" w:rsidR="000F1BE4" w:rsidRDefault="000F1BE4" w:rsidP="000F1BE4">
            <w:pPr>
              <w:jc w:val="center"/>
            </w:pPr>
            <w:r w:rsidRPr="003C56FE">
              <w:t>1.0000</w:t>
            </w:r>
          </w:p>
        </w:tc>
        <w:tc>
          <w:tcPr>
            <w:tcW w:w="1972" w:type="dxa"/>
          </w:tcPr>
          <w:p w14:paraId="33368760" w14:textId="4AC46660" w:rsidR="000F1BE4" w:rsidRPr="003C56FE" w:rsidRDefault="000F1BE4" w:rsidP="000F1BE4">
            <w:pPr>
              <w:jc w:val="center"/>
            </w:pPr>
            <w:r w:rsidRPr="00961DCC">
              <w:t>-0.0231</w:t>
            </w:r>
          </w:p>
        </w:tc>
      </w:tr>
      <w:tr w:rsidR="000F1BE4" w14:paraId="26A07646" w14:textId="4DF434C2" w:rsidTr="000F1BE4">
        <w:trPr>
          <w:trHeight w:val="264"/>
        </w:trPr>
        <w:tc>
          <w:tcPr>
            <w:tcW w:w="1972" w:type="dxa"/>
          </w:tcPr>
          <w:p w14:paraId="105990DC" w14:textId="0FB468A7" w:rsidR="000F1BE4" w:rsidRDefault="000F1BE4" w:rsidP="000F1BE4">
            <w:pPr>
              <w:jc w:val="center"/>
            </w:pPr>
            <w:r w:rsidRPr="003C56FE">
              <w:t>Forward</w:t>
            </w:r>
            <w:r>
              <w:t xml:space="preserve"> </w:t>
            </w:r>
            <w:r w:rsidRPr="003C56FE">
              <w:t>Returns</w:t>
            </w:r>
          </w:p>
        </w:tc>
        <w:tc>
          <w:tcPr>
            <w:tcW w:w="1083" w:type="dxa"/>
          </w:tcPr>
          <w:p w14:paraId="5716F421" w14:textId="651ECDB6" w:rsidR="000F1BE4" w:rsidRDefault="000F1BE4" w:rsidP="000F1BE4">
            <w:pPr>
              <w:jc w:val="center"/>
            </w:pPr>
            <w:r w:rsidRPr="003C56FE">
              <w:t>-0.0172</w:t>
            </w:r>
          </w:p>
        </w:tc>
        <w:tc>
          <w:tcPr>
            <w:tcW w:w="1083" w:type="dxa"/>
          </w:tcPr>
          <w:p w14:paraId="547710A0" w14:textId="69C6A0AC" w:rsidR="000F1BE4" w:rsidRDefault="000F1BE4" w:rsidP="000F1BE4">
            <w:pPr>
              <w:jc w:val="center"/>
            </w:pPr>
            <w:r w:rsidRPr="003C56FE">
              <w:t>-0.0174</w:t>
            </w:r>
          </w:p>
        </w:tc>
        <w:tc>
          <w:tcPr>
            <w:tcW w:w="1083" w:type="dxa"/>
          </w:tcPr>
          <w:p w14:paraId="76C5AED3" w14:textId="040ED35C" w:rsidR="000F1BE4" w:rsidRDefault="000F1BE4" w:rsidP="000F1BE4">
            <w:pPr>
              <w:jc w:val="center"/>
            </w:pPr>
            <w:r w:rsidRPr="003C56FE">
              <w:t>-0.0182</w:t>
            </w:r>
          </w:p>
        </w:tc>
        <w:tc>
          <w:tcPr>
            <w:tcW w:w="1083" w:type="dxa"/>
          </w:tcPr>
          <w:p w14:paraId="164FF8E8" w14:textId="47CF20FA" w:rsidR="000F1BE4" w:rsidRDefault="000F1BE4" w:rsidP="000F1BE4">
            <w:pPr>
              <w:jc w:val="center"/>
            </w:pPr>
            <w:r w:rsidRPr="003C56FE">
              <w:t>-0.0294</w:t>
            </w:r>
          </w:p>
        </w:tc>
        <w:tc>
          <w:tcPr>
            <w:tcW w:w="1084" w:type="dxa"/>
          </w:tcPr>
          <w:p w14:paraId="0DFB6F8D" w14:textId="7030E545" w:rsidR="000F1BE4" w:rsidRDefault="000F1BE4" w:rsidP="000F1BE4">
            <w:pPr>
              <w:jc w:val="center"/>
            </w:pPr>
            <w:r w:rsidRPr="003C56FE">
              <w:t>-0.0231</w:t>
            </w:r>
          </w:p>
        </w:tc>
        <w:tc>
          <w:tcPr>
            <w:tcW w:w="1972" w:type="dxa"/>
          </w:tcPr>
          <w:p w14:paraId="2C98C9E0" w14:textId="6B9852E1" w:rsidR="000F1BE4" w:rsidRPr="003C56FE" w:rsidRDefault="000F1BE4" w:rsidP="000F1BE4">
            <w:pPr>
              <w:jc w:val="center"/>
            </w:pPr>
            <w:r w:rsidRPr="00961DCC">
              <w:t>1.0000</w:t>
            </w:r>
          </w:p>
        </w:tc>
      </w:tr>
    </w:tbl>
    <w:p w14:paraId="3EED03D6" w14:textId="26CC1539" w:rsidR="00A9169E" w:rsidRPr="009D4ABE" w:rsidRDefault="000F1BE4" w:rsidP="009D4ABE">
      <w:pPr>
        <w:pStyle w:val="tables"/>
      </w:pPr>
      <w:r w:rsidRPr="009D4ABE">
        <w:t>Correlation Matrix of Momentum Factor Matrix and Target Vector</w:t>
      </w:r>
    </w:p>
    <w:p w14:paraId="02824467" w14:textId="39E11396" w:rsidR="0046000C" w:rsidRDefault="00470996" w:rsidP="006222F9">
      <w:r>
        <w:t>To analyze correlation, the following metrics are calculated for each factor combination: average inter-factor correlation, max inter-factor correlation, average factor-return correlation. The table below shows summary metrics for these calculations.</w:t>
      </w:r>
    </w:p>
    <w:tbl>
      <w:tblPr>
        <w:tblStyle w:val="APAReport"/>
        <w:tblW w:w="9360" w:type="dxa"/>
        <w:tblLook w:val="06A0" w:firstRow="1" w:lastRow="0" w:firstColumn="1" w:lastColumn="0" w:noHBand="1" w:noVBand="1"/>
      </w:tblPr>
      <w:tblGrid>
        <w:gridCol w:w="1961"/>
        <w:gridCol w:w="2518"/>
        <w:gridCol w:w="2163"/>
        <w:gridCol w:w="2718"/>
      </w:tblGrid>
      <w:tr w:rsidR="00470996" w14:paraId="5AB750C0" w14:textId="77777777" w:rsidTr="00470996">
        <w:trPr>
          <w:cnfStyle w:val="100000000000" w:firstRow="1" w:lastRow="0" w:firstColumn="0" w:lastColumn="0" w:oddVBand="0" w:evenVBand="0" w:oddHBand="0" w:evenHBand="0" w:firstRowFirstColumn="0" w:firstRowLastColumn="0" w:lastRowFirstColumn="0" w:lastRowLastColumn="0"/>
          <w:trHeight w:val="264"/>
        </w:trPr>
        <w:tc>
          <w:tcPr>
            <w:tcW w:w="1961" w:type="dxa"/>
          </w:tcPr>
          <w:p w14:paraId="7200ECDA" w14:textId="77777777" w:rsidR="00470996" w:rsidRDefault="00470996" w:rsidP="00470996">
            <w:pPr>
              <w:jc w:val="center"/>
            </w:pPr>
          </w:p>
        </w:tc>
        <w:tc>
          <w:tcPr>
            <w:tcW w:w="2518" w:type="dxa"/>
          </w:tcPr>
          <w:p w14:paraId="288B63CE" w14:textId="219492C1" w:rsidR="00470996" w:rsidRDefault="00470996" w:rsidP="00470996">
            <w:pPr>
              <w:jc w:val="center"/>
            </w:pPr>
            <w:r>
              <w:t>Average Inter-Factor Correlation</w:t>
            </w:r>
          </w:p>
        </w:tc>
        <w:tc>
          <w:tcPr>
            <w:tcW w:w="2163" w:type="dxa"/>
          </w:tcPr>
          <w:p w14:paraId="06808C03" w14:textId="3AD0BA7B" w:rsidR="00470996" w:rsidRDefault="00470996" w:rsidP="00470996">
            <w:pPr>
              <w:jc w:val="center"/>
            </w:pPr>
            <w:r>
              <w:t>Max Inter-Factor Correlation</w:t>
            </w:r>
          </w:p>
        </w:tc>
        <w:tc>
          <w:tcPr>
            <w:tcW w:w="2718" w:type="dxa"/>
          </w:tcPr>
          <w:p w14:paraId="0C880F15" w14:textId="7C97DB5C" w:rsidR="00470996" w:rsidRDefault="00470996" w:rsidP="00470996">
            <w:pPr>
              <w:jc w:val="center"/>
            </w:pPr>
            <w:r>
              <w:t>Average Factor-Return Correlation</w:t>
            </w:r>
          </w:p>
        </w:tc>
      </w:tr>
      <w:tr w:rsidR="00470996" w14:paraId="130F7234" w14:textId="77777777" w:rsidTr="00470996">
        <w:trPr>
          <w:trHeight w:val="278"/>
        </w:trPr>
        <w:tc>
          <w:tcPr>
            <w:tcW w:w="1961" w:type="dxa"/>
          </w:tcPr>
          <w:p w14:paraId="45A1B176" w14:textId="53D87C12" w:rsidR="00470996" w:rsidRDefault="00470996" w:rsidP="00470996">
            <w:pPr>
              <w:jc w:val="center"/>
            </w:pPr>
            <w:r w:rsidRPr="0078316B">
              <w:t>mean</w:t>
            </w:r>
          </w:p>
        </w:tc>
        <w:tc>
          <w:tcPr>
            <w:tcW w:w="2518" w:type="dxa"/>
          </w:tcPr>
          <w:p w14:paraId="6721E24B" w14:textId="79BBDCB7" w:rsidR="00470996" w:rsidRDefault="00470996" w:rsidP="00470996">
            <w:pPr>
              <w:jc w:val="center"/>
            </w:pPr>
            <w:r w:rsidRPr="0078316B">
              <w:t>0.207</w:t>
            </w:r>
            <w:r>
              <w:t>2</w:t>
            </w:r>
          </w:p>
        </w:tc>
        <w:tc>
          <w:tcPr>
            <w:tcW w:w="2163" w:type="dxa"/>
          </w:tcPr>
          <w:p w14:paraId="19F33CB4" w14:textId="72AC99D5" w:rsidR="00470996" w:rsidRDefault="00470996" w:rsidP="00470996">
            <w:pPr>
              <w:jc w:val="center"/>
            </w:pPr>
            <w:r w:rsidRPr="0078316B">
              <w:t>0.560</w:t>
            </w:r>
            <w:r>
              <w:t>9</w:t>
            </w:r>
          </w:p>
        </w:tc>
        <w:tc>
          <w:tcPr>
            <w:tcW w:w="2718" w:type="dxa"/>
          </w:tcPr>
          <w:p w14:paraId="236C769F" w14:textId="126651C8" w:rsidR="00470996" w:rsidRDefault="00470996" w:rsidP="00470996">
            <w:pPr>
              <w:jc w:val="center"/>
            </w:pPr>
            <w:r w:rsidRPr="0078316B">
              <w:t>0.01654</w:t>
            </w:r>
          </w:p>
        </w:tc>
      </w:tr>
      <w:tr w:rsidR="00470996" w14:paraId="0A86B14C" w14:textId="77777777" w:rsidTr="00470996">
        <w:trPr>
          <w:trHeight w:val="264"/>
        </w:trPr>
        <w:tc>
          <w:tcPr>
            <w:tcW w:w="1961" w:type="dxa"/>
          </w:tcPr>
          <w:p w14:paraId="529CF075" w14:textId="7CB28941" w:rsidR="00470996" w:rsidRDefault="00470996" w:rsidP="00470996">
            <w:pPr>
              <w:jc w:val="center"/>
            </w:pPr>
            <w:r w:rsidRPr="0078316B">
              <w:t>min</w:t>
            </w:r>
          </w:p>
        </w:tc>
        <w:tc>
          <w:tcPr>
            <w:tcW w:w="2518" w:type="dxa"/>
          </w:tcPr>
          <w:p w14:paraId="69C1A1DA" w14:textId="6E8B86B6" w:rsidR="00470996" w:rsidRDefault="00470996" w:rsidP="00470996">
            <w:pPr>
              <w:jc w:val="center"/>
            </w:pPr>
            <w:r w:rsidRPr="0078316B">
              <w:t>0.0323</w:t>
            </w:r>
          </w:p>
        </w:tc>
        <w:tc>
          <w:tcPr>
            <w:tcW w:w="2163" w:type="dxa"/>
          </w:tcPr>
          <w:p w14:paraId="446B10DF" w14:textId="5F3528D9" w:rsidR="00470996" w:rsidRDefault="00470996" w:rsidP="00470996">
            <w:pPr>
              <w:jc w:val="center"/>
            </w:pPr>
            <w:r w:rsidRPr="0078316B">
              <w:t>0.051</w:t>
            </w:r>
            <w:r>
              <w:t>4</w:t>
            </w:r>
          </w:p>
        </w:tc>
        <w:tc>
          <w:tcPr>
            <w:tcW w:w="2718" w:type="dxa"/>
          </w:tcPr>
          <w:p w14:paraId="5A730B55" w14:textId="37008DA4" w:rsidR="00470996" w:rsidRDefault="00470996" w:rsidP="00470996">
            <w:pPr>
              <w:jc w:val="center"/>
            </w:pPr>
            <w:r w:rsidRPr="0078316B">
              <w:t>0.0062</w:t>
            </w:r>
            <w:r>
              <w:t>2</w:t>
            </w:r>
          </w:p>
        </w:tc>
      </w:tr>
      <w:tr w:rsidR="00470996" w14:paraId="6E3E47CF" w14:textId="77777777" w:rsidTr="00470996">
        <w:trPr>
          <w:trHeight w:val="278"/>
        </w:trPr>
        <w:tc>
          <w:tcPr>
            <w:tcW w:w="1961" w:type="dxa"/>
          </w:tcPr>
          <w:p w14:paraId="6C4C55EC" w14:textId="4D0D94FD" w:rsidR="00470996" w:rsidRDefault="00470996" w:rsidP="00470996">
            <w:pPr>
              <w:jc w:val="center"/>
            </w:pPr>
            <w:r w:rsidRPr="0078316B">
              <w:t>max</w:t>
            </w:r>
          </w:p>
        </w:tc>
        <w:tc>
          <w:tcPr>
            <w:tcW w:w="2518" w:type="dxa"/>
          </w:tcPr>
          <w:p w14:paraId="47892A1B" w14:textId="4BB12C4D" w:rsidR="00470996" w:rsidRDefault="00470996" w:rsidP="00470996">
            <w:pPr>
              <w:jc w:val="center"/>
            </w:pPr>
            <w:r w:rsidRPr="0078316B">
              <w:t>0.694</w:t>
            </w:r>
            <w:r>
              <w:t>1</w:t>
            </w:r>
          </w:p>
        </w:tc>
        <w:tc>
          <w:tcPr>
            <w:tcW w:w="2163" w:type="dxa"/>
          </w:tcPr>
          <w:p w14:paraId="742132E2" w14:textId="156D0505" w:rsidR="00470996" w:rsidRDefault="00470996" w:rsidP="00470996">
            <w:pPr>
              <w:jc w:val="center"/>
            </w:pPr>
            <w:r w:rsidRPr="0078316B">
              <w:t>0.9250</w:t>
            </w:r>
          </w:p>
        </w:tc>
        <w:tc>
          <w:tcPr>
            <w:tcW w:w="2718" w:type="dxa"/>
          </w:tcPr>
          <w:p w14:paraId="38AA0994" w14:textId="5C270F93" w:rsidR="00470996" w:rsidRDefault="00470996" w:rsidP="00470996">
            <w:pPr>
              <w:jc w:val="center"/>
            </w:pPr>
            <w:r w:rsidRPr="0078316B">
              <w:t>0.0263</w:t>
            </w:r>
            <w:r>
              <w:t>5</w:t>
            </w:r>
          </w:p>
        </w:tc>
      </w:tr>
    </w:tbl>
    <w:p w14:paraId="0AB93305" w14:textId="40153339" w:rsidR="00470996" w:rsidRDefault="00470996" w:rsidP="009D4ABE">
      <w:pPr>
        <w:pStyle w:val="tables"/>
      </w:pPr>
      <w:r w:rsidRPr="00470996">
        <w:t>Summary Metrics of Factor Correlation Analysis for Combinations Formed by Picking one from each Category</w:t>
      </w:r>
    </w:p>
    <w:p w14:paraId="16C1A659" w14:textId="77777777" w:rsidR="00A96746" w:rsidRDefault="00470996" w:rsidP="00470996">
      <w:r>
        <w:t xml:space="preserve">Minimizing inter-factor correlation is the main goal to reduce redundancy between factors. Some factor combinations show almost 70% correlation between factors, indicating significant redundancy and overlap in information provided by factors. </w:t>
      </w:r>
      <w:r w:rsidR="00A96746">
        <w:t>A single factor alone does not demonstrate much correlation with the forward returns, with the max value being 2.64%. To select the optimal combination of factors, o</w:t>
      </w:r>
      <w:r w:rsidR="00A03DFE">
        <w:t xml:space="preserve">nly combinations that have an average inter-factor correlation less than 0.05 and max inter-factor correlations under 0.15 are considered. The combination that has the highest average factor-return correlation in this set is KAMA, FI, DC, MI. </w:t>
      </w:r>
      <w:r w:rsidR="00A96746">
        <w:t>The correlation matrix for this selected combination is shown below:</w:t>
      </w:r>
    </w:p>
    <w:tbl>
      <w:tblPr>
        <w:tblStyle w:val="APAReport"/>
        <w:tblW w:w="9360" w:type="dxa"/>
        <w:tblLook w:val="06A0" w:firstRow="1" w:lastRow="0" w:firstColumn="1" w:lastColumn="0" w:noHBand="1" w:noVBand="1"/>
      </w:tblPr>
      <w:tblGrid>
        <w:gridCol w:w="2499"/>
        <w:gridCol w:w="1372"/>
        <w:gridCol w:w="1372"/>
        <w:gridCol w:w="1372"/>
        <w:gridCol w:w="1372"/>
        <w:gridCol w:w="1373"/>
      </w:tblGrid>
      <w:tr w:rsidR="00A96746" w14:paraId="0D7C5E9E" w14:textId="77777777" w:rsidTr="00FB2CC2">
        <w:trPr>
          <w:cnfStyle w:val="100000000000" w:firstRow="1" w:lastRow="0" w:firstColumn="0" w:lastColumn="0" w:oddVBand="0" w:evenVBand="0" w:oddHBand="0" w:evenHBand="0" w:firstRowFirstColumn="0" w:firstRowLastColumn="0" w:lastRowFirstColumn="0" w:lastRowLastColumn="0"/>
          <w:trHeight w:val="264"/>
        </w:trPr>
        <w:tc>
          <w:tcPr>
            <w:tcW w:w="2499" w:type="dxa"/>
          </w:tcPr>
          <w:p w14:paraId="7EBF30B9" w14:textId="77777777" w:rsidR="00A96746" w:rsidRDefault="00A96746" w:rsidP="006F195B">
            <w:pPr>
              <w:jc w:val="center"/>
            </w:pPr>
          </w:p>
        </w:tc>
        <w:tc>
          <w:tcPr>
            <w:tcW w:w="1372" w:type="dxa"/>
            <w:vAlign w:val="center"/>
          </w:tcPr>
          <w:p w14:paraId="07BD3613" w14:textId="149946BA" w:rsidR="00A96746" w:rsidRDefault="00A96746" w:rsidP="00FB2CC2">
            <w:pPr>
              <w:jc w:val="center"/>
            </w:pPr>
            <w:r>
              <w:t>KAMA</w:t>
            </w:r>
          </w:p>
        </w:tc>
        <w:tc>
          <w:tcPr>
            <w:tcW w:w="1372" w:type="dxa"/>
            <w:vAlign w:val="center"/>
          </w:tcPr>
          <w:p w14:paraId="00D03CF7" w14:textId="0B3865C1" w:rsidR="00A96746" w:rsidRDefault="00A96746" w:rsidP="00FB2CC2">
            <w:pPr>
              <w:jc w:val="center"/>
            </w:pPr>
            <w:r>
              <w:t>FI</w:t>
            </w:r>
          </w:p>
        </w:tc>
        <w:tc>
          <w:tcPr>
            <w:tcW w:w="1372" w:type="dxa"/>
            <w:vAlign w:val="center"/>
          </w:tcPr>
          <w:p w14:paraId="4FBF7CD6" w14:textId="5F94CEE6" w:rsidR="00A96746" w:rsidRDefault="00A96746" w:rsidP="00FB2CC2">
            <w:pPr>
              <w:jc w:val="center"/>
            </w:pPr>
            <w:r>
              <w:t>DC</w:t>
            </w:r>
          </w:p>
        </w:tc>
        <w:tc>
          <w:tcPr>
            <w:tcW w:w="1372" w:type="dxa"/>
            <w:vAlign w:val="center"/>
          </w:tcPr>
          <w:p w14:paraId="002504ED" w14:textId="0CB7F6D4" w:rsidR="00A96746" w:rsidRDefault="00A96746" w:rsidP="00FB2CC2">
            <w:pPr>
              <w:jc w:val="center"/>
            </w:pPr>
            <w:r>
              <w:t>MI</w:t>
            </w:r>
          </w:p>
        </w:tc>
        <w:tc>
          <w:tcPr>
            <w:tcW w:w="1373" w:type="dxa"/>
            <w:vAlign w:val="center"/>
          </w:tcPr>
          <w:p w14:paraId="273A953F" w14:textId="3D7CB5F6" w:rsidR="00A96746" w:rsidRDefault="00A96746" w:rsidP="00FB2CC2">
            <w:pPr>
              <w:jc w:val="center"/>
            </w:pPr>
            <w:r>
              <w:t>Forward Returns</w:t>
            </w:r>
          </w:p>
        </w:tc>
      </w:tr>
      <w:tr w:rsidR="00A96746" w14:paraId="0E7E0085" w14:textId="77777777" w:rsidTr="00A96746">
        <w:trPr>
          <w:trHeight w:val="278"/>
        </w:trPr>
        <w:tc>
          <w:tcPr>
            <w:tcW w:w="2499" w:type="dxa"/>
          </w:tcPr>
          <w:p w14:paraId="77469542" w14:textId="7912A9F1" w:rsidR="00A96746" w:rsidRDefault="00A96746" w:rsidP="00A96746">
            <w:pPr>
              <w:jc w:val="center"/>
            </w:pPr>
            <w:r w:rsidRPr="003C56FE">
              <w:t>KAMA</w:t>
            </w:r>
          </w:p>
        </w:tc>
        <w:tc>
          <w:tcPr>
            <w:tcW w:w="1372" w:type="dxa"/>
          </w:tcPr>
          <w:p w14:paraId="69D8F837" w14:textId="52D702B7" w:rsidR="00A96746" w:rsidRDefault="00A96746" w:rsidP="00A96746">
            <w:pPr>
              <w:jc w:val="center"/>
            </w:pPr>
            <w:r w:rsidRPr="00D56C1D">
              <w:t>1.0000</w:t>
            </w:r>
          </w:p>
        </w:tc>
        <w:tc>
          <w:tcPr>
            <w:tcW w:w="1372" w:type="dxa"/>
          </w:tcPr>
          <w:p w14:paraId="43B73DE8" w14:textId="384C5CC1" w:rsidR="00A96746" w:rsidRDefault="00A96746" w:rsidP="00A96746">
            <w:pPr>
              <w:jc w:val="center"/>
            </w:pPr>
            <w:r w:rsidRPr="00D56C1D">
              <w:t>0.0219</w:t>
            </w:r>
          </w:p>
        </w:tc>
        <w:tc>
          <w:tcPr>
            <w:tcW w:w="1372" w:type="dxa"/>
          </w:tcPr>
          <w:p w14:paraId="67CEC4A5" w14:textId="64D82B2C" w:rsidR="00A96746" w:rsidRDefault="00A96746" w:rsidP="00A96746">
            <w:pPr>
              <w:jc w:val="center"/>
            </w:pPr>
            <w:r w:rsidRPr="00D56C1D">
              <w:t>-0.0083</w:t>
            </w:r>
          </w:p>
        </w:tc>
        <w:tc>
          <w:tcPr>
            <w:tcW w:w="1372" w:type="dxa"/>
          </w:tcPr>
          <w:p w14:paraId="025AE635" w14:textId="6AC8A203" w:rsidR="00A96746" w:rsidRDefault="00A96746" w:rsidP="00A96746">
            <w:pPr>
              <w:jc w:val="center"/>
            </w:pPr>
            <w:r w:rsidRPr="00D56C1D">
              <w:t>0.0</w:t>
            </w:r>
            <w:r w:rsidR="006A444C">
              <w:t>496</w:t>
            </w:r>
          </w:p>
        </w:tc>
        <w:tc>
          <w:tcPr>
            <w:tcW w:w="1373" w:type="dxa"/>
          </w:tcPr>
          <w:p w14:paraId="743E20D2" w14:textId="619C278C" w:rsidR="00A96746" w:rsidRDefault="00A96746" w:rsidP="00A96746">
            <w:pPr>
              <w:jc w:val="center"/>
            </w:pPr>
            <w:r w:rsidRPr="00D56C1D">
              <w:t>-0.017</w:t>
            </w:r>
            <w:r w:rsidR="006A444C">
              <w:t>4</w:t>
            </w:r>
          </w:p>
        </w:tc>
      </w:tr>
      <w:tr w:rsidR="00A96746" w14:paraId="272439B7" w14:textId="77777777" w:rsidTr="00A96746">
        <w:trPr>
          <w:trHeight w:val="264"/>
        </w:trPr>
        <w:tc>
          <w:tcPr>
            <w:tcW w:w="2499" w:type="dxa"/>
          </w:tcPr>
          <w:p w14:paraId="12E6ABD6" w14:textId="762AEFDE" w:rsidR="00A96746" w:rsidRDefault="00A96746" w:rsidP="00A96746">
            <w:pPr>
              <w:jc w:val="center"/>
            </w:pPr>
            <w:r>
              <w:t>FI</w:t>
            </w:r>
          </w:p>
        </w:tc>
        <w:tc>
          <w:tcPr>
            <w:tcW w:w="1372" w:type="dxa"/>
          </w:tcPr>
          <w:p w14:paraId="365AE917" w14:textId="067FAAD0" w:rsidR="00A96746" w:rsidRDefault="00A96746" w:rsidP="00A96746">
            <w:pPr>
              <w:jc w:val="center"/>
            </w:pPr>
            <w:r w:rsidRPr="00D56C1D">
              <w:t>0.021</w:t>
            </w:r>
            <w:r w:rsidR="006A444C">
              <w:t>9</w:t>
            </w:r>
          </w:p>
        </w:tc>
        <w:tc>
          <w:tcPr>
            <w:tcW w:w="1372" w:type="dxa"/>
          </w:tcPr>
          <w:p w14:paraId="58ACE19C" w14:textId="39A82808" w:rsidR="00A96746" w:rsidRDefault="00A96746" w:rsidP="00A96746">
            <w:pPr>
              <w:jc w:val="center"/>
            </w:pPr>
            <w:r w:rsidRPr="00D56C1D">
              <w:t>1.0000</w:t>
            </w:r>
          </w:p>
        </w:tc>
        <w:tc>
          <w:tcPr>
            <w:tcW w:w="1372" w:type="dxa"/>
          </w:tcPr>
          <w:p w14:paraId="7B57F7BB" w14:textId="1E178CB0" w:rsidR="00A96746" w:rsidRDefault="00A96746" w:rsidP="00A96746">
            <w:pPr>
              <w:jc w:val="center"/>
            </w:pPr>
            <w:r w:rsidRPr="00D56C1D">
              <w:t>0.0987</w:t>
            </w:r>
          </w:p>
        </w:tc>
        <w:tc>
          <w:tcPr>
            <w:tcW w:w="1372" w:type="dxa"/>
          </w:tcPr>
          <w:p w14:paraId="78C7CDDF" w14:textId="2DFC2CA0" w:rsidR="00A96746" w:rsidRDefault="006A444C" w:rsidP="00A96746">
            <w:pPr>
              <w:jc w:val="center"/>
            </w:pPr>
            <w:r>
              <w:t>-0.0101</w:t>
            </w:r>
          </w:p>
        </w:tc>
        <w:tc>
          <w:tcPr>
            <w:tcW w:w="1373" w:type="dxa"/>
          </w:tcPr>
          <w:p w14:paraId="2431D77A" w14:textId="7BD9F5A9" w:rsidR="00A96746" w:rsidRDefault="00A96746" w:rsidP="00A96746">
            <w:pPr>
              <w:jc w:val="center"/>
            </w:pPr>
            <w:r w:rsidRPr="00D56C1D">
              <w:t>-0.00</w:t>
            </w:r>
            <w:r w:rsidR="006A444C">
              <w:t>70</w:t>
            </w:r>
          </w:p>
        </w:tc>
      </w:tr>
      <w:tr w:rsidR="00A96746" w14:paraId="6E1066B6" w14:textId="77777777" w:rsidTr="00A96746">
        <w:trPr>
          <w:trHeight w:val="278"/>
        </w:trPr>
        <w:tc>
          <w:tcPr>
            <w:tcW w:w="2499" w:type="dxa"/>
          </w:tcPr>
          <w:p w14:paraId="33C6E584" w14:textId="14641C0D" w:rsidR="00A96746" w:rsidRDefault="00A96746" w:rsidP="00A96746">
            <w:pPr>
              <w:jc w:val="center"/>
            </w:pPr>
            <w:r>
              <w:t>DC</w:t>
            </w:r>
          </w:p>
        </w:tc>
        <w:tc>
          <w:tcPr>
            <w:tcW w:w="1372" w:type="dxa"/>
          </w:tcPr>
          <w:p w14:paraId="705FD018" w14:textId="5C70FD45" w:rsidR="00A96746" w:rsidRDefault="00A96746" w:rsidP="00A96746">
            <w:pPr>
              <w:jc w:val="center"/>
            </w:pPr>
            <w:r w:rsidRPr="00D56C1D">
              <w:t>-0.0083</w:t>
            </w:r>
          </w:p>
        </w:tc>
        <w:tc>
          <w:tcPr>
            <w:tcW w:w="1372" w:type="dxa"/>
          </w:tcPr>
          <w:p w14:paraId="26BF0C13" w14:textId="087D0452" w:rsidR="00A96746" w:rsidRDefault="00A96746" w:rsidP="00A96746">
            <w:pPr>
              <w:jc w:val="center"/>
            </w:pPr>
            <w:r w:rsidRPr="00D56C1D">
              <w:t>0.0987</w:t>
            </w:r>
          </w:p>
        </w:tc>
        <w:tc>
          <w:tcPr>
            <w:tcW w:w="1372" w:type="dxa"/>
          </w:tcPr>
          <w:p w14:paraId="0A3F095A" w14:textId="1F0221F7" w:rsidR="00A96746" w:rsidRDefault="00A96746" w:rsidP="00A96746">
            <w:pPr>
              <w:jc w:val="center"/>
            </w:pPr>
            <w:r w:rsidRPr="00D56C1D">
              <w:t>1.0000</w:t>
            </w:r>
          </w:p>
        </w:tc>
        <w:tc>
          <w:tcPr>
            <w:tcW w:w="1372" w:type="dxa"/>
          </w:tcPr>
          <w:p w14:paraId="2F566A02" w14:textId="5871FED1" w:rsidR="00A96746" w:rsidRDefault="006A444C" w:rsidP="00A96746">
            <w:pPr>
              <w:jc w:val="center"/>
            </w:pPr>
            <w:r>
              <w:t>-0.0220</w:t>
            </w:r>
          </w:p>
        </w:tc>
        <w:tc>
          <w:tcPr>
            <w:tcW w:w="1373" w:type="dxa"/>
          </w:tcPr>
          <w:p w14:paraId="212D9DEE" w14:textId="73B240D0" w:rsidR="00A96746" w:rsidRDefault="00A96746" w:rsidP="00A96746">
            <w:pPr>
              <w:jc w:val="center"/>
            </w:pPr>
            <w:r w:rsidRPr="00D56C1D">
              <w:t>-0.0297</w:t>
            </w:r>
          </w:p>
        </w:tc>
      </w:tr>
      <w:tr w:rsidR="00A96746" w14:paraId="4043EB3B" w14:textId="77777777" w:rsidTr="00A96746">
        <w:trPr>
          <w:trHeight w:val="264"/>
        </w:trPr>
        <w:tc>
          <w:tcPr>
            <w:tcW w:w="2499" w:type="dxa"/>
          </w:tcPr>
          <w:p w14:paraId="06413740" w14:textId="0272477F" w:rsidR="00A96746" w:rsidRDefault="00A96746" w:rsidP="00A96746">
            <w:pPr>
              <w:jc w:val="center"/>
            </w:pPr>
            <w:r>
              <w:t>MI</w:t>
            </w:r>
          </w:p>
        </w:tc>
        <w:tc>
          <w:tcPr>
            <w:tcW w:w="1372" w:type="dxa"/>
          </w:tcPr>
          <w:p w14:paraId="0EF151B8" w14:textId="445D1A38" w:rsidR="00A96746" w:rsidRDefault="006A444C" w:rsidP="00A96746">
            <w:pPr>
              <w:jc w:val="center"/>
            </w:pPr>
            <w:r w:rsidRPr="00D56C1D">
              <w:t>0.0</w:t>
            </w:r>
            <w:r>
              <w:t>4960</w:t>
            </w:r>
          </w:p>
        </w:tc>
        <w:tc>
          <w:tcPr>
            <w:tcW w:w="1372" w:type="dxa"/>
          </w:tcPr>
          <w:p w14:paraId="5AD8AD8C" w14:textId="3F1B8319" w:rsidR="00A96746" w:rsidRDefault="006A444C" w:rsidP="00A96746">
            <w:pPr>
              <w:jc w:val="center"/>
            </w:pPr>
            <w:r>
              <w:t>-0.0101</w:t>
            </w:r>
          </w:p>
        </w:tc>
        <w:tc>
          <w:tcPr>
            <w:tcW w:w="1372" w:type="dxa"/>
          </w:tcPr>
          <w:p w14:paraId="4586CC6B" w14:textId="28498F4A" w:rsidR="00A96746" w:rsidRDefault="006A444C" w:rsidP="00A96746">
            <w:pPr>
              <w:jc w:val="center"/>
            </w:pPr>
            <w:r>
              <w:t>-0.0220</w:t>
            </w:r>
          </w:p>
        </w:tc>
        <w:tc>
          <w:tcPr>
            <w:tcW w:w="1372" w:type="dxa"/>
          </w:tcPr>
          <w:p w14:paraId="5F5D08AD" w14:textId="10CF7F89" w:rsidR="00A96746" w:rsidRDefault="00A96746" w:rsidP="00A96746">
            <w:pPr>
              <w:jc w:val="center"/>
            </w:pPr>
            <w:r w:rsidRPr="00D56C1D">
              <w:t>1.0000</w:t>
            </w:r>
          </w:p>
        </w:tc>
        <w:tc>
          <w:tcPr>
            <w:tcW w:w="1373" w:type="dxa"/>
          </w:tcPr>
          <w:p w14:paraId="0F22AC98" w14:textId="186D6579" w:rsidR="00A96746" w:rsidRDefault="006A444C" w:rsidP="00A96746">
            <w:pPr>
              <w:jc w:val="center"/>
            </w:pPr>
            <w:r w:rsidRPr="00D56C1D">
              <w:t>-0.0</w:t>
            </w:r>
            <w:r>
              <w:t>621</w:t>
            </w:r>
          </w:p>
        </w:tc>
      </w:tr>
      <w:tr w:rsidR="00A96746" w14:paraId="1745FEC7" w14:textId="77777777" w:rsidTr="00A96746">
        <w:trPr>
          <w:trHeight w:val="264"/>
        </w:trPr>
        <w:tc>
          <w:tcPr>
            <w:tcW w:w="2499" w:type="dxa"/>
          </w:tcPr>
          <w:p w14:paraId="08A41020" w14:textId="73844E16" w:rsidR="00A96746" w:rsidRDefault="00A96746" w:rsidP="00A96746">
            <w:pPr>
              <w:jc w:val="center"/>
            </w:pPr>
            <w:r>
              <w:t>Forward Returns</w:t>
            </w:r>
          </w:p>
        </w:tc>
        <w:tc>
          <w:tcPr>
            <w:tcW w:w="1372" w:type="dxa"/>
          </w:tcPr>
          <w:p w14:paraId="190B5F5D" w14:textId="1E322230" w:rsidR="00A96746" w:rsidRDefault="00A96746" w:rsidP="00A96746">
            <w:pPr>
              <w:jc w:val="center"/>
            </w:pPr>
            <w:r w:rsidRPr="00D56C1D">
              <w:t>-0.017</w:t>
            </w:r>
            <w:r w:rsidR="006A444C">
              <w:t>4</w:t>
            </w:r>
          </w:p>
        </w:tc>
        <w:tc>
          <w:tcPr>
            <w:tcW w:w="1372" w:type="dxa"/>
          </w:tcPr>
          <w:p w14:paraId="64562E0D" w14:textId="22057604" w:rsidR="00A96746" w:rsidRDefault="00A96746" w:rsidP="00A96746">
            <w:pPr>
              <w:jc w:val="center"/>
            </w:pPr>
            <w:r w:rsidRPr="00D56C1D">
              <w:t>-0.0070</w:t>
            </w:r>
          </w:p>
        </w:tc>
        <w:tc>
          <w:tcPr>
            <w:tcW w:w="1372" w:type="dxa"/>
          </w:tcPr>
          <w:p w14:paraId="59319C90" w14:textId="290ACAEC" w:rsidR="00A96746" w:rsidRDefault="00A96746" w:rsidP="00A96746">
            <w:pPr>
              <w:jc w:val="center"/>
            </w:pPr>
            <w:r w:rsidRPr="00D56C1D">
              <w:t>-0.0297</w:t>
            </w:r>
          </w:p>
        </w:tc>
        <w:tc>
          <w:tcPr>
            <w:tcW w:w="1372" w:type="dxa"/>
          </w:tcPr>
          <w:p w14:paraId="5F50131B" w14:textId="37DA9AD0" w:rsidR="00A96746" w:rsidRDefault="00A96746" w:rsidP="00A96746">
            <w:pPr>
              <w:jc w:val="center"/>
            </w:pPr>
            <w:r w:rsidRPr="00D56C1D">
              <w:t>-0.0</w:t>
            </w:r>
            <w:r w:rsidR="006A444C">
              <w:t>621</w:t>
            </w:r>
          </w:p>
        </w:tc>
        <w:tc>
          <w:tcPr>
            <w:tcW w:w="1373" w:type="dxa"/>
          </w:tcPr>
          <w:p w14:paraId="1DF9E800" w14:textId="332BE8DF" w:rsidR="00A96746" w:rsidRDefault="00A96746" w:rsidP="00A96746">
            <w:pPr>
              <w:jc w:val="center"/>
            </w:pPr>
            <w:r w:rsidRPr="00D56C1D">
              <w:t>1.0000</w:t>
            </w:r>
          </w:p>
        </w:tc>
      </w:tr>
    </w:tbl>
    <w:p w14:paraId="04BDC1C4" w14:textId="25340776" w:rsidR="00A96746" w:rsidRDefault="00FB2CC2" w:rsidP="00FB2CC2">
      <w:pPr>
        <w:pStyle w:val="tables"/>
      </w:pPr>
      <w:r>
        <w:t>Correlation Matrix of Selected Factors</w:t>
      </w:r>
    </w:p>
    <w:p w14:paraId="0697A6C8" w14:textId="1B8084AF" w:rsidR="00A03DFE" w:rsidRDefault="00FB2CC2" w:rsidP="00242563">
      <w:r>
        <w:t xml:space="preserve">This set of factors provided an average inter-factor correlation 0.0351, a max inter-factor correlation 0.0987 and average factor-target correlation of 0.0151. </w:t>
      </w:r>
      <w:r w:rsidR="00A03DFE">
        <w:t>These will be selected factors for signal creation.</w:t>
      </w:r>
      <w:r w:rsidR="005954FE">
        <w:t xml:space="preserve"> </w:t>
      </w:r>
    </w:p>
    <w:p w14:paraId="2C6EF608" w14:textId="77777777" w:rsidR="00242563" w:rsidRDefault="00242563" w:rsidP="00242563"/>
    <w:p w14:paraId="085AFAAF" w14:textId="392A9709" w:rsidR="00470996" w:rsidRDefault="00A03DFE" w:rsidP="009E3957">
      <w:pPr>
        <w:pStyle w:val="Heading4"/>
        <w:tabs>
          <w:tab w:val="left" w:pos="180"/>
        </w:tabs>
        <w:ind w:firstLine="0"/>
      </w:pPr>
      <w:r>
        <w:t xml:space="preserve">Selected Factors </w:t>
      </w:r>
    </w:p>
    <w:p w14:paraId="476CCB2B" w14:textId="02E5EFCC" w:rsidR="00A03DFE" w:rsidRDefault="00A03DFE" w:rsidP="00A03DFE">
      <w:pPr>
        <w:pStyle w:val="ListParagraph"/>
        <w:numPr>
          <w:ilvl w:val="0"/>
          <w:numId w:val="21"/>
        </w:numPr>
        <w:rPr>
          <w:b/>
          <w:bCs/>
        </w:rPr>
      </w:pPr>
      <w:r>
        <w:rPr>
          <w:b/>
          <w:bCs/>
        </w:rPr>
        <w:t>Momentum: Kaufman’s Adaptive Moving Average (KAMA)</w:t>
      </w:r>
    </w:p>
    <w:p w14:paraId="4A2D0DDF" w14:textId="1443EA70" w:rsidR="00A03DFE" w:rsidRDefault="009D4ABE" w:rsidP="00A03DFE">
      <w:pPr>
        <w:ind w:left="1080" w:firstLine="0"/>
      </w:pPr>
      <w:r>
        <w:t>Kaufman’s adaptive moving average was developed by Perry J. Kaufman in 1998</w:t>
      </w:r>
      <w:sdt>
        <w:sdtPr>
          <w:id w:val="-1958395152"/>
          <w:citation/>
        </w:sdtPr>
        <w:sdtContent>
          <w:r>
            <w:fldChar w:fldCharType="begin"/>
          </w:r>
          <w:r>
            <w:instrText xml:space="preserve"> CITATION Kau \l 1033 </w:instrText>
          </w:r>
          <w:r>
            <w:fldChar w:fldCharType="separate"/>
          </w:r>
          <w:r w:rsidR="00D50500">
            <w:rPr>
              <w:noProof/>
            </w:rPr>
            <w:t xml:space="preserve"> (Kaufman’s Adaptive Moving Average (KAMA), n.d.)</w:t>
          </w:r>
          <w:r>
            <w:fldChar w:fldCharType="end"/>
          </w:r>
        </w:sdtContent>
      </w:sdt>
      <w:r>
        <w:t>.</w:t>
      </w:r>
      <w:r w:rsidR="00AD733A">
        <w:t xml:space="preserve"> Unlike most other moving average indicators,</w:t>
      </w:r>
      <w:r>
        <w:t xml:space="preserve"> </w:t>
      </w:r>
      <w:r w:rsidR="00AD733A">
        <w:t>KAMA measures not only price movement but also market volatility. Inclusion of market volatility filters out market noise and reduces false signals.</w:t>
      </w:r>
      <w:r w:rsidR="009E3957">
        <w:t xml:space="preserve"> KAMA is calculated using the following method:</w:t>
      </w:r>
    </w:p>
    <w:p w14:paraId="25C8D998" w14:textId="136DF64C" w:rsidR="009E3957" w:rsidRPr="009E3957" w:rsidRDefault="00BD78A9" w:rsidP="00A03DFE">
      <w:pPr>
        <w:ind w:left="1080" w:firstLine="0"/>
        <w:rPr>
          <w:iCs/>
        </w:rPr>
      </w:pPr>
      <m:oMathPara>
        <m:oMath>
          <m:sSub>
            <m:sSubPr>
              <m:ctrlPr>
                <w:rPr>
                  <w:rFonts w:ascii="Cambria Math" w:hAnsi="Cambria Math"/>
                  <w:iCs/>
                </w:rPr>
              </m:ctrlPr>
            </m:sSubPr>
            <m:e>
              <m:r>
                <m:rPr>
                  <m:sty m:val="p"/>
                </m:rPr>
                <w:rPr>
                  <w:rFonts w:ascii="Cambria Math" w:hAnsi="Cambria Math"/>
                </w:rPr>
                <m:t>KAMA</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KAMA</m:t>
              </m:r>
            </m:e>
            <m:sub>
              <m:r>
                <w:rPr>
                  <w:rFonts w:ascii="Cambria Math" w:hAnsi="Cambria Math"/>
                </w:rPr>
                <m:t>i</m:t>
              </m:r>
              <m:r>
                <m:rPr>
                  <m:sty m:val="p"/>
                </m:rPr>
                <w:rPr>
                  <w:rFonts w:ascii="Cambria Math" w:hAnsi="Cambria Math"/>
                </w:rPr>
                <m:t>-1</m:t>
              </m:r>
            </m:sub>
          </m:sSub>
          <m:r>
            <w:rPr>
              <w:rFonts w:ascii="Cambria Math" w:hAnsi="Cambria Math"/>
            </w:rPr>
            <m:t>+</m:t>
          </m:r>
          <m:r>
            <m:rPr>
              <m:sty m:val="p"/>
            </m:rPr>
            <w:rPr>
              <w:rFonts w:ascii="Cambria Math" w:hAnsi="Cambria Math"/>
            </w:rPr>
            <m:t>SC*</m:t>
          </m:r>
          <m:d>
            <m:dPr>
              <m:ctrlPr>
                <w:rPr>
                  <w:rFonts w:ascii="Cambria Math" w:hAnsi="Cambria Math"/>
                  <w:iCs/>
                </w:rPr>
              </m:ctrlPr>
            </m:dPr>
            <m:e>
              <m:r>
                <m:rPr>
                  <m:sty m:val="p"/>
                </m:rPr>
                <w:rPr>
                  <w:rFonts w:ascii="Cambria Math" w:hAnsi="Cambria Math"/>
                </w:rPr>
                <m:t>Close-</m:t>
              </m:r>
              <m:sSub>
                <m:sSubPr>
                  <m:ctrlPr>
                    <w:rPr>
                      <w:rFonts w:ascii="Cambria Math" w:hAnsi="Cambria Math"/>
                      <w:iCs/>
                    </w:rPr>
                  </m:ctrlPr>
                </m:sSubPr>
                <m:e>
                  <m:r>
                    <m:rPr>
                      <m:sty m:val="p"/>
                    </m:rPr>
                    <w:rPr>
                      <w:rFonts w:ascii="Cambria Math" w:hAnsi="Cambria Math"/>
                    </w:rPr>
                    <m:t>KAMA</m:t>
                  </m:r>
                </m:e>
                <m:sub>
                  <m:r>
                    <w:rPr>
                      <w:rFonts w:ascii="Cambria Math" w:hAnsi="Cambria Math"/>
                    </w:rPr>
                    <m:t>i-1</m:t>
                  </m:r>
                </m:sub>
              </m:sSub>
              <m:ctrlPr>
                <w:rPr>
                  <w:rFonts w:ascii="Cambria Math" w:hAnsi="Cambria Math"/>
                  <w:i/>
                  <w:iCs/>
                </w:rPr>
              </m:ctrlPr>
            </m:e>
          </m:d>
        </m:oMath>
      </m:oMathPara>
    </w:p>
    <w:p w14:paraId="083D3608" w14:textId="584603DC" w:rsidR="009E3957" w:rsidRPr="009E3957" w:rsidRDefault="00FB2CC2" w:rsidP="00A03DFE">
      <w:pPr>
        <w:ind w:left="1080" w:firstLine="0"/>
        <w:rPr>
          <w:iCs/>
        </w:rPr>
      </w:pPr>
      <m:oMathPara>
        <m:oMath>
          <m:r>
            <m:rPr>
              <m:sty m:val="p"/>
            </m:rPr>
            <w:rPr>
              <w:rFonts w:ascii="Cambria Math" w:hAnsi="Cambria Math"/>
            </w:rPr>
            <m:t xml:space="preserve">Where:           </m:t>
          </m:r>
          <m:r>
            <m:rPr>
              <m:sty m:val="p"/>
            </m:rPr>
            <w:rPr>
              <w:rFonts w:ascii="Cambria Math" w:hAnsi="Cambria Math"/>
            </w:rPr>
            <m:t>KAMA</m:t>
          </m:r>
          <m:sSub>
            <m:sSubPr>
              <m:ctrlPr>
                <w:rPr>
                  <w:rFonts w:ascii="Cambria Math" w:hAnsi="Cambria Math"/>
                  <w:iCs/>
                </w:rPr>
              </m:ctrlPr>
            </m:sSubPr>
            <m:e>
              <m:r>
                <m:rPr>
                  <m:sty m:val="p"/>
                </m:rPr>
                <w:rPr>
                  <w:rFonts w:ascii="Cambria Math" w:hAnsi="Cambria Math"/>
                </w:rPr>
                <w:softHyphen/>
              </m:r>
            </m:e>
            <m:sub>
              <m:r>
                <m:rPr>
                  <m:sty m:val="p"/>
                </m:rPr>
                <w:rPr>
                  <w:rFonts w:ascii="Cambria Math" w:hAnsi="Cambria Math"/>
                </w:rPr>
                <m:t>0</m:t>
              </m:r>
            </m:sub>
          </m:sSub>
          <m:r>
            <w:rPr>
              <w:rFonts w:ascii="Cambria Math" w:hAnsi="Cambria Math"/>
            </w:rPr>
            <m:t>=</m:t>
          </m:r>
          <m:sSub>
            <m:sSubPr>
              <m:ctrlPr>
                <w:rPr>
                  <w:rFonts w:ascii="Cambria Math" w:hAnsi="Cambria Math"/>
                  <w:iCs/>
                </w:rPr>
              </m:ctrlPr>
            </m:sSubPr>
            <m:e>
              <m:r>
                <m:rPr>
                  <m:sty m:val="p"/>
                </m:rPr>
                <w:rPr>
                  <w:rFonts w:ascii="Cambria Math" w:hAnsi="Cambria Math"/>
                </w:rPr>
                <m:t>Close</m:t>
              </m:r>
            </m:e>
            <m:sub>
              <m:r>
                <m:rPr>
                  <m:sty m:val="p"/>
                </m:rPr>
                <w:rPr>
                  <w:rFonts w:ascii="Cambria Math" w:hAnsi="Cambria Math"/>
                </w:rPr>
                <m:t>0</m:t>
              </m:r>
            </m:sub>
          </m:sSub>
        </m:oMath>
      </m:oMathPara>
    </w:p>
    <w:p w14:paraId="20BA1EAC" w14:textId="18E5E567" w:rsidR="009E3957" w:rsidRPr="009E3957" w:rsidRDefault="009E3957" w:rsidP="00A03DFE">
      <w:pPr>
        <w:ind w:left="1080" w:firstLine="0"/>
      </w:pPr>
      <m:oMathPara>
        <m:oMath>
          <m:r>
            <m:rPr>
              <m:sty m:val="p"/>
            </m:rPr>
            <w:rPr>
              <w:rFonts w:ascii="Cambria Math" w:hAnsi="Cambria Math"/>
            </w:rPr>
            <m:t xml:space="preserve">Smoothing Constant: </m:t>
          </m:r>
          <m:sSub>
            <m:sSubPr>
              <m:ctrlPr>
                <w:rPr>
                  <w:rFonts w:ascii="Cambria Math" w:hAnsi="Cambria Math"/>
                </w:rPr>
              </m:ctrlPr>
            </m:sSubPr>
            <m:e>
              <m:r>
                <m:rPr>
                  <m:sty m:val="p"/>
                </m:rPr>
                <w:rPr>
                  <w:rFonts w:ascii="Cambria Math" w:hAnsi="Cambria Math"/>
                </w:rPr>
                <m:t>SC</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ER*</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rPr>
                                <m:t>n</m:t>
                              </m:r>
                            </m:e>
                            <m:sub>
                              <m:r>
                                <w:rPr>
                                  <w:rFonts w:ascii="Cambria Math" w:hAnsi="Cambria Math"/>
                                </w:rPr>
                                <m:t>fast</m:t>
                              </m:r>
                            </m:sub>
                          </m:sSub>
                          <m:r>
                            <w:rPr>
                              <w:rFonts w:ascii="Cambria Math" w:hAnsi="Cambria Math"/>
                            </w:rPr>
                            <m:t>+1</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rPr>
                                <m:t>n</m:t>
                              </m:r>
                            </m:e>
                            <m:sub>
                              <m:r>
                                <w:rPr>
                                  <w:rFonts w:ascii="Cambria Math" w:hAnsi="Cambria Math"/>
                                </w:rPr>
                                <m:t>slow</m:t>
                              </m:r>
                            </m:sub>
                          </m:sSub>
                          <m:r>
                            <w:rPr>
                              <w:rFonts w:ascii="Cambria Math" w:hAnsi="Cambria Math"/>
                            </w:rPr>
                            <m:t>+1</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rPr>
                            <m:t>n</m:t>
                          </m:r>
                        </m:e>
                        <m:sub>
                          <m:r>
                            <w:rPr>
                              <w:rFonts w:ascii="Cambria Math" w:hAnsi="Cambria Math"/>
                            </w:rPr>
                            <m:t>slow</m:t>
                          </m:r>
                        </m:sub>
                      </m:sSub>
                      <m:r>
                        <w:rPr>
                          <w:rFonts w:ascii="Cambria Math" w:hAnsi="Cambria Math"/>
                        </w:rPr>
                        <m:t>+1</m:t>
                      </m:r>
                    </m:den>
                  </m:f>
                </m:e>
              </m:d>
            </m:e>
            <m:sup>
              <m:r>
                <m:rPr>
                  <m:sty m:val="p"/>
                </m:rPr>
                <w:rPr>
                  <w:rFonts w:ascii="Cambria Math" w:hAnsi="Cambria Math"/>
                </w:rPr>
                <m:t>2</m:t>
              </m:r>
            </m:sup>
          </m:sSup>
        </m:oMath>
      </m:oMathPara>
    </w:p>
    <w:p w14:paraId="70B644F6" w14:textId="37E15D2F" w:rsidR="00242563" w:rsidRPr="00EF002C" w:rsidRDefault="00BC377D" w:rsidP="00242563">
      <w:pPr>
        <w:ind w:left="1080" w:firstLine="0"/>
      </w:pPr>
      <m:oMathPara>
        <m:oMath>
          <m:r>
            <m:rPr>
              <m:sty m:val="p"/>
            </m:rPr>
            <w:rPr>
              <w:rFonts w:ascii="Cambria Math" w:hAnsi="Cambria Math"/>
            </w:rPr>
            <m:t>Efficiency Ratio:</m:t>
          </m:r>
          <m:sSub>
            <m:sSubPr>
              <m:ctrlPr>
                <w:rPr>
                  <w:rFonts w:ascii="Cambria Math" w:hAnsi="Cambria Math"/>
                </w:rPr>
              </m:ctrlPr>
            </m:sSubPr>
            <m:e>
              <m:r>
                <m:rPr>
                  <m:sty m:val="p"/>
                </m:rPr>
                <w:rPr>
                  <w:rFonts w:ascii="Cambria Math" w:hAnsi="Cambria Math"/>
                </w:rPr>
                <m:t>ER</m:t>
              </m:r>
            </m:e>
            <m:sub>
              <m:r>
                <w:rPr>
                  <w:rFonts w:ascii="Cambria Math" w:hAnsi="Cambria Math"/>
                </w:rPr>
                <m:t>i</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Close</m:t>
                      </m:r>
                      <m:ctrlPr>
                        <w:rPr>
                          <w:rFonts w:ascii="Cambria Math" w:hAnsi="Cambria Math"/>
                          <w:i/>
                        </w:rPr>
                      </m:ctrlP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Close</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ER</m:t>
                          </m:r>
                        </m:sub>
                      </m:sSub>
                    </m:sub>
                  </m:sSub>
                  <m:ctrlPr>
                    <w:rPr>
                      <w:rFonts w:ascii="Cambria Math" w:hAnsi="Cambria Math"/>
                      <w:i/>
                      <w:iCs/>
                    </w:rPr>
                  </m:ctrlPr>
                </m:e>
              </m:d>
            </m:num>
            <m:den>
              <m:nary>
                <m:naryPr>
                  <m:chr m:val="∑"/>
                  <m:limLoc m:val="undOvr"/>
                  <m:ctrlPr>
                    <w:rPr>
                      <w:rFonts w:ascii="Cambria Math" w:hAnsi="Cambria Math"/>
                      <w:i/>
                    </w:rPr>
                  </m:ctrlPr>
                </m:naryPr>
                <m:sub>
                  <m:r>
                    <w:rPr>
                      <w:rFonts w:ascii="Cambria Math" w:hAnsi="Cambria Math"/>
                    </w:rPr>
                    <m:t>j=0</m:t>
                  </m:r>
                </m:sub>
                <m:sup>
                  <m:r>
                    <w:rPr>
                      <w:rFonts w:ascii="Cambria Math" w:hAnsi="Cambria Math"/>
                    </w:rPr>
                    <m:t>10</m:t>
                  </m:r>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Close</m:t>
                          </m:r>
                          <m:ctrlPr>
                            <w:rPr>
                              <w:rFonts w:ascii="Cambria Math" w:hAnsi="Cambria Math"/>
                              <w:i/>
                            </w:rPr>
                          </m:ctrlPr>
                        </m:e>
                        <m:sub>
                          <m:r>
                            <w:rPr>
                              <w:rFonts w:ascii="Cambria Math" w:hAnsi="Cambria Math"/>
                            </w:rPr>
                            <m:t>i-j</m:t>
                          </m:r>
                        </m:sub>
                      </m:sSub>
                      <m:r>
                        <w:rPr>
                          <w:rFonts w:ascii="Cambria Math" w:hAnsi="Cambria Math"/>
                        </w:rPr>
                        <m:t>-</m:t>
                      </m:r>
                      <m:sSub>
                        <m:sSubPr>
                          <m:ctrlPr>
                            <w:rPr>
                              <w:rFonts w:ascii="Cambria Math" w:hAnsi="Cambria Math"/>
                            </w:rPr>
                          </m:ctrlPr>
                        </m:sSubPr>
                        <m:e>
                          <m:r>
                            <m:rPr>
                              <m:sty m:val="p"/>
                            </m:rPr>
                            <w:rPr>
                              <w:rFonts w:ascii="Cambria Math" w:hAnsi="Cambria Math"/>
                            </w:rPr>
                            <m:t>Close</m:t>
                          </m:r>
                          <m:ctrlPr>
                            <w:rPr>
                              <w:rFonts w:ascii="Cambria Math" w:hAnsi="Cambria Math"/>
                              <w:i/>
                              <w:iCs/>
                            </w:rPr>
                          </m:ctrlPr>
                        </m:e>
                        <m:sub>
                          <m:r>
                            <w:rPr>
                              <w:rFonts w:ascii="Cambria Math" w:hAnsi="Cambria Math"/>
                            </w:rPr>
                            <m:t>i-j-1</m:t>
                          </m:r>
                        </m:sub>
                      </m:sSub>
                    </m:e>
                  </m:d>
                </m:e>
              </m:nary>
            </m:den>
          </m:f>
        </m:oMath>
      </m:oMathPara>
    </w:p>
    <w:p w14:paraId="4524916C" w14:textId="2B1DF8E1" w:rsidR="00EF002C" w:rsidRPr="00BC377D" w:rsidRDefault="00BD78A9" w:rsidP="00A03DFE">
      <w:pPr>
        <w:ind w:left="1080" w:firstLine="0"/>
      </w:pPr>
      <m:oMath>
        <m:sSub>
          <m:sSubPr>
            <m:ctrlPr>
              <w:rPr>
                <w:rFonts w:ascii="Cambria Math" w:hAnsi="Cambria Math"/>
                <w:i/>
              </w:rPr>
            </m:ctrlPr>
          </m:sSubPr>
          <m:e>
            <m:r>
              <w:rPr>
                <w:rFonts w:ascii="Cambria Math" w:hAnsi="Cambria Math"/>
              </w:rPr>
              <m:t>n</m:t>
            </m:r>
          </m:e>
          <m:sub>
            <m:r>
              <w:rPr>
                <w:rFonts w:ascii="Cambria Math" w:hAnsi="Cambria Math"/>
              </w:rPr>
              <m:t>slow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fast</m:t>
            </m:r>
          </m:sub>
        </m:sSub>
      </m:oMath>
      <w:r w:rsidR="00952D9E">
        <w:t xml:space="preserve"> are number of periods for the two exponential moving averages used in the smoothing constant. Typically, the values are 2 and 30, respectively. </w:t>
      </w:r>
      <m:oMath>
        <m:sSub>
          <m:sSubPr>
            <m:ctrlPr>
              <w:rPr>
                <w:rFonts w:ascii="Cambria Math" w:hAnsi="Cambria Math"/>
                <w:i/>
              </w:rPr>
            </m:ctrlPr>
          </m:sSubPr>
          <m:e>
            <m:r>
              <w:rPr>
                <w:rFonts w:ascii="Cambria Math" w:hAnsi="Cambria Math"/>
              </w:rPr>
              <m:t>n</m:t>
            </m:r>
          </m:e>
          <m:sub>
            <m:r>
              <w:rPr>
                <w:rFonts w:ascii="Cambria Math" w:hAnsi="Cambria Math"/>
              </w:rPr>
              <m:t>ER</m:t>
            </m:r>
          </m:sub>
        </m:sSub>
      </m:oMath>
      <w:r w:rsidR="00952D9E">
        <w:t xml:space="preserve"> is the number of periods for the efficiency ratio, typically</w:t>
      </w:r>
      <w:r w:rsidR="00146010">
        <w:t xml:space="preserve"> with a value of</w:t>
      </w:r>
      <w:r w:rsidR="00952D9E">
        <w:t xml:space="preserve"> </w:t>
      </w:r>
      <w:proofErr w:type="gramStart"/>
      <w:r w:rsidR="00952D9E">
        <w:t>10.</w:t>
      </w:r>
      <w:proofErr w:type="gramEnd"/>
    </w:p>
    <w:p w14:paraId="33BAF94D" w14:textId="0F7472E6" w:rsidR="00A03DFE" w:rsidRDefault="00A03DFE" w:rsidP="00A03DFE">
      <w:pPr>
        <w:pStyle w:val="ListParagraph"/>
        <w:numPr>
          <w:ilvl w:val="0"/>
          <w:numId w:val="21"/>
        </w:numPr>
        <w:rPr>
          <w:b/>
          <w:bCs/>
        </w:rPr>
      </w:pPr>
      <w:r>
        <w:rPr>
          <w:b/>
          <w:bCs/>
        </w:rPr>
        <w:t>Volume: Force Index (FI)</w:t>
      </w:r>
    </w:p>
    <w:p w14:paraId="01689B67" w14:textId="5DE5D38E" w:rsidR="00146010" w:rsidRDefault="00146010" w:rsidP="00146010">
      <w:pPr>
        <w:pStyle w:val="ListParagraph"/>
        <w:ind w:left="1080"/>
      </w:pPr>
      <w:r>
        <w:t>The force index was developed by Alexander Elder in 1993 to measure the amount of force for price movement using close price and volume. The force index is an oscillator that fluctuate between positive or negative values, used to spot potential reversals. Spikes in force index usually confirm a breakout in price. The force index is calculated</w:t>
      </w:r>
      <w:r w:rsidR="00FF5108">
        <w:t xml:space="preserve"> (typically a 13-day EMA is used)</w:t>
      </w:r>
      <w:sdt>
        <w:sdtPr>
          <w:id w:val="-1816711834"/>
          <w:citation/>
        </w:sdtPr>
        <w:sdtContent>
          <w:r w:rsidR="00FF5108">
            <w:fldChar w:fldCharType="begin"/>
          </w:r>
          <w:r w:rsidR="00FF5108">
            <w:instrText xml:space="preserve"> CITATION Mit19 \l 1033 </w:instrText>
          </w:r>
          <w:r w:rsidR="00FF5108">
            <w:fldChar w:fldCharType="separate"/>
          </w:r>
          <w:r w:rsidR="00D50500">
            <w:rPr>
              <w:noProof/>
            </w:rPr>
            <w:t xml:space="preserve"> (Mitchell, 2019)</w:t>
          </w:r>
          <w:r w:rsidR="00FF5108">
            <w:fldChar w:fldCharType="end"/>
          </w:r>
        </w:sdtContent>
      </w:sdt>
      <w:r w:rsidR="00FF5108">
        <w:t>:</w:t>
      </w:r>
    </w:p>
    <w:p w14:paraId="7B450DD8" w14:textId="2F655F26" w:rsidR="00146010" w:rsidRPr="00146010" w:rsidRDefault="00146010" w:rsidP="00146010">
      <w:pPr>
        <w:pStyle w:val="ListParagraph"/>
        <w:ind w:left="1080"/>
      </w:pPr>
      <m:oMathPara>
        <m:oMath>
          <m:r>
            <m:rPr>
              <m:sty m:val="p"/>
            </m:rPr>
            <w:rPr>
              <w:rFonts w:ascii="Cambria Math" w:hAnsi="Cambria Math"/>
            </w:rPr>
            <m:t xml:space="preserve">Force </m:t>
          </m:r>
          <m:sSub>
            <m:sSubPr>
              <m:ctrlPr>
                <w:rPr>
                  <w:rFonts w:ascii="Cambria Math" w:hAnsi="Cambria Math"/>
                  <w:iCs/>
                </w:rPr>
              </m:ctrlPr>
            </m:sSubPr>
            <m:e>
              <m:r>
                <m:rPr>
                  <m:sty m:val="p"/>
                </m:rPr>
                <w:rPr>
                  <w:rFonts w:ascii="Cambria Math" w:hAnsi="Cambria Math"/>
                </w:rPr>
                <m:t>Index</m:t>
              </m:r>
            </m:e>
            <m:sub>
              <m:r>
                <w:rPr>
                  <w:rFonts w:ascii="Cambria Math" w:hAnsi="Cambria Math"/>
                </w:rPr>
                <m:t>i</m:t>
              </m:r>
            </m:sub>
          </m:sSub>
          <m:r>
            <m:rPr>
              <m:sty m:val="p"/>
            </m:rPr>
            <w:rPr>
              <w:rFonts w:ascii="Cambria Math" w:hAnsi="Cambria Math"/>
            </w:rPr>
            <m:t>=</m:t>
          </m:r>
          <m:r>
            <m:rPr>
              <m:nor/>
            </m:rPr>
            <w:rPr>
              <w:rFonts w:ascii="Cambria Math" w:hAnsi="Cambria Math"/>
              <w:iCs/>
            </w:rPr>
            <m:t>n-day EMA of</m:t>
          </m:r>
          <m:r>
            <w:rPr>
              <w:rFonts w:ascii="Cambria Math" w:hAnsi="Cambria Math"/>
            </w:rPr>
            <m:t xml:space="preserve"> </m:t>
          </m:r>
          <m:d>
            <m:dPr>
              <m:ctrlPr>
                <w:rPr>
                  <w:rFonts w:ascii="Cambria Math" w:hAnsi="Cambria Math"/>
                  <w:i/>
                  <w:iCs/>
                </w:rPr>
              </m:ctrlPr>
            </m:dPr>
            <m:e>
              <m:d>
                <m:dPr>
                  <m:ctrlPr>
                    <w:rPr>
                      <w:rFonts w:ascii="Cambria Math" w:hAnsi="Cambria Math"/>
                      <w:i/>
                      <w:iCs/>
                    </w:rPr>
                  </m:ctrlPr>
                </m:dPr>
                <m:e>
                  <m:sSub>
                    <m:sSubPr>
                      <m:ctrlPr>
                        <w:rPr>
                          <w:rFonts w:ascii="Cambria Math" w:hAnsi="Cambria Math"/>
                        </w:rPr>
                      </m:ctrlPr>
                    </m:sSubPr>
                    <m:e>
                      <m:r>
                        <m:rPr>
                          <m:sty m:val="p"/>
                        </m:rPr>
                        <w:rPr>
                          <w:rFonts w:ascii="Cambria Math" w:hAnsi="Cambria Math"/>
                        </w:rPr>
                        <m:t>Close</m:t>
                      </m:r>
                      <m:ctrlPr>
                        <w:rPr>
                          <w:rFonts w:ascii="Cambria Math" w:hAnsi="Cambria Math"/>
                          <w:i/>
                          <w:iCs/>
                        </w:rPr>
                      </m:ctrlPr>
                    </m:e>
                    <m:sub>
                      <m:r>
                        <w:rPr>
                          <w:rFonts w:ascii="Cambria Math" w:hAnsi="Cambria Math"/>
                        </w:rPr>
                        <m:t>i</m:t>
                      </m:r>
                    </m:sub>
                  </m:sSub>
                  <m:r>
                    <w:rPr>
                      <w:rFonts w:ascii="Cambria Math" w:hAnsi="Cambria Math"/>
                    </w:rPr>
                    <m:t>-Clos</m:t>
                  </m:r>
                  <m:sSub>
                    <m:sSubPr>
                      <m:ctrlPr>
                        <w:rPr>
                          <w:rFonts w:ascii="Cambria Math" w:hAnsi="Cambria Math"/>
                          <w:i/>
                        </w:rPr>
                      </m:ctrlPr>
                    </m:sSubPr>
                    <m:e>
                      <m:r>
                        <w:rPr>
                          <w:rFonts w:ascii="Cambria Math" w:hAnsi="Cambria Math"/>
                        </w:rPr>
                        <m:t>e</m:t>
                      </m:r>
                    </m:e>
                    <m:sub>
                      <m:r>
                        <w:rPr>
                          <w:rFonts w:ascii="Cambria Math" w:hAnsi="Cambria Math"/>
                        </w:rPr>
                        <m:t>i-1</m:t>
                      </m:r>
                    </m:sub>
                  </m:sSub>
                  <m:ctrlPr>
                    <w:rPr>
                      <w:rFonts w:ascii="Cambria Math" w:hAnsi="Cambria Math"/>
                      <w:i/>
                    </w:rPr>
                  </m:ctrlPr>
                </m:e>
              </m:d>
              <m:r>
                <w:rPr>
                  <w:rFonts w:ascii="Cambria Math" w:hAnsi="Cambria Math"/>
                </w:rPr>
                <m:t>*Volume</m:t>
              </m:r>
              <m:ctrlPr>
                <w:rPr>
                  <w:rFonts w:ascii="Cambria Math" w:hAnsi="Cambria Math"/>
                  <w:i/>
                </w:rPr>
              </m:ctrlPr>
            </m:e>
          </m:d>
        </m:oMath>
      </m:oMathPara>
    </w:p>
    <w:p w14:paraId="26FAE028" w14:textId="5D40487C" w:rsidR="00A03DFE" w:rsidRDefault="00A03DFE" w:rsidP="00A03DFE">
      <w:pPr>
        <w:pStyle w:val="ListParagraph"/>
        <w:numPr>
          <w:ilvl w:val="0"/>
          <w:numId w:val="21"/>
        </w:numPr>
        <w:rPr>
          <w:b/>
          <w:bCs/>
        </w:rPr>
      </w:pPr>
      <w:r>
        <w:rPr>
          <w:b/>
          <w:bCs/>
        </w:rPr>
        <w:t xml:space="preserve">Volatility: </w:t>
      </w:r>
      <w:proofErr w:type="spellStart"/>
      <w:r>
        <w:rPr>
          <w:b/>
          <w:bCs/>
        </w:rPr>
        <w:t>Donchi</w:t>
      </w:r>
      <w:r w:rsidR="00FF5108">
        <w:rPr>
          <w:b/>
          <w:bCs/>
        </w:rPr>
        <w:t>a</w:t>
      </w:r>
      <w:r>
        <w:rPr>
          <w:b/>
          <w:bCs/>
        </w:rPr>
        <w:t>n</w:t>
      </w:r>
      <w:proofErr w:type="spellEnd"/>
      <w:r>
        <w:rPr>
          <w:b/>
          <w:bCs/>
        </w:rPr>
        <w:t xml:space="preserve"> Channel (DC)</w:t>
      </w:r>
    </w:p>
    <w:p w14:paraId="0629B623" w14:textId="64516B40" w:rsidR="00FF5108" w:rsidRPr="004A451D" w:rsidRDefault="00FF5108" w:rsidP="00FF5108">
      <w:pPr>
        <w:pStyle w:val="ListParagraph"/>
        <w:ind w:left="1080"/>
      </w:pPr>
      <w:r>
        <w:t xml:space="preserve">The </w:t>
      </w:r>
      <w:proofErr w:type="spellStart"/>
      <w:r>
        <w:t>Donchian</w:t>
      </w:r>
      <w:proofErr w:type="spellEnd"/>
      <w:r>
        <w:t xml:space="preserve"> channel is a channel indicator determined by three lines, developed by Richard </w:t>
      </w:r>
      <w:proofErr w:type="spellStart"/>
      <w:r>
        <w:t>Donchian</w:t>
      </w:r>
      <w:proofErr w:type="spellEnd"/>
      <w:sdt>
        <w:sdtPr>
          <w:id w:val="-527564757"/>
          <w:citation/>
        </w:sdtPr>
        <w:sdtContent>
          <w:r>
            <w:fldChar w:fldCharType="begin"/>
          </w:r>
          <w:r>
            <w:instrText xml:space="preserve"> CITATION Che20 \l 1033 </w:instrText>
          </w:r>
          <w:r>
            <w:fldChar w:fldCharType="separate"/>
          </w:r>
          <w:r w:rsidR="00D50500">
            <w:rPr>
              <w:noProof/>
            </w:rPr>
            <w:t xml:space="preserve"> (Chen, Donchian Channels Definition, 2020)</w:t>
          </w:r>
          <w:r>
            <w:fldChar w:fldCharType="end"/>
          </w:r>
        </w:sdtContent>
      </w:sdt>
      <w:r>
        <w:t xml:space="preserve">. </w:t>
      </w:r>
      <w:r w:rsidR="004A451D">
        <w:t xml:space="preserve">The upper and lower band or line marks the highest and lowest prices of an asset over </w:t>
      </w:r>
      <w:r w:rsidR="004A451D">
        <w:rPr>
          <w:i/>
          <w:iCs/>
        </w:rPr>
        <w:t xml:space="preserve">N </w:t>
      </w:r>
      <w:r w:rsidR="004A451D">
        <w:t xml:space="preserve">number of periods, where </w:t>
      </w:r>
      <w:r w:rsidR="004A451D">
        <w:rPr>
          <w:i/>
          <w:iCs/>
        </w:rPr>
        <w:t xml:space="preserve">N </w:t>
      </w:r>
      <w:r w:rsidR="004A451D">
        <w:t xml:space="preserve">is typically 10. The middle band is a moving average of the close price. The specific indicator utilized is the percentage band, which quantifies the position in channel in a percentage value. </w:t>
      </w:r>
    </w:p>
    <w:p w14:paraId="01762891" w14:textId="2EBCD247" w:rsidR="00A03DFE" w:rsidRDefault="00A03DFE" w:rsidP="00A03DFE">
      <w:pPr>
        <w:pStyle w:val="ListParagraph"/>
        <w:numPr>
          <w:ilvl w:val="0"/>
          <w:numId w:val="21"/>
        </w:numPr>
        <w:rPr>
          <w:b/>
          <w:bCs/>
        </w:rPr>
      </w:pPr>
      <w:r>
        <w:rPr>
          <w:b/>
          <w:bCs/>
        </w:rPr>
        <w:t>Trend: Mass Index (MI)</w:t>
      </w:r>
    </w:p>
    <w:p w14:paraId="2652895F" w14:textId="28227D46" w:rsidR="00A03DFE" w:rsidRDefault="0067625B" w:rsidP="0067625B">
      <w:pPr>
        <w:ind w:left="1080" w:firstLine="0"/>
      </w:pPr>
      <w:r>
        <w:t>Mass index was developed by Donald Dorsey in the 1990s to examine the range between high and low values over a given time period</w:t>
      </w:r>
      <w:sdt>
        <w:sdtPr>
          <w:id w:val="371742427"/>
          <w:citation/>
        </w:sdtPr>
        <w:sdtContent>
          <w:r w:rsidR="009D4ABE">
            <w:fldChar w:fldCharType="begin"/>
          </w:r>
          <w:r w:rsidR="009D4ABE">
            <w:instrText xml:space="preserve"> CITATION Che19 \l 1033 </w:instrText>
          </w:r>
          <w:r w:rsidR="009D4ABE">
            <w:fldChar w:fldCharType="separate"/>
          </w:r>
          <w:r w:rsidR="00D50500">
            <w:rPr>
              <w:noProof/>
            </w:rPr>
            <w:t xml:space="preserve"> (Chen, Investopedia, 2019)</w:t>
          </w:r>
          <w:r w:rsidR="009D4ABE">
            <w:fldChar w:fldCharType="end"/>
          </w:r>
        </w:sdtContent>
      </w:sdt>
      <w:r>
        <w:t>. This indicator examines the narrowing and widening of these ranges and is used to identify potential market reversals. However, the mass index does not indicate the direction of the reversals. The mass index is calculated using the following equation:</w:t>
      </w:r>
    </w:p>
    <w:p w14:paraId="6D4D6096" w14:textId="0A86A53C" w:rsidR="0067625B" w:rsidRPr="0067625B" w:rsidRDefault="0067625B" w:rsidP="0067625B">
      <w:pPr>
        <w:ind w:left="1080" w:firstLine="0"/>
        <w:rPr>
          <w:i/>
        </w:rPr>
      </w:pPr>
      <m:oMathPara>
        <m:oMath>
          <m:r>
            <m:rPr>
              <m:sty m:val="p"/>
            </m:rPr>
            <w:rPr>
              <w:rFonts w:ascii="Cambria Math" w:hAnsi="Cambria Math"/>
            </w:rPr>
            <w:lastRenderedPageBreak/>
            <m:t>Mass Index=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m:rPr>
                      <m:nor/>
                    </m:rPr>
                    <w:rPr>
                      <w:rFonts w:ascii="Cambria Math" w:hAnsi="Cambria Math"/>
                    </w:rPr>
                    <m:t>n-day EMA of (High - Low)</m:t>
                  </m:r>
                </m:num>
                <m:den>
                  <m:r>
                    <m:rPr>
                      <m:nor/>
                    </m:rPr>
                    <w:rPr>
                      <w:rFonts w:ascii="Cambria Math" w:hAnsi="Cambria Math"/>
                    </w:rPr>
                    <m:t>n-day EMA of a n-day EMA of (High - Low)</m:t>
                  </m:r>
                </m:den>
              </m:f>
            </m:e>
          </m:nary>
        </m:oMath>
      </m:oMathPara>
    </w:p>
    <w:p w14:paraId="6A7DA8B7" w14:textId="22F2854B" w:rsidR="0067625B" w:rsidRPr="0067625B" w:rsidRDefault="0067625B" w:rsidP="0067625B">
      <w:pPr>
        <w:ind w:left="1080" w:firstLine="0"/>
        <w:rPr>
          <w:iCs/>
        </w:rPr>
      </w:pPr>
      <w:r>
        <w:rPr>
          <w:i/>
        </w:rPr>
        <w:t xml:space="preserve">N </w:t>
      </w:r>
      <w:r>
        <w:rPr>
          <w:iCs/>
        </w:rPr>
        <w:t xml:space="preserve">is the calculation period, typically 25 trading days. </w:t>
      </w:r>
      <w:r>
        <w:rPr>
          <w:i/>
        </w:rPr>
        <w:t xml:space="preserve">n </w:t>
      </w:r>
      <w:r>
        <w:rPr>
          <w:iCs/>
        </w:rPr>
        <w:t xml:space="preserve">is the EMA period, typically 9 trading days. </w:t>
      </w:r>
    </w:p>
    <w:p w14:paraId="44268064" w14:textId="141859C4" w:rsidR="00470996" w:rsidRDefault="00470996" w:rsidP="006222F9"/>
    <w:p w14:paraId="3C5F2D31" w14:textId="77777777" w:rsidR="005954FE" w:rsidRDefault="005954FE" w:rsidP="005954FE">
      <w:pPr>
        <w:pStyle w:val="Heading2"/>
      </w:pPr>
      <w:bookmarkStart w:id="6" w:name="_Toc57256050"/>
      <w:r>
        <w:t>Signal Creation</w:t>
      </w:r>
      <w:bookmarkEnd w:id="6"/>
    </w:p>
    <w:p w14:paraId="635C6FEF" w14:textId="04CFA41D" w:rsidR="0004382A" w:rsidRDefault="006222F9" w:rsidP="00861388">
      <w:r w:rsidRPr="006222F9">
        <w:t>After dropping NA values from factor calculations, the data is separated into training</w:t>
      </w:r>
      <w:r w:rsidR="005954FE">
        <w:t>, test, and backtest datasets</w:t>
      </w:r>
      <w:r w:rsidRPr="006222F9">
        <w:t>. This provides 147</w:t>
      </w:r>
      <w:r w:rsidR="00861388">
        <w:t>0</w:t>
      </w:r>
      <w:r w:rsidRPr="006222F9">
        <w:t xml:space="preserve"> dates of data for each symbol in the training</w:t>
      </w:r>
      <w:r w:rsidR="00861388">
        <w:t xml:space="preserve"> (in-sample)</w:t>
      </w:r>
      <w:r w:rsidRPr="006222F9">
        <w:t xml:space="preserve"> </w:t>
      </w:r>
      <w:r w:rsidR="00861388">
        <w:t>dataset</w:t>
      </w:r>
      <w:r w:rsidR="00100901">
        <w:t xml:space="preserve">, </w:t>
      </w:r>
      <w:r w:rsidR="00861388">
        <w:t>503 in the test (out-sample) dataset</w:t>
      </w:r>
      <w:r w:rsidR="00100901">
        <w:t>, and 730 in the backtest dataset</w:t>
      </w:r>
      <w:r w:rsidR="00861388">
        <w:t xml:space="preserve">. The combined large dataset of the in-sample data has dimensions 119070 </w:t>
      </w:r>
      <w:r w:rsidR="00861388">
        <w:rPr>
          <w:rFonts w:cstheme="minorHAnsi"/>
        </w:rPr>
        <w:t>×</w:t>
      </w:r>
      <w:r w:rsidR="00861388">
        <w:t xml:space="preserve"> 4. </w:t>
      </w:r>
    </w:p>
    <w:p w14:paraId="558752BC" w14:textId="5664CC30" w:rsidR="00483292" w:rsidRDefault="00ED4346" w:rsidP="00483292">
      <w:r>
        <w:t xml:space="preserve">A trading strategy is built around signals. Typically, these signals are </w:t>
      </w:r>
      <w:r w:rsidR="00861388">
        <w:t>“</w:t>
      </w:r>
      <w:proofErr w:type="gramStart"/>
      <w:r>
        <w:t>buy</w:t>
      </w:r>
      <w:proofErr w:type="gramEnd"/>
      <w:r w:rsidR="00861388">
        <w:t>”</w:t>
      </w:r>
      <w:r>
        <w:t xml:space="preserve"> and </w:t>
      </w:r>
      <w:r w:rsidR="00861388">
        <w:t>“</w:t>
      </w:r>
      <w:r>
        <w:t>sell</w:t>
      </w:r>
      <w:r w:rsidR="00861388">
        <w:t>”</w:t>
      </w:r>
      <w:r>
        <w:t xml:space="preserve"> decisions. A </w:t>
      </w:r>
      <w:r w:rsidR="00100901">
        <w:t>regression model fits</w:t>
      </w:r>
      <w:r>
        <w:t xml:space="preserve"> the factors against the forward returns </w:t>
      </w:r>
      <w:r w:rsidR="00100901">
        <w:t xml:space="preserve">in </w:t>
      </w:r>
      <w:r>
        <w:t>attempts to utilize the factors to forecast the forward returns. There are many forms of regression models that can be utilized in this scenario</w:t>
      </w:r>
      <w:r w:rsidR="00861388">
        <w:t>. This study will utilize a simple</w:t>
      </w:r>
      <w:r>
        <w:t xml:space="preserve"> linear regression model with an intercept coefficient included. Model</w:t>
      </w:r>
      <w:r w:rsidR="00861388">
        <w:t xml:space="preserve"> regression</w:t>
      </w:r>
      <w:r>
        <w:t xml:space="preserve"> fitting</w:t>
      </w:r>
      <w:r w:rsidR="00861388">
        <w:t xml:space="preserve"> is performed on the in-sample data and model evaluation is performed on both the in-sample and out-sample data. The backtest data will be solely used for backtesting and will not be used in the model or strategy creation process. This allows recreation of real-world trading environments.</w:t>
      </w:r>
    </w:p>
    <w:p w14:paraId="78E1D4C9" w14:textId="5AA6A07D" w:rsidR="00483292" w:rsidRPr="00483292" w:rsidRDefault="00483292" w:rsidP="00483292">
      <w:pPr>
        <w:rPr>
          <w:i/>
          <w:iCs/>
        </w:rPr>
      </w:pPr>
      <w:r>
        <w:t xml:space="preserve">The linear regression can be explained with following equation, where forward return at time </w:t>
      </w:r>
      <w:r>
        <w:rPr>
          <w:i/>
          <w:iCs/>
        </w:rPr>
        <w:t xml:space="preserve">t </w:t>
      </w:r>
      <w:r>
        <w:t xml:space="preserve">for stock </w:t>
      </w:r>
      <w:proofErr w:type="spellStart"/>
      <w:r>
        <w:rPr>
          <w:i/>
          <w:iCs/>
        </w:rPr>
        <w:t>i</w:t>
      </w:r>
      <w:proofErr w:type="spellEnd"/>
      <w:r>
        <w:rPr>
          <w:i/>
          <w:iCs/>
        </w:rPr>
        <w:t xml:space="preserve"> </w:t>
      </w:r>
      <w:r>
        <w:t xml:space="preserve">is represented as a linear combination of the factors and the calculated coefficients showed in Table </w:t>
      </w:r>
      <w:r w:rsidR="00FB2CC2">
        <w:t>5</w:t>
      </w:r>
      <w:r>
        <w:t>.</w:t>
      </w:r>
    </w:p>
    <w:p w14:paraId="2393D1BC" w14:textId="437DD96D" w:rsidR="00483292" w:rsidRPr="00483292" w:rsidRDefault="00483292" w:rsidP="00483292">
      <m:oMathPara>
        <m:oMath>
          <m:r>
            <m:rPr>
              <m:sty m:val="p"/>
            </m:rPr>
            <w:rPr>
              <w:rFonts w:ascii="Cambria Math" w:hAnsi="Cambria Math"/>
            </w:rPr>
            <m:t xml:space="preserve">Forward </m:t>
          </m:r>
          <m:sSub>
            <m:sSubPr>
              <m:ctrlPr>
                <w:rPr>
                  <w:rFonts w:ascii="Cambria Math" w:hAnsi="Cambria Math"/>
                </w:rPr>
              </m:ctrlPr>
            </m:sSubPr>
            <m:e>
              <m:r>
                <m:rPr>
                  <m:sty m:val="p"/>
                </m:rPr>
                <w:rPr>
                  <w:rFonts w:ascii="Cambria Math" w:hAnsi="Cambria Math"/>
                </w:rPr>
                <m:t>Return</m:t>
              </m:r>
            </m:e>
            <m:sub>
              <m:r>
                <w:rPr>
                  <w:rFonts w:ascii="Cambria Math" w:hAnsi="Cambria Math"/>
                </w:rPr>
                <m:t>t,i</m:t>
              </m:r>
            </m:sub>
          </m:sSub>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KAMA</m:t>
              </m:r>
              <m:ctrlPr>
                <w:rPr>
                  <w:rFonts w:ascii="Cambria Math" w:hAnsi="Cambria Math"/>
                  <w:i/>
                </w:rPr>
              </m:ctrlPr>
            </m:e>
            <m:sub>
              <m:r>
                <w:rPr>
                  <w:rFonts w:ascii="Cambria Math" w:hAnsi="Cambria Math"/>
                </w:rPr>
                <m:t>t,i</m:t>
              </m:r>
            </m:sub>
          </m:sSub>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FI</m:t>
              </m:r>
              <m:ctrlPr>
                <w:rPr>
                  <w:rFonts w:ascii="Cambria Math" w:hAnsi="Cambria Math"/>
                  <w:i/>
                </w:rPr>
              </m:ctrlPr>
            </m:e>
            <m:sub>
              <m:r>
                <w:rPr>
                  <w:rFonts w:ascii="Cambria Math" w:hAnsi="Cambria Math"/>
                </w:rPr>
                <m:t>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DC</m:t>
              </m:r>
              <m:ctrlPr>
                <w:rPr>
                  <w:rFonts w:ascii="Cambria Math" w:hAnsi="Cambria Math"/>
                  <w:i/>
                </w:rPr>
              </m:ctrlPr>
            </m:e>
            <m:sub>
              <m:r>
                <w:rPr>
                  <w:rFonts w:ascii="Cambria Math" w:hAnsi="Cambria Math"/>
                </w:rPr>
                <m:t>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MI</m:t>
              </m:r>
              <m:ctrlPr>
                <w:rPr>
                  <w:rFonts w:ascii="Cambria Math" w:hAnsi="Cambria Math"/>
                  <w:i/>
                </w:rPr>
              </m:ctrlPr>
            </m:e>
            <m:sub>
              <m:r>
                <w:rPr>
                  <w:rFonts w:ascii="Cambria Math" w:hAnsi="Cambria Math"/>
                </w:rPr>
                <m:t>t,i</m:t>
              </m:r>
            </m:sub>
          </m:sSub>
        </m:oMath>
      </m:oMathPara>
    </w:p>
    <w:p w14:paraId="4E0B105A" w14:textId="77777777" w:rsidR="00483292" w:rsidRDefault="00483292" w:rsidP="00483292"/>
    <w:p w14:paraId="5F9A581E" w14:textId="49BC1F2D" w:rsidR="00861388" w:rsidRDefault="00A04AFB" w:rsidP="00ED4346">
      <w:r>
        <w:lastRenderedPageBreak/>
        <w:t>The results of a linear regression fit are shown below:</w:t>
      </w:r>
    </w:p>
    <w:tbl>
      <w:tblPr>
        <w:tblStyle w:val="APAReport"/>
        <w:tblW w:w="0" w:type="auto"/>
        <w:tblLook w:val="06A0" w:firstRow="1" w:lastRow="0" w:firstColumn="1" w:lastColumn="0" w:noHBand="1" w:noVBand="1"/>
      </w:tblPr>
      <w:tblGrid>
        <w:gridCol w:w="2772"/>
        <w:gridCol w:w="2170"/>
        <w:gridCol w:w="2117"/>
        <w:gridCol w:w="2301"/>
      </w:tblGrid>
      <w:tr w:rsidR="00A04AFB" w14:paraId="13F891CB" w14:textId="77777777" w:rsidTr="00BD78A9">
        <w:trPr>
          <w:cnfStyle w:val="100000000000" w:firstRow="1" w:lastRow="0" w:firstColumn="0" w:lastColumn="0" w:oddVBand="0" w:evenVBand="0" w:oddHBand="0" w:evenHBand="0" w:firstRowFirstColumn="0" w:firstRowLastColumn="0" w:lastRowFirstColumn="0" w:lastRowLastColumn="0"/>
        </w:trPr>
        <w:tc>
          <w:tcPr>
            <w:tcW w:w="2772" w:type="dxa"/>
          </w:tcPr>
          <w:p w14:paraId="4D488DEE" w14:textId="77777777" w:rsidR="00A04AFB" w:rsidRDefault="00A04AFB" w:rsidP="00BD78A9">
            <w:pPr>
              <w:jc w:val="center"/>
            </w:pPr>
          </w:p>
        </w:tc>
        <w:tc>
          <w:tcPr>
            <w:tcW w:w="2170" w:type="dxa"/>
          </w:tcPr>
          <w:p w14:paraId="7379BBCC" w14:textId="77777777" w:rsidR="00A04AFB" w:rsidRDefault="00A04AFB" w:rsidP="00BD78A9">
            <w:pPr>
              <w:jc w:val="center"/>
            </w:pPr>
            <w:r>
              <w:t>Coefficient</w:t>
            </w:r>
          </w:p>
        </w:tc>
        <w:tc>
          <w:tcPr>
            <w:tcW w:w="2117" w:type="dxa"/>
          </w:tcPr>
          <w:p w14:paraId="2026873C" w14:textId="77777777" w:rsidR="00A04AFB" w:rsidRDefault="00A04AFB" w:rsidP="00BD78A9">
            <w:pPr>
              <w:jc w:val="center"/>
            </w:pPr>
            <w:r>
              <w:t>Standard Error</w:t>
            </w:r>
          </w:p>
        </w:tc>
        <w:tc>
          <w:tcPr>
            <w:tcW w:w="2301" w:type="dxa"/>
          </w:tcPr>
          <w:p w14:paraId="011EC1AC" w14:textId="77777777" w:rsidR="00A04AFB" w:rsidRDefault="00A04AFB" w:rsidP="00BD78A9">
            <w:pPr>
              <w:jc w:val="center"/>
            </w:pPr>
            <w:r>
              <w:t>p-value</w:t>
            </w:r>
          </w:p>
        </w:tc>
      </w:tr>
      <w:tr w:rsidR="00A04AFB" w14:paraId="7A1F3861" w14:textId="77777777" w:rsidTr="00BD78A9">
        <w:tc>
          <w:tcPr>
            <w:tcW w:w="2772" w:type="dxa"/>
          </w:tcPr>
          <w:p w14:paraId="41FDD5F7" w14:textId="77777777" w:rsidR="00A04AFB" w:rsidRDefault="00A04AFB" w:rsidP="00BD78A9">
            <w:pPr>
              <w:jc w:val="center"/>
            </w:pPr>
            <w:r>
              <w:t>Intercept</w:t>
            </w:r>
          </w:p>
        </w:tc>
        <w:tc>
          <w:tcPr>
            <w:tcW w:w="2170" w:type="dxa"/>
          </w:tcPr>
          <w:p w14:paraId="42063311" w14:textId="46F9F8EF" w:rsidR="00A04AFB" w:rsidRDefault="00A04AFB" w:rsidP="00BD78A9">
            <w:pPr>
              <w:jc w:val="center"/>
            </w:pPr>
            <w:r>
              <w:t>0.002</w:t>
            </w:r>
            <w:r w:rsidR="00FF7DB8">
              <w:t>263</w:t>
            </w:r>
          </w:p>
        </w:tc>
        <w:tc>
          <w:tcPr>
            <w:tcW w:w="2117" w:type="dxa"/>
          </w:tcPr>
          <w:p w14:paraId="02E1FC87" w14:textId="4DB11680" w:rsidR="00A04AFB" w:rsidRDefault="00FF7DB8" w:rsidP="00BD78A9">
            <w:pPr>
              <w:jc w:val="center"/>
            </w:pPr>
            <w:r>
              <w:t>0.000292</w:t>
            </w:r>
          </w:p>
        </w:tc>
        <w:tc>
          <w:tcPr>
            <w:tcW w:w="2301" w:type="dxa"/>
          </w:tcPr>
          <w:p w14:paraId="32A1895B" w14:textId="54616447" w:rsidR="00A04AFB" w:rsidRDefault="00FF7DB8" w:rsidP="00BD78A9">
            <w:pPr>
              <w:jc w:val="center"/>
            </w:pPr>
            <w:r>
              <w:t>0.0000</w:t>
            </w:r>
          </w:p>
        </w:tc>
      </w:tr>
      <w:tr w:rsidR="00A04AFB" w14:paraId="1FC49481" w14:textId="77777777" w:rsidTr="00BD78A9">
        <w:tc>
          <w:tcPr>
            <w:tcW w:w="2772" w:type="dxa"/>
          </w:tcPr>
          <w:p w14:paraId="1AC2EDA8" w14:textId="1E7B85CF" w:rsidR="00A04AFB" w:rsidRDefault="00A04AFB" w:rsidP="00BD78A9">
            <w:pPr>
              <w:jc w:val="center"/>
            </w:pPr>
            <w:r>
              <w:t>KAMA</w:t>
            </w:r>
          </w:p>
        </w:tc>
        <w:tc>
          <w:tcPr>
            <w:tcW w:w="2170" w:type="dxa"/>
          </w:tcPr>
          <w:p w14:paraId="432408CB" w14:textId="01CD3801" w:rsidR="00A04AFB" w:rsidRDefault="00A04AFB" w:rsidP="00BD78A9">
            <w:pPr>
              <w:jc w:val="center"/>
            </w:pPr>
            <w:r>
              <w:rPr>
                <w:rFonts w:cstheme="minorHAnsi"/>
              </w:rPr>
              <w:t>−</w:t>
            </w:r>
            <w:r w:rsidR="00FF7DB8">
              <w:rPr>
                <w:rFonts w:cstheme="minorHAnsi"/>
              </w:rPr>
              <w:t xml:space="preserve"> </w:t>
            </w:r>
            <w:r>
              <w:t>0.002</w:t>
            </w:r>
            <w:r w:rsidR="00FF7DB8">
              <w:t>056</w:t>
            </w:r>
          </w:p>
        </w:tc>
        <w:tc>
          <w:tcPr>
            <w:tcW w:w="2117" w:type="dxa"/>
          </w:tcPr>
          <w:p w14:paraId="58722784" w14:textId="6E4A1C68" w:rsidR="00A04AFB" w:rsidRDefault="00FF7DB8" w:rsidP="00BD78A9">
            <w:pPr>
              <w:jc w:val="center"/>
            </w:pPr>
            <w:r>
              <w:t>0.000334</w:t>
            </w:r>
          </w:p>
        </w:tc>
        <w:tc>
          <w:tcPr>
            <w:tcW w:w="2301" w:type="dxa"/>
          </w:tcPr>
          <w:p w14:paraId="2E62CFA4" w14:textId="735D4868" w:rsidR="00A04AFB" w:rsidRDefault="00FF7DB8" w:rsidP="00BD78A9">
            <w:pPr>
              <w:jc w:val="center"/>
            </w:pPr>
            <w:r>
              <w:t>0.0000</w:t>
            </w:r>
          </w:p>
        </w:tc>
      </w:tr>
      <w:tr w:rsidR="00A04AFB" w14:paraId="68697DF0" w14:textId="77777777" w:rsidTr="00BD78A9">
        <w:tc>
          <w:tcPr>
            <w:tcW w:w="2772" w:type="dxa"/>
          </w:tcPr>
          <w:p w14:paraId="5381EF1B" w14:textId="36A7D2A3" w:rsidR="00A04AFB" w:rsidRDefault="00A04AFB" w:rsidP="00BD78A9">
            <w:pPr>
              <w:jc w:val="center"/>
            </w:pPr>
            <w:r>
              <w:t>FI</w:t>
            </w:r>
          </w:p>
        </w:tc>
        <w:tc>
          <w:tcPr>
            <w:tcW w:w="2170" w:type="dxa"/>
          </w:tcPr>
          <w:p w14:paraId="3ABEBB45" w14:textId="367DFFCA" w:rsidR="00A04AFB" w:rsidRDefault="00A04AFB" w:rsidP="00BD78A9">
            <w:pPr>
              <w:jc w:val="center"/>
            </w:pPr>
            <w:r>
              <w:rPr>
                <w:rFonts w:cstheme="minorHAnsi"/>
              </w:rPr>
              <w:t>−</w:t>
            </w:r>
            <w:r w:rsidR="00FF7DB8">
              <w:rPr>
                <w:rFonts w:cstheme="minorHAnsi"/>
              </w:rPr>
              <w:t xml:space="preserve"> 0.000420</w:t>
            </w:r>
          </w:p>
        </w:tc>
        <w:tc>
          <w:tcPr>
            <w:tcW w:w="2117" w:type="dxa"/>
          </w:tcPr>
          <w:p w14:paraId="42232573" w14:textId="6B63B0EB" w:rsidR="00A04AFB" w:rsidRDefault="00FF7DB8" w:rsidP="00BD78A9">
            <w:pPr>
              <w:jc w:val="center"/>
            </w:pPr>
            <w:r>
              <w:t>0.000338</w:t>
            </w:r>
          </w:p>
        </w:tc>
        <w:tc>
          <w:tcPr>
            <w:tcW w:w="2301" w:type="dxa"/>
          </w:tcPr>
          <w:p w14:paraId="59608F62" w14:textId="590D76B5" w:rsidR="00A04AFB" w:rsidRDefault="00FF7DB8" w:rsidP="00BD78A9">
            <w:pPr>
              <w:jc w:val="center"/>
            </w:pPr>
            <w:r>
              <w:t>0.2150</w:t>
            </w:r>
          </w:p>
        </w:tc>
      </w:tr>
      <w:tr w:rsidR="00A04AFB" w14:paraId="6C325FBF" w14:textId="77777777" w:rsidTr="00BD78A9">
        <w:tc>
          <w:tcPr>
            <w:tcW w:w="2772" w:type="dxa"/>
          </w:tcPr>
          <w:p w14:paraId="32114A23" w14:textId="4A6EB44C" w:rsidR="00A04AFB" w:rsidRDefault="00A04AFB" w:rsidP="00BD78A9">
            <w:pPr>
              <w:jc w:val="center"/>
            </w:pPr>
            <w:r>
              <w:t>DC</w:t>
            </w:r>
          </w:p>
        </w:tc>
        <w:tc>
          <w:tcPr>
            <w:tcW w:w="2170" w:type="dxa"/>
          </w:tcPr>
          <w:p w14:paraId="5C55F469" w14:textId="285EBA93" w:rsidR="00A04AFB" w:rsidRDefault="00FF7DB8" w:rsidP="00BD78A9">
            <w:pPr>
              <w:jc w:val="center"/>
            </w:pPr>
            <w:r>
              <w:rPr>
                <w:rFonts w:cstheme="minorHAnsi"/>
              </w:rPr>
              <w:t>− 0.001945</w:t>
            </w:r>
          </w:p>
        </w:tc>
        <w:tc>
          <w:tcPr>
            <w:tcW w:w="2117" w:type="dxa"/>
          </w:tcPr>
          <w:p w14:paraId="688E35DC" w14:textId="2AEBC6A2" w:rsidR="00A04AFB" w:rsidRDefault="00FF7DB8" w:rsidP="00BD78A9">
            <w:pPr>
              <w:jc w:val="center"/>
            </w:pPr>
            <w:r>
              <w:t>0.000193</w:t>
            </w:r>
          </w:p>
        </w:tc>
        <w:tc>
          <w:tcPr>
            <w:tcW w:w="2301" w:type="dxa"/>
          </w:tcPr>
          <w:p w14:paraId="32B53155" w14:textId="000DA1B9" w:rsidR="00A04AFB" w:rsidRDefault="00FF7DB8" w:rsidP="00BD78A9">
            <w:pPr>
              <w:jc w:val="center"/>
            </w:pPr>
            <w:r>
              <w:t>0.0000</w:t>
            </w:r>
          </w:p>
        </w:tc>
      </w:tr>
      <w:tr w:rsidR="00A04AFB" w14:paraId="0E6DDC97" w14:textId="77777777" w:rsidTr="00BD78A9">
        <w:tc>
          <w:tcPr>
            <w:tcW w:w="2772" w:type="dxa"/>
          </w:tcPr>
          <w:p w14:paraId="6390025E" w14:textId="038FB733" w:rsidR="00A04AFB" w:rsidRDefault="00A04AFB" w:rsidP="00BD78A9">
            <w:pPr>
              <w:jc w:val="center"/>
            </w:pPr>
            <w:r>
              <w:t>MI</w:t>
            </w:r>
          </w:p>
        </w:tc>
        <w:tc>
          <w:tcPr>
            <w:tcW w:w="2170" w:type="dxa"/>
          </w:tcPr>
          <w:p w14:paraId="26B7C437" w14:textId="7B084DAA" w:rsidR="00A04AFB" w:rsidRDefault="00FF7DB8" w:rsidP="00BD78A9">
            <w:pPr>
              <w:jc w:val="center"/>
            </w:pPr>
            <w:r>
              <w:rPr>
                <w:rFonts w:cstheme="minorHAnsi"/>
              </w:rPr>
              <w:t>− 0.000976</w:t>
            </w:r>
          </w:p>
        </w:tc>
        <w:tc>
          <w:tcPr>
            <w:tcW w:w="2117" w:type="dxa"/>
          </w:tcPr>
          <w:p w14:paraId="72EF3351" w14:textId="12CEC6D1" w:rsidR="00A04AFB" w:rsidRDefault="00FF7DB8" w:rsidP="00BD78A9">
            <w:pPr>
              <w:jc w:val="center"/>
            </w:pPr>
            <w:r>
              <w:t>0.</w:t>
            </w:r>
            <w:r w:rsidRPr="00FF7DB8">
              <w:t>0004</w:t>
            </w:r>
            <w:r>
              <w:t>4</w:t>
            </w:r>
            <w:r w:rsidRPr="00FF7DB8">
              <w:t>1</w:t>
            </w:r>
          </w:p>
        </w:tc>
        <w:tc>
          <w:tcPr>
            <w:tcW w:w="2301" w:type="dxa"/>
          </w:tcPr>
          <w:p w14:paraId="5D909340" w14:textId="5E8B437B" w:rsidR="00A04AFB" w:rsidRDefault="00FF7DB8" w:rsidP="00BD78A9">
            <w:pPr>
              <w:jc w:val="center"/>
            </w:pPr>
            <w:r>
              <w:t>0.0270</w:t>
            </w:r>
          </w:p>
        </w:tc>
      </w:tr>
    </w:tbl>
    <w:p w14:paraId="2C7B13F5" w14:textId="00A4DDD1" w:rsidR="00FF7DB8" w:rsidRDefault="00A04AFB" w:rsidP="00FF7DB8">
      <w:pPr>
        <w:pStyle w:val="tables"/>
      </w:pPr>
      <w:r>
        <w:t>Factor Linear Regression Model Results</w:t>
      </w:r>
    </w:p>
    <w:tbl>
      <w:tblPr>
        <w:tblStyle w:val="APAReport"/>
        <w:tblW w:w="0" w:type="auto"/>
        <w:jc w:val="center"/>
        <w:tblLook w:val="0600" w:firstRow="0" w:lastRow="0" w:firstColumn="0" w:lastColumn="0" w:noHBand="1" w:noVBand="1"/>
      </w:tblPr>
      <w:tblGrid>
        <w:gridCol w:w="3960"/>
        <w:gridCol w:w="2273"/>
      </w:tblGrid>
      <w:tr w:rsidR="00FF7DB8" w14:paraId="6BE3FE59" w14:textId="77777777" w:rsidTr="00BD78A9">
        <w:trPr>
          <w:jc w:val="center"/>
        </w:trPr>
        <w:tc>
          <w:tcPr>
            <w:tcW w:w="3960" w:type="dxa"/>
          </w:tcPr>
          <w:p w14:paraId="50CC98A4" w14:textId="6396BF69" w:rsidR="00FF7DB8" w:rsidRPr="00FF7DB8" w:rsidRDefault="00FF7DB8" w:rsidP="00FF7DB8">
            <w:pPr>
              <w:jc w:val="center"/>
              <w:rPr>
                <w:vertAlign w:val="superscript"/>
              </w:rPr>
            </w:pPr>
            <w:r>
              <w:t>R</w:t>
            </w:r>
            <w:r>
              <w:rPr>
                <w:vertAlign w:val="superscript"/>
              </w:rPr>
              <w:t>2</w:t>
            </w:r>
          </w:p>
        </w:tc>
        <w:tc>
          <w:tcPr>
            <w:tcW w:w="2273" w:type="dxa"/>
          </w:tcPr>
          <w:p w14:paraId="5408AD0F" w14:textId="41EBE69A" w:rsidR="00FF7DB8" w:rsidRPr="005642F0" w:rsidRDefault="00FF7DB8" w:rsidP="00BD78A9">
            <w:pPr>
              <w:jc w:val="center"/>
            </w:pPr>
            <w:r>
              <w:t>0.00125</w:t>
            </w:r>
          </w:p>
        </w:tc>
      </w:tr>
      <w:tr w:rsidR="00FF7DB8" w14:paraId="1C09464C" w14:textId="77777777" w:rsidTr="00BD78A9">
        <w:trPr>
          <w:jc w:val="center"/>
        </w:trPr>
        <w:tc>
          <w:tcPr>
            <w:tcW w:w="3960" w:type="dxa"/>
          </w:tcPr>
          <w:p w14:paraId="188C3B57" w14:textId="6AD78FC2" w:rsidR="00FF7DB8" w:rsidRDefault="00FF7DB8" w:rsidP="00FF7DB8">
            <w:r>
              <w:t>Standard Deviation of Forward Return</w:t>
            </w:r>
          </w:p>
        </w:tc>
        <w:tc>
          <w:tcPr>
            <w:tcW w:w="2273" w:type="dxa"/>
          </w:tcPr>
          <w:p w14:paraId="56CD4628" w14:textId="24C3449D" w:rsidR="00FF7DB8" w:rsidRDefault="00FF7DB8" w:rsidP="00BD78A9">
            <w:pPr>
              <w:jc w:val="center"/>
            </w:pPr>
            <w:r w:rsidRPr="005642F0">
              <w:t>0.01</w:t>
            </w:r>
            <w:r>
              <w:t>978</w:t>
            </w:r>
          </w:p>
        </w:tc>
      </w:tr>
      <w:tr w:rsidR="00FF7DB8" w14:paraId="12568342" w14:textId="77777777" w:rsidTr="00BD78A9">
        <w:trPr>
          <w:jc w:val="center"/>
        </w:trPr>
        <w:tc>
          <w:tcPr>
            <w:tcW w:w="3960" w:type="dxa"/>
          </w:tcPr>
          <w:p w14:paraId="2ADA9C51" w14:textId="77777777" w:rsidR="00FF7DB8" w:rsidRDefault="00FF7DB8" w:rsidP="00BD78A9">
            <w:pPr>
              <w:jc w:val="center"/>
            </w:pPr>
            <w:r>
              <w:t>Mean of Residuals</w:t>
            </w:r>
          </w:p>
        </w:tc>
        <w:tc>
          <w:tcPr>
            <w:tcW w:w="2273" w:type="dxa"/>
          </w:tcPr>
          <w:p w14:paraId="1FAB8693" w14:textId="77777777" w:rsidR="00FF7DB8" w:rsidRDefault="00FF7DB8" w:rsidP="00BD78A9">
            <w:pPr>
              <w:jc w:val="center"/>
            </w:pPr>
            <w:r>
              <w:t>0.00000</w:t>
            </w:r>
          </w:p>
        </w:tc>
      </w:tr>
      <w:tr w:rsidR="00FF7DB8" w14:paraId="3A2E575E" w14:textId="77777777" w:rsidTr="00BD78A9">
        <w:trPr>
          <w:jc w:val="center"/>
        </w:trPr>
        <w:tc>
          <w:tcPr>
            <w:tcW w:w="3960" w:type="dxa"/>
          </w:tcPr>
          <w:p w14:paraId="1BF623E4" w14:textId="77777777" w:rsidR="00FF7DB8" w:rsidRDefault="00FF7DB8" w:rsidP="00BD78A9">
            <w:pPr>
              <w:jc w:val="center"/>
            </w:pPr>
            <w:r>
              <w:t>Standard Deviation of Residuals</w:t>
            </w:r>
          </w:p>
        </w:tc>
        <w:tc>
          <w:tcPr>
            <w:tcW w:w="2273" w:type="dxa"/>
          </w:tcPr>
          <w:p w14:paraId="4CCB9C0C" w14:textId="40C0F5D0" w:rsidR="00FF7DB8" w:rsidRDefault="00FF7DB8" w:rsidP="00BD78A9">
            <w:pPr>
              <w:jc w:val="center"/>
            </w:pPr>
            <w:r w:rsidRPr="005642F0">
              <w:t>0.0</w:t>
            </w:r>
            <w:r>
              <w:t>1976</w:t>
            </w:r>
          </w:p>
        </w:tc>
      </w:tr>
      <w:tr w:rsidR="00FF7DB8" w14:paraId="30E74C97" w14:textId="77777777" w:rsidTr="00BD78A9">
        <w:trPr>
          <w:jc w:val="center"/>
        </w:trPr>
        <w:tc>
          <w:tcPr>
            <w:tcW w:w="3960" w:type="dxa"/>
          </w:tcPr>
          <w:p w14:paraId="1EDA9747" w14:textId="77777777" w:rsidR="00FF7DB8" w:rsidRPr="005642F0" w:rsidRDefault="00FF7DB8" w:rsidP="00BD78A9">
            <w:pPr>
              <w:jc w:val="center"/>
            </w:pPr>
            <w:proofErr w:type="spellStart"/>
            <w:r>
              <w:t>MSR</w:t>
            </w:r>
            <w:r>
              <w:rPr>
                <w:vertAlign w:val="subscript"/>
              </w:rPr>
              <w:t>Reduced</w:t>
            </w:r>
            <w:proofErr w:type="spellEnd"/>
            <w:r>
              <w:t xml:space="preserve"> Residuals</w:t>
            </w:r>
          </w:p>
        </w:tc>
        <w:tc>
          <w:tcPr>
            <w:tcW w:w="2273" w:type="dxa"/>
          </w:tcPr>
          <w:p w14:paraId="42EA485F" w14:textId="7D55E096" w:rsidR="00FF7DB8" w:rsidRDefault="00FF7DB8" w:rsidP="00BD78A9">
            <w:pPr>
              <w:jc w:val="center"/>
            </w:pPr>
            <w:r w:rsidRPr="005642F0">
              <w:t>0.000</w:t>
            </w:r>
            <w:r>
              <w:t>39</w:t>
            </w:r>
          </w:p>
        </w:tc>
      </w:tr>
    </w:tbl>
    <w:p w14:paraId="3C0D7D6D" w14:textId="77859786" w:rsidR="00483292" w:rsidRDefault="00FF7DB8" w:rsidP="00FB2CC2">
      <w:pPr>
        <w:pStyle w:val="tables"/>
      </w:pPr>
      <w:r w:rsidRPr="00DF383F">
        <w:t>In-Sample Model Metrics</w:t>
      </w:r>
    </w:p>
    <w:tbl>
      <w:tblPr>
        <w:tblStyle w:val="APAReport"/>
        <w:tblW w:w="0" w:type="auto"/>
        <w:jc w:val="center"/>
        <w:tblLook w:val="0600" w:firstRow="0" w:lastRow="0" w:firstColumn="0" w:lastColumn="0" w:noHBand="1" w:noVBand="1"/>
      </w:tblPr>
      <w:tblGrid>
        <w:gridCol w:w="3960"/>
        <w:gridCol w:w="2273"/>
      </w:tblGrid>
      <w:tr w:rsidR="00E0166A" w14:paraId="33F69D6F" w14:textId="77777777" w:rsidTr="006F195B">
        <w:trPr>
          <w:jc w:val="center"/>
        </w:trPr>
        <w:tc>
          <w:tcPr>
            <w:tcW w:w="3960" w:type="dxa"/>
          </w:tcPr>
          <w:p w14:paraId="178E9B41" w14:textId="77777777" w:rsidR="00E0166A" w:rsidRDefault="00E0166A" w:rsidP="006F195B">
            <w:r>
              <w:t>Standard Deviation of Forward Return</w:t>
            </w:r>
          </w:p>
        </w:tc>
        <w:tc>
          <w:tcPr>
            <w:tcW w:w="2273" w:type="dxa"/>
          </w:tcPr>
          <w:p w14:paraId="54E6C3E9" w14:textId="70B38A2E" w:rsidR="00E0166A" w:rsidRDefault="00E0166A" w:rsidP="006F195B">
            <w:pPr>
              <w:jc w:val="center"/>
            </w:pPr>
            <w:r w:rsidRPr="005642F0">
              <w:t>0.01</w:t>
            </w:r>
            <w:r>
              <w:t>674</w:t>
            </w:r>
          </w:p>
        </w:tc>
      </w:tr>
      <w:tr w:rsidR="00E0166A" w14:paraId="506B4A4B" w14:textId="77777777" w:rsidTr="006F195B">
        <w:trPr>
          <w:jc w:val="center"/>
        </w:trPr>
        <w:tc>
          <w:tcPr>
            <w:tcW w:w="3960" w:type="dxa"/>
          </w:tcPr>
          <w:p w14:paraId="1702725C" w14:textId="77777777" w:rsidR="00E0166A" w:rsidRDefault="00E0166A" w:rsidP="006F195B">
            <w:pPr>
              <w:jc w:val="center"/>
            </w:pPr>
            <w:r>
              <w:t>Mean of Residuals</w:t>
            </w:r>
          </w:p>
        </w:tc>
        <w:tc>
          <w:tcPr>
            <w:tcW w:w="2273" w:type="dxa"/>
          </w:tcPr>
          <w:p w14:paraId="53E9EE64" w14:textId="103C89B2" w:rsidR="00E0166A" w:rsidRDefault="00E0166A" w:rsidP="006F195B">
            <w:pPr>
              <w:jc w:val="center"/>
            </w:pPr>
            <w:r>
              <w:t>0.00054</w:t>
            </w:r>
          </w:p>
        </w:tc>
      </w:tr>
      <w:tr w:rsidR="00E0166A" w14:paraId="34C47B5F" w14:textId="77777777" w:rsidTr="006F195B">
        <w:trPr>
          <w:jc w:val="center"/>
        </w:trPr>
        <w:tc>
          <w:tcPr>
            <w:tcW w:w="3960" w:type="dxa"/>
          </w:tcPr>
          <w:p w14:paraId="3F0E0287" w14:textId="77777777" w:rsidR="00E0166A" w:rsidRDefault="00E0166A" w:rsidP="006F195B">
            <w:pPr>
              <w:jc w:val="center"/>
            </w:pPr>
            <w:r>
              <w:t>Standard Deviation of Residuals</w:t>
            </w:r>
          </w:p>
        </w:tc>
        <w:tc>
          <w:tcPr>
            <w:tcW w:w="2273" w:type="dxa"/>
          </w:tcPr>
          <w:p w14:paraId="1783C25F" w14:textId="07DC2C26" w:rsidR="00E0166A" w:rsidRDefault="00E0166A" w:rsidP="006F195B">
            <w:pPr>
              <w:jc w:val="center"/>
            </w:pPr>
            <w:r w:rsidRPr="005642F0">
              <w:t>0.0</w:t>
            </w:r>
            <w:r>
              <w:t>1673</w:t>
            </w:r>
          </w:p>
        </w:tc>
      </w:tr>
      <w:tr w:rsidR="00E0166A" w14:paraId="0580A4AA" w14:textId="77777777" w:rsidTr="006F195B">
        <w:trPr>
          <w:jc w:val="center"/>
        </w:trPr>
        <w:tc>
          <w:tcPr>
            <w:tcW w:w="3960" w:type="dxa"/>
          </w:tcPr>
          <w:p w14:paraId="70BDC293" w14:textId="77777777" w:rsidR="00E0166A" w:rsidRPr="005642F0" w:rsidRDefault="00E0166A" w:rsidP="006F195B">
            <w:pPr>
              <w:jc w:val="center"/>
            </w:pPr>
            <w:proofErr w:type="spellStart"/>
            <w:r>
              <w:t>MSR</w:t>
            </w:r>
            <w:r>
              <w:rPr>
                <w:vertAlign w:val="subscript"/>
              </w:rPr>
              <w:t>Reduced</w:t>
            </w:r>
            <w:proofErr w:type="spellEnd"/>
            <w:r>
              <w:t xml:space="preserve"> Residuals</w:t>
            </w:r>
          </w:p>
        </w:tc>
        <w:tc>
          <w:tcPr>
            <w:tcW w:w="2273" w:type="dxa"/>
          </w:tcPr>
          <w:p w14:paraId="3ADE8427" w14:textId="68CB8E69" w:rsidR="00E0166A" w:rsidRDefault="00E0166A" w:rsidP="006F195B">
            <w:pPr>
              <w:jc w:val="center"/>
            </w:pPr>
            <w:r w:rsidRPr="005642F0">
              <w:t>0.000</w:t>
            </w:r>
            <w:r>
              <w:t>28</w:t>
            </w:r>
          </w:p>
        </w:tc>
      </w:tr>
    </w:tbl>
    <w:p w14:paraId="3D7FCB69" w14:textId="62435D66" w:rsidR="00E0166A" w:rsidRPr="00DF383F" w:rsidRDefault="00E0166A" w:rsidP="00DF383F">
      <w:pPr>
        <w:pStyle w:val="tables"/>
      </w:pPr>
      <w:r>
        <w:t>Out-Sample Model Metrics</w:t>
      </w:r>
    </w:p>
    <w:p w14:paraId="071D57E9" w14:textId="1C3408F5" w:rsidR="0067606D" w:rsidRDefault="00A96746" w:rsidP="0067606D">
      <w:r>
        <w:t xml:space="preserve">The calculated coefficients all have negative correlation with the target forward returns. With the exception of force index (FI), the factors all have a significant p-value. The p-value measures the significance of the observed coefficients, representing the probability that such a coefficient is observed given the null hypothesis that the factor has no correlation with the target. </w:t>
      </w:r>
    </w:p>
    <w:p w14:paraId="1348593A" w14:textId="68430FC6" w:rsidR="00FB2CC2" w:rsidRDefault="00FB2CC2" w:rsidP="0067606D">
      <w:r>
        <w:t>However, analysis of residuals shows a poor model fit. The R</w:t>
      </w:r>
      <w:r>
        <w:rPr>
          <w:vertAlign w:val="superscript"/>
        </w:rPr>
        <w:t xml:space="preserve">2 </w:t>
      </w:r>
      <w:r>
        <w:t>value is 0.00125, imply that the factors have little explainability of the variation in forward returns. Furthermore, the standard deviation of residuals is approximately equal to the standard deviation of forward return values. The errors in the model are as almost as large as the variation in the target variable itself.</w:t>
      </w:r>
    </w:p>
    <w:p w14:paraId="6FC10B6C" w14:textId="05009CCF" w:rsidR="00FB2CC2" w:rsidRDefault="00FB2CC2" w:rsidP="000833C0">
      <w:pPr>
        <w:ind w:firstLine="0"/>
        <w:jc w:val="center"/>
      </w:pPr>
      <w:r>
        <w:rPr>
          <w:noProof/>
        </w:rPr>
        <w:lastRenderedPageBreak/>
        <w:drawing>
          <wp:inline distT="0" distB="0" distL="0" distR="0" wp14:anchorId="4BAED553" wp14:editId="06286A52">
            <wp:extent cx="4868997" cy="29260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8997" cy="2926080"/>
                    </a:xfrm>
                    <a:prstGeom prst="rect">
                      <a:avLst/>
                    </a:prstGeom>
                    <a:noFill/>
                    <a:ln>
                      <a:noFill/>
                    </a:ln>
                  </pic:spPr>
                </pic:pic>
              </a:graphicData>
            </a:graphic>
          </wp:inline>
        </w:drawing>
      </w:r>
    </w:p>
    <w:p w14:paraId="038C6C06" w14:textId="095B9890" w:rsidR="00FB2CC2" w:rsidRDefault="000833C0" w:rsidP="000833C0">
      <w:pPr>
        <w:pStyle w:val="figure"/>
      </w:pPr>
      <w:r>
        <w:t>Histogram of Residuals</w:t>
      </w:r>
    </w:p>
    <w:p w14:paraId="19F87DC5" w14:textId="1345B086" w:rsidR="000833C0" w:rsidRDefault="000833C0" w:rsidP="000833C0">
      <w:r>
        <w:t>Examination of the histogram of residuals show that though there is significant variation or error, there is no bias in the error. This model will be utilized to create the signals, which are the forecast of forward returns given the factors.</w:t>
      </w:r>
    </w:p>
    <w:p w14:paraId="7391CC15" w14:textId="77777777" w:rsidR="00A811CE" w:rsidRPr="000833C0" w:rsidRDefault="00A811CE" w:rsidP="000833C0"/>
    <w:p w14:paraId="35389A35" w14:textId="74E28791" w:rsidR="0011350D" w:rsidRDefault="0067606D" w:rsidP="0011350D">
      <w:pPr>
        <w:pStyle w:val="Heading2"/>
      </w:pPr>
      <w:bookmarkStart w:id="7" w:name="_Toc57256051"/>
      <w:r>
        <w:t>Strategy and Backtesting</w:t>
      </w:r>
      <w:bookmarkEnd w:id="7"/>
    </w:p>
    <w:p w14:paraId="3177B3E6" w14:textId="3AE9BD02" w:rsidR="00CB0FDA" w:rsidRPr="00FA3F73" w:rsidRDefault="00CB0FDA" w:rsidP="00CB0FDA">
      <w:r>
        <w:t>The daily trading strategy</w:t>
      </w:r>
      <w:r w:rsidR="00531FE2">
        <w:t xml:space="preserve"> is a long-short strategy</w:t>
      </w:r>
      <w:r>
        <w:t xml:space="preserve"> </w:t>
      </w:r>
      <w:r w:rsidR="00100901">
        <w:t xml:space="preserve">that </w:t>
      </w:r>
      <w:r>
        <w:t xml:space="preserve">works as follow. For each stock, if the stock has a positive forecasted forward return (a positive signal), the stock will be assigned a long position. If the stock has a </w:t>
      </w:r>
      <w:r w:rsidR="00FA3F73">
        <w:t>negat</w:t>
      </w:r>
      <w:r w:rsidR="00531FE2">
        <w:t>ive signal, the stock will be assigned a short position.</w:t>
      </w:r>
      <w:r w:rsidR="0022137C">
        <w:t xml:space="preserve"> A transaction cost model and weighting model will be applied to each daily trade.</w:t>
      </w:r>
      <w:r w:rsidR="00B328DA">
        <w:t xml:space="preserve"> The initial portfolio value of the strategy will be set at $100 million dollars.</w:t>
      </w:r>
    </w:p>
    <w:p w14:paraId="476FD7A6" w14:textId="1B05FBC0" w:rsidR="00020F84" w:rsidRDefault="00020F84" w:rsidP="00020F84">
      <w:pPr>
        <w:pStyle w:val="Heading3"/>
      </w:pPr>
      <w:bookmarkStart w:id="8" w:name="_Toc57256052"/>
      <w:r>
        <w:t>Transaction Cost Model</w:t>
      </w:r>
      <w:bookmarkEnd w:id="8"/>
    </w:p>
    <w:p w14:paraId="4F97A8D3" w14:textId="5257EC33" w:rsidR="00020F84" w:rsidRDefault="00020F84" w:rsidP="00020F84">
      <w:r>
        <w:t>To replicate real world trading scenarios in the backtest, a transaction cost model is utilized. The transaction cost per share traded, in dollars, for each stock is calculated:</w:t>
      </w:r>
    </w:p>
    <w:p w14:paraId="59AF2BCF" w14:textId="49E52B7A" w:rsidR="00020F84" w:rsidRPr="00020F84" w:rsidRDefault="00020F84" w:rsidP="00020F84">
      <m:oMathPara>
        <m:oMath>
          <m:r>
            <w:rPr>
              <w:rFonts w:ascii="Cambria Math" w:hAnsi="Cambria Math"/>
            </w:rPr>
            <w:lastRenderedPageBreak/>
            <m:t>TransactionCost=0.004*</m:t>
          </m:r>
          <m:sSub>
            <m:sSubPr>
              <m:ctrlPr>
                <w:rPr>
                  <w:rFonts w:ascii="Cambria Math" w:hAnsi="Cambria Math"/>
                  <w:i/>
                </w:rPr>
              </m:ctrlPr>
            </m:sSubPr>
            <m:e>
              <m:r>
                <w:rPr>
                  <w:rFonts w:ascii="Cambria Math" w:hAnsi="Cambria Math"/>
                </w:rPr>
                <m:t>σ</m:t>
              </m:r>
            </m:e>
            <m:sub>
              <m:r>
                <w:rPr>
                  <w:rFonts w:ascii="Cambria Math" w:hAnsi="Cambria Math"/>
                </w:rPr>
                <m:t>ann</m:t>
              </m:r>
            </m:sub>
          </m:sSub>
          <m:r>
            <w:rPr>
              <w:rFonts w:ascii="Cambria Math" w:hAnsi="Cambria Math"/>
            </w:rPr>
            <m:t>*</m:t>
          </m:r>
          <m:f>
            <m:fPr>
              <m:ctrlPr>
                <w:rPr>
                  <w:rFonts w:ascii="Cambria Math" w:hAnsi="Cambria Math"/>
                  <w:i/>
                </w:rPr>
              </m:ctrlPr>
            </m:fPr>
            <m:num>
              <m:r>
                <w:rPr>
                  <w:rFonts w:ascii="Cambria Math" w:hAnsi="Cambria Math"/>
                </w:rPr>
                <m:t>OrderSize</m:t>
              </m:r>
            </m:num>
            <m:den>
              <m:r>
                <w:rPr>
                  <w:rFonts w:ascii="Cambria Math" w:hAnsi="Cambria Math"/>
                </w:rPr>
                <m:t>MD</m:t>
              </m:r>
              <m:sSub>
                <m:sSubPr>
                  <m:ctrlPr>
                    <w:rPr>
                      <w:rFonts w:ascii="Cambria Math" w:hAnsi="Cambria Math"/>
                      <w:i/>
                    </w:rPr>
                  </m:ctrlPr>
                </m:sSubPr>
                <m:e>
                  <m:r>
                    <w:rPr>
                      <w:rFonts w:ascii="Cambria Math" w:hAnsi="Cambria Math"/>
                    </w:rPr>
                    <m:t>V</m:t>
                  </m:r>
                </m:e>
                <m:sub>
                  <m:r>
                    <w:rPr>
                      <w:rFonts w:ascii="Cambria Math" w:hAnsi="Cambria Math"/>
                    </w:rPr>
                    <m:t>21</m:t>
                  </m:r>
                </m:sub>
              </m:sSub>
            </m:den>
          </m:f>
          <m:r>
            <w:rPr>
              <w:rFonts w:ascii="Cambria Math" w:hAnsi="Cambria Math"/>
            </w:rPr>
            <m:t>*PreviousClosePrice</m:t>
          </m:r>
        </m:oMath>
      </m:oMathPara>
    </w:p>
    <w:p w14:paraId="3CE6D3DC" w14:textId="0AFE3C94" w:rsidR="00242563" w:rsidRDefault="00020F84" w:rsidP="00020F84">
      <w:pPr>
        <w:ind w:firstLine="0"/>
      </w:pPr>
      <m:oMath>
        <m:sSub>
          <m:sSubPr>
            <m:ctrlPr>
              <w:rPr>
                <w:rFonts w:ascii="Cambria Math" w:hAnsi="Cambria Math"/>
                <w:i/>
              </w:rPr>
            </m:ctrlPr>
          </m:sSubPr>
          <m:e>
            <m:r>
              <w:rPr>
                <w:rFonts w:ascii="Cambria Math" w:hAnsi="Cambria Math"/>
              </w:rPr>
              <m:t>σ</m:t>
            </m:r>
          </m:e>
          <m:sub>
            <m:r>
              <w:rPr>
                <w:rFonts w:ascii="Cambria Math" w:hAnsi="Cambria Math"/>
              </w:rPr>
              <m:t>ann</m:t>
            </m:r>
          </m:sub>
        </m:sSub>
      </m:oMath>
      <w:r>
        <w:t xml:space="preserve"> is the annualized volatility in percent and </w:t>
      </w:r>
      <m:oMath>
        <m:r>
          <w:rPr>
            <w:rFonts w:ascii="Cambria Math" w:hAnsi="Cambria Math"/>
          </w:rPr>
          <m:t>MD</m:t>
        </m:r>
        <m:sSub>
          <m:sSubPr>
            <m:ctrlPr>
              <w:rPr>
                <w:rFonts w:ascii="Cambria Math" w:hAnsi="Cambria Math"/>
                <w:i/>
              </w:rPr>
            </m:ctrlPr>
          </m:sSubPr>
          <m:e>
            <m:r>
              <w:rPr>
                <w:rFonts w:ascii="Cambria Math" w:hAnsi="Cambria Math"/>
              </w:rPr>
              <m:t>V</m:t>
            </m:r>
          </m:e>
          <m:sub>
            <m:r>
              <w:rPr>
                <w:rFonts w:ascii="Cambria Math" w:hAnsi="Cambria Math"/>
              </w:rPr>
              <m:t>21</m:t>
            </m:r>
          </m:sub>
        </m:sSub>
      </m:oMath>
      <w:r>
        <w:t xml:space="preserve"> is the 21-day median traded </w:t>
      </w:r>
      <w:proofErr w:type="gramStart"/>
      <w:r>
        <w:t>volume.</w:t>
      </w:r>
      <w:proofErr w:type="gramEnd"/>
      <w:r>
        <w:t xml:space="preserve"> </w:t>
      </w:r>
      <w:r w:rsidR="0022137C">
        <w:t xml:space="preserve">The order size is the change in position from the previous day. </w:t>
      </w:r>
      <w:r w:rsidR="00F338E2">
        <w:t>It is assumed that the costs equal for both buying and selling a stock.</w:t>
      </w:r>
    </w:p>
    <w:p w14:paraId="532AD135" w14:textId="7E0A86CE" w:rsidR="00020F84" w:rsidRDefault="00020F84" w:rsidP="00020F84">
      <w:pPr>
        <w:pStyle w:val="Heading3"/>
      </w:pPr>
      <w:bookmarkStart w:id="9" w:name="_Toc57256053"/>
      <w:r>
        <w:t>Risk Control and Portfolio Weight</w:t>
      </w:r>
      <w:r w:rsidR="00CB0FDA">
        <w:t>s</w:t>
      </w:r>
      <w:bookmarkEnd w:id="9"/>
    </w:p>
    <w:p w14:paraId="4DC3779E" w14:textId="63D01FC2" w:rsidR="00020F84" w:rsidRDefault="00020F84" w:rsidP="00020F84">
      <w:r>
        <w:t>Several daily portfolio construction techniques are considered.</w:t>
      </w:r>
    </w:p>
    <w:p w14:paraId="65644E50" w14:textId="44F6C31B" w:rsidR="00033A7A" w:rsidRDefault="00033A7A" w:rsidP="00033A7A">
      <w:pPr>
        <w:pStyle w:val="ListParagraph"/>
        <w:numPr>
          <w:ilvl w:val="0"/>
          <w:numId w:val="25"/>
        </w:numPr>
      </w:pPr>
      <w:r w:rsidRPr="00033A7A">
        <w:rPr>
          <w:b/>
          <w:bCs/>
        </w:rPr>
        <w:t>Unweighted</w:t>
      </w:r>
      <w:r>
        <w:t>: An equal dollar amount is allotted to each stock, long or short.</w:t>
      </w:r>
    </w:p>
    <w:p w14:paraId="49A7BC46" w14:textId="6903EB87" w:rsidR="00033A7A" w:rsidRDefault="00033A7A" w:rsidP="00033A7A">
      <w:pPr>
        <w:pStyle w:val="ListParagraph"/>
        <w:numPr>
          <w:ilvl w:val="0"/>
          <w:numId w:val="25"/>
        </w:numPr>
      </w:pPr>
      <w:r w:rsidRPr="00033A7A">
        <w:rPr>
          <w:b/>
          <w:bCs/>
        </w:rPr>
        <w:t>Signal Strength Weighting</w:t>
      </w:r>
      <w:r>
        <w:t>: Each trade amount is weighted by the strength of the signal. A larger forecasted forward return for a particular stock would result in a larger weight on that stock.</w:t>
      </w:r>
      <w:r w:rsidR="00BD78A9">
        <w:t xml:space="preserve"> The weight at time </w:t>
      </w:r>
      <w:r w:rsidR="00BD78A9">
        <w:rPr>
          <w:i/>
          <w:iCs/>
        </w:rPr>
        <w:t xml:space="preserve">t </w:t>
      </w:r>
      <w:r w:rsidR="00BD78A9">
        <w:t xml:space="preserve">for stock </w:t>
      </w:r>
      <w:proofErr w:type="spellStart"/>
      <w:r w:rsidR="00BD78A9">
        <w:rPr>
          <w:i/>
          <w:iCs/>
        </w:rPr>
        <w:t>i</w:t>
      </w:r>
      <w:proofErr w:type="spellEnd"/>
      <w:r w:rsidR="00BD78A9">
        <w:rPr>
          <w:i/>
          <w:iCs/>
        </w:rPr>
        <w:t xml:space="preserve"> </w:t>
      </w:r>
      <w:r w:rsidR="00BD78A9">
        <w:t>is calculated:</w:t>
      </w:r>
    </w:p>
    <w:p w14:paraId="4FCF073C" w14:textId="4CD798F9" w:rsidR="00BD78A9" w:rsidRDefault="00BD78A9" w:rsidP="00BD78A9">
      <w:pPr>
        <w:ind w:firstLine="0"/>
      </w:pPr>
      <m:oMathPara>
        <m:oMath>
          <m:sSub>
            <m:sSubPr>
              <m:ctrlPr>
                <w:rPr>
                  <w:rFonts w:ascii="Cambria Math" w:hAnsi="Cambria Math"/>
                  <w:i/>
                </w:rPr>
              </m:ctrlPr>
            </m:sSubPr>
            <m:e>
              <m:r>
                <m:rPr>
                  <m:nor/>
                </m:rPr>
                <w:rPr>
                  <w:rFonts w:ascii="Cambria Math" w:hAnsi="Cambria Math"/>
                </w:rPr>
                <m:t>Weight</m:t>
              </m:r>
            </m:e>
            <m:sub>
              <m:r>
                <w:rPr>
                  <w:rFonts w:ascii="Cambria Math" w:hAnsi="Cambria Math"/>
                </w:rPr>
                <m:t>t,i</m:t>
              </m:r>
            </m:sub>
          </m:sSub>
          <m:r>
            <w:rPr>
              <w:rFonts w:ascii="Cambria Math" w:hAnsi="Cambria Math"/>
            </w:rPr>
            <m:t>=</m:t>
          </m:r>
          <m:f>
            <m:fPr>
              <m:ctrlPr>
                <w:rPr>
                  <w:rFonts w:ascii="Cambria Math" w:hAnsi="Cambria Math"/>
                  <w:i/>
                </w:rPr>
              </m:ctrlPr>
            </m:fPr>
            <m:num>
              <m:r>
                <m:rPr>
                  <m:nor/>
                </m:rPr>
                <w:rPr>
                  <w:rFonts w:ascii="Cambria Math" w:hAnsi="Cambria Math"/>
                </w:rPr>
                <m:t>Signa</m:t>
              </m:r>
              <m:sSubSup>
                <m:sSubSupPr>
                  <m:ctrlPr>
                    <w:rPr>
                      <w:rFonts w:ascii="Cambria Math" w:hAnsi="Cambria Math"/>
                      <w:i/>
                    </w:rPr>
                  </m:ctrlPr>
                </m:sSubSupPr>
                <m:e>
                  <m:r>
                    <m:rPr>
                      <m:nor/>
                    </m:rPr>
                    <w:rPr>
                      <w:rFonts w:ascii="Cambria Math" w:hAnsi="Cambria Math"/>
                    </w:rPr>
                    <m:t>l</m:t>
                  </m:r>
                </m:e>
                <m:sub>
                  <m:r>
                    <w:rPr>
                      <w:rFonts w:ascii="Cambria Math" w:hAnsi="Cambria Math"/>
                    </w:rPr>
                    <m:t>t,i</m:t>
                  </m:r>
                </m:sub>
                <m:sup>
                  <m:r>
                    <w:rPr>
                      <w:rFonts w:ascii="Cambria Math" w:hAnsi="Cambria Math"/>
                    </w:rPr>
                    <m:t>2</m:t>
                  </m:r>
                </m:sup>
              </m:sSubSup>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nor/>
                        </m:rPr>
                        <w:rPr>
                          <w:rFonts w:ascii="Cambria Math" w:hAnsi="Cambria Math"/>
                        </w:rPr>
                        <m:t>Weight</m:t>
                      </m:r>
                    </m:e>
                    <m:sub>
                      <m:r>
                        <w:rPr>
                          <w:rFonts w:ascii="Cambria Math" w:hAnsi="Cambria Math"/>
                        </w:rPr>
                        <m:t>t</m:t>
                      </m:r>
                    </m:sub>
                  </m:sSub>
                </m:e>
              </m:nary>
            </m:den>
          </m:f>
        </m:oMath>
      </m:oMathPara>
    </w:p>
    <w:p w14:paraId="36219C49" w14:textId="731799D7" w:rsidR="00033A7A" w:rsidRDefault="00033A7A" w:rsidP="00033A7A">
      <w:pPr>
        <w:pStyle w:val="ListParagraph"/>
        <w:numPr>
          <w:ilvl w:val="0"/>
          <w:numId w:val="25"/>
        </w:numPr>
      </w:pPr>
      <w:r>
        <w:rPr>
          <w:b/>
          <w:bCs/>
        </w:rPr>
        <w:t>Volatility Weighting</w:t>
      </w:r>
      <w:r w:rsidRPr="00033A7A">
        <w:t>:</w:t>
      </w:r>
      <w:r>
        <w:t xml:space="preserve"> To minimize risk or volatility, this method weighs each stock using its 21-day annualized volatility. Stocks with higher volatility will be assigned lower weights.</w:t>
      </w:r>
      <w:r w:rsidR="00BD78A9">
        <w:t xml:space="preserve"> This is calculated:</w:t>
      </w:r>
    </w:p>
    <w:p w14:paraId="3BDC5596" w14:textId="55A79CF7" w:rsidR="00BD78A9" w:rsidRDefault="00BD78A9" w:rsidP="0022137C">
      <w:pPr>
        <w:pStyle w:val="ListParagraph"/>
        <w:ind w:left="1440"/>
      </w:pPr>
      <m:oMathPara>
        <m:oMath>
          <m:sSub>
            <m:sSubPr>
              <m:ctrlPr>
                <w:rPr>
                  <w:rFonts w:ascii="Cambria Math" w:hAnsi="Cambria Math"/>
                  <w:i/>
                </w:rPr>
              </m:ctrlPr>
            </m:sSubPr>
            <m:e>
              <m:r>
                <m:rPr>
                  <m:nor/>
                </m:rPr>
                <w:rPr>
                  <w:rFonts w:ascii="Cambria Math" w:hAnsi="Cambria Math"/>
                </w:rPr>
                <m:t>Weight</m:t>
              </m:r>
            </m:e>
            <m:sub>
              <m:r>
                <w:rPr>
                  <w:rFonts w:ascii="Cambria Math" w:hAnsi="Cambria Math"/>
                </w:rPr>
                <m:t>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nor/>
                    </m:rPr>
                    <w:rPr>
                      <w:rFonts w:ascii="Cambria Math" w:hAnsi="Cambria Math"/>
                    </w:rPr>
                    <m:t>Annual Volatility</m:t>
                  </m:r>
                </m:e>
                <m:sub>
                  <m:r>
                    <w:rPr>
                      <w:rFonts w:ascii="Cambria Math" w:hAnsi="Cambria Math"/>
                    </w:rPr>
                    <m:t>t,i</m:t>
                  </m:r>
                </m:sub>
                <m:sup>
                  <m:r>
                    <w:rPr>
                      <w:rFonts w:ascii="Cambria Math" w:hAnsi="Cambria Math"/>
                    </w:rPr>
                    <m:t>-</m:t>
                  </m:r>
                  <m:r>
                    <w:rPr>
                      <w:rFonts w:ascii="Cambria Math" w:hAnsi="Cambria Math"/>
                    </w:rPr>
                    <m:t>2</m:t>
                  </m:r>
                </m:sup>
              </m:sSubSup>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nor/>
                        </m:rPr>
                        <w:rPr>
                          <w:rFonts w:ascii="Cambria Math" w:hAnsi="Cambria Math"/>
                        </w:rPr>
                        <m:t>Weight</m:t>
                      </m:r>
                    </m:e>
                    <m:sub>
                      <m:r>
                        <w:rPr>
                          <w:rFonts w:ascii="Cambria Math" w:hAnsi="Cambria Math"/>
                        </w:rPr>
                        <m:t>t</m:t>
                      </m:r>
                    </m:sub>
                  </m:sSub>
                </m:e>
              </m:nary>
            </m:den>
          </m:f>
        </m:oMath>
      </m:oMathPara>
    </w:p>
    <w:p w14:paraId="3B38DB78" w14:textId="3B587550" w:rsidR="00033A7A" w:rsidRDefault="00033A7A" w:rsidP="00033A7A">
      <w:pPr>
        <w:pStyle w:val="ListParagraph"/>
        <w:numPr>
          <w:ilvl w:val="0"/>
          <w:numId w:val="25"/>
        </w:numPr>
      </w:pPr>
      <w:r>
        <w:rPr>
          <w:b/>
          <w:bCs/>
        </w:rPr>
        <w:t>Transaction Cost Weighting</w:t>
      </w:r>
      <w:r w:rsidRPr="00033A7A">
        <w:t>:</w:t>
      </w:r>
      <w:r>
        <w:t xml:space="preserve"> To reduce transaction costs, which is also a function of volatility, this method assigns stocks with higher transaction costs lower weights. This attempts to reduce trading costs as well as portfolio volatility.</w:t>
      </w:r>
      <w:r w:rsidR="00BD78A9">
        <w:t xml:space="preserve"> This weighting method is calculated using the transaction cost per dollar traded:</w:t>
      </w:r>
    </w:p>
    <w:p w14:paraId="5C1660FE" w14:textId="45AB3985" w:rsidR="00BD78A9" w:rsidRDefault="00BD78A9" w:rsidP="00BD78A9">
      <w:pPr>
        <w:pStyle w:val="ListParagraph"/>
        <w:ind w:left="1440"/>
      </w:pPr>
      <m:oMathPara>
        <m:oMath>
          <m:sSub>
            <m:sSubPr>
              <m:ctrlPr>
                <w:rPr>
                  <w:rFonts w:ascii="Cambria Math" w:hAnsi="Cambria Math"/>
                  <w:i/>
                </w:rPr>
              </m:ctrlPr>
            </m:sSubPr>
            <m:e>
              <m:r>
                <m:rPr>
                  <m:nor/>
                </m:rPr>
                <w:rPr>
                  <w:rFonts w:ascii="Cambria Math" w:hAnsi="Cambria Math"/>
                </w:rPr>
                <m:t>Weight</m:t>
              </m:r>
            </m:e>
            <m:sub>
              <m:r>
                <w:rPr>
                  <w:rFonts w:ascii="Cambria Math" w:hAnsi="Cambria Math"/>
                </w:rPr>
                <m:t>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nor/>
                    </m:rPr>
                    <w:rPr>
                      <w:rFonts w:ascii="Cambria Math" w:hAnsi="Cambria Math"/>
                    </w:rPr>
                    <m:t>Transaction Cost</m:t>
                  </m:r>
                </m:e>
                <m:sub>
                  <m:r>
                    <w:rPr>
                      <w:rFonts w:ascii="Cambria Math" w:hAnsi="Cambria Math"/>
                    </w:rPr>
                    <m:t>t,i</m:t>
                  </m:r>
                </m:sub>
                <m:sup>
                  <m:r>
                    <w:rPr>
                      <w:rFonts w:ascii="Cambria Math" w:hAnsi="Cambria Math"/>
                    </w:rPr>
                    <m:t>2</m:t>
                  </m:r>
                </m:sup>
              </m:sSubSup>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nor/>
                        </m:rPr>
                        <w:rPr>
                          <w:rFonts w:ascii="Cambria Math" w:hAnsi="Cambria Math"/>
                        </w:rPr>
                        <m:t>Weight</m:t>
                      </m:r>
                    </m:e>
                    <m:sub>
                      <m:r>
                        <w:rPr>
                          <w:rFonts w:ascii="Cambria Math" w:hAnsi="Cambria Math"/>
                        </w:rPr>
                        <m:t>t</m:t>
                      </m:r>
                    </m:sub>
                  </m:sSub>
                </m:e>
              </m:nary>
            </m:den>
          </m:f>
        </m:oMath>
      </m:oMathPara>
    </w:p>
    <w:p w14:paraId="7331D00C" w14:textId="5666C19F" w:rsidR="00242563" w:rsidRDefault="009873A2" w:rsidP="00242563">
      <w:r>
        <w:lastRenderedPageBreak/>
        <w:t xml:space="preserve">Volatility weighting directly controls the risk of the portfolio by weighing less-volatile stocks with higher weights. Signal-weighting and transaction-cost weighting both also indirectly control risk as transaction costs and certain factors such as the </w:t>
      </w:r>
      <w:proofErr w:type="spellStart"/>
      <w:r>
        <w:t>Donchian</w:t>
      </w:r>
      <w:proofErr w:type="spellEnd"/>
      <w:r>
        <w:t xml:space="preserve"> channel are functions of the underlying asset’s volatility as well. Another way risk is controlled is through </w:t>
      </w:r>
      <w:r w:rsidR="00100901">
        <w:t xml:space="preserve">usage of reasonably </w:t>
      </w:r>
      <w:r>
        <w:t>large stock universe. The diversification of the portfolio ensures reduction of non-systematic risk. However, the NASDAQ-100 may not necessarily be the best choice as financial companies are not included in the universe.</w:t>
      </w:r>
    </w:p>
    <w:p w14:paraId="49DDC689" w14:textId="4F810480" w:rsidR="00BD78A9" w:rsidRDefault="00CB0FDA" w:rsidP="00CB0FDA">
      <w:pPr>
        <w:pStyle w:val="Heading3"/>
      </w:pPr>
      <w:bookmarkStart w:id="10" w:name="_Toc57256054"/>
      <w:r>
        <w:t>Strategy Backtest</w:t>
      </w:r>
      <w:bookmarkEnd w:id="10"/>
    </w:p>
    <w:p w14:paraId="47299FEF" w14:textId="1BAD2F35" w:rsidR="0022137C" w:rsidRDefault="009873A2" w:rsidP="00CB0FDA">
      <w:r>
        <w:t>The backtest</w:t>
      </w:r>
      <w:r w:rsidR="00242563">
        <w:t xml:space="preserve"> is</w:t>
      </w:r>
      <w:r>
        <w:t xml:space="preserve"> performed on the backtest dataset, which is unused in factor selection or model training. The time period for the backtest is 2018 to November 23, 2020. </w:t>
      </w:r>
      <w:r w:rsidR="0022137C">
        <w:t xml:space="preserve">The figure below shows the change of portfolio value overtime for each of the four strategies as well as the performance of a buy-and-hold strategy with NDX, the NASDAQ-100 index. </w:t>
      </w:r>
    </w:p>
    <w:p w14:paraId="407AA084" w14:textId="018419B5" w:rsidR="00CB0FDA" w:rsidRDefault="0022137C" w:rsidP="0022137C">
      <w:pPr>
        <w:ind w:firstLine="0"/>
        <w:jc w:val="center"/>
      </w:pPr>
      <w:r>
        <w:rPr>
          <w:noProof/>
        </w:rPr>
        <w:drawing>
          <wp:inline distT="0" distB="0" distL="0" distR="0" wp14:anchorId="5D49A2F7" wp14:editId="369AA4FD">
            <wp:extent cx="5273899" cy="3200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899" cy="3200400"/>
                    </a:xfrm>
                    <a:prstGeom prst="rect">
                      <a:avLst/>
                    </a:prstGeom>
                    <a:noFill/>
                    <a:ln>
                      <a:noFill/>
                    </a:ln>
                  </pic:spPr>
                </pic:pic>
              </a:graphicData>
            </a:graphic>
          </wp:inline>
        </w:drawing>
      </w:r>
    </w:p>
    <w:p w14:paraId="32DDB7D8" w14:textId="67A3DA19" w:rsidR="0022137C" w:rsidRDefault="0022137C" w:rsidP="0022137C">
      <w:pPr>
        <w:pStyle w:val="figure"/>
      </w:pPr>
      <w:r>
        <w:t>Trading Strategy Backtest Portfolio Performance</w:t>
      </w:r>
    </w:p>
    <w:p w14:paraId="16B24EE4" w14:textId="5F23148D" w:rsidR="009A738D" w:rsidRDefault="0022137C" w:rsidP="00242563">
      <w:r>
        <w:lastRenderedPageBreak/>
        <w:t>The weighting model has a significant impact</w:t>
      </w:r>
      <w:r w:rsidR="009A738D">
        <w:t xml:space="preserve"> on the profitability of the strategy. The transaction-cost-weighted strategy performs significantly worse, suffering an overall loss. The volatility-weighted and unweighted model has a relatively similar performance, profitable but underperforming NDX. The signal-weighted strategy shows similar performance to NDX. Increasing weighting by signal does improve the strategy performance. For example, if the signal weighting scaler was increased </w:t>
      </w:r>
      <w:r w:rsidR="0050590A">
        <w:t xml:space="preserve">from 2 </w:t>
      </w:r>
      <w:r w:rsidR="009A738D">
        <w:t>to 10, the strategy would outperform NDX.</w:t>
      </w:r>
      <m:oMath>
        <m:r>
          <w:rPr>
            <w:rFonts w:ascii="Cambria Math" w:hAnsi="Cambria Math"/>
          </w:rPr>
          <w:br/>
        </m:r>
      </m:oMath>
      <m:oMathPara>
        <m:oMath>
          <m:sSub>
            <m:sSubPr>
              <m:ctrlPr>
                <w:rPr>
                  <w:rFonts w:ascii="Cambria Math" w:hAnsi="Cambria Math"/>
                  <w:i/>
                </w:rPr>
              </m:ctrlPr>
            </m:sSubPr>
            <m:e>
              <m:r>
                <m:rPr>
                  <m:nor/>
                </m:rPr>
                <w:rPr>
                  <w:rFonts w:ascii="Cambria Math" w:hAnsi="Cambria Math"/>
                </w:rPr>
                <m:t>Weight</m:t>
              </m:r>
            </m:e>
            <m:sub>
              <m:r>
                <w:rPr>
                  <w:rFonts w:ascii="Cambria Math" w:hAnsi="Cambria Math"/>
                </w:rPr>
                <m:t>t,i</m:t>
              </m:r>
            </m:sub>
          </m:sSub>
          <m:r>
            <w:rPr>
              <w:rFonts w:ascii="Cambria Math" w:hAnsi="Cambria Math"/>
            </w:rPr>
            <m:t>=</m:t>
          </m:r>
          <m:f>
            <m:fPr>
              <m:ctrlPr>
                <w:rPr>
                  <w:rFonts w:ascii="Cambria Math" w:hAnsi="Cambria Math"/>
                  <w:i/>
                </w:rPr>
              </m:ctrlPr>
            </m:fPr>
            <m:num>
              <m:r>
                <m:rPr>
                  <m:nor/>
                </m:rPr>
                <w:rPr>
                  <w:rFonts w:ascii="Cambria Math" w:hAnsi="Cambria Math"/>
                </w:rPr>
                <m:t>Signa</m:t>
              </m:r>
              <m:sSubSup>
                <m:sSubSupPr>
                  <m:ctrlPr>
                    <w:rPr>
                      <w:rFonts w:ascii="Cambria Math" w:hAnsi="Cambria Math"/>
                      <w:i/>
                    </w:rPr>
                  </m:ctrlPr>
                </m:sSubSupPr>
                <m:e>
                  <m:r>
                    <m:rPr>
                      <m:nor/>
                    </m:rPr>
                    <w:rPr>
                      <w:rFonts w:ascii="Cambria Math" w:hAnsi="Cambria Math"/>
                    </w:rPr>
                    <m:t>l</m:t>
                  </m:r>
                </m:e>
                <m:sub>
                  <m:r>
                    <w:rPr>
                      <w:rFonts w:ascii="Cambria Math" w:hAnsi="Cambria Math"/>
                    </w:rPr>
                    <m:t>t,i</m:t>
                  </m:r>
                </m:sub>
                <m:sup>
                  <m:r>
                    <w:rPr>
                      <w:rFonts w:ascii="Cambria Math" w:hAnsi="Cambria Math"/>
                    </w:rPr>
                    <m:t>10</m:t>
                  </m:r>
                </m:sup>
              </m:sSubSup>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nor/>
                        </m:rPr>
                        <w:rPr>
                          <w:rFonts w:ascii="Cambria Math" w:hAnsi="Cambria Math"/>
                        </w:rPr>
                        <m:t>Weight</m:t>
                      </m:r>
                    </m:e>
                    <m:sub>
                      <m:r>
                        <w:rPr>
                          <w:rFonts w:ascii="Cambria Math" w:hAnsi="Cambria Math"/>
                        </w:rPr>
                        <m:t>t</m:t>
                      </m:r>
                    </m:sub>
                  </m:sSub>
                </m:e>
              </m:nary>
            </m:den>
          </m:f>
        </m:oMath>
      </m:oMathPara>
    </w:p>
    <w:p w14:paraId="62245D51" w14:textId="74A39ECD" w:rsidR="009A738D" w:rsidRDefault="009A738D" w:rsidP="009A738D">
      <w:pPr>
        <w:ind w:firstLine="0"/>
        <w:jc w:val="center"/>
      </w:pPr>
      <w:r>
        <w:rPr>
          <w:noProof/>
        </w:rPr>
        <w:drawing>
          <wp:inline distT="0" distB="0" distL="0" distR="0" wp14:anchorId="7189FEF9" wp14:editId="449DCBE3">
            <wp:extent cx="5269260" cy="3200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60" cy="3200400"/>
                    </a:xfrm>
                    <a:prstGeom prst="rect">
                      <a:avLst/>
                    </a:prstGeom>
                    <a:noFill/>
                    <a:ln>
                      <a:noFill/>
                    </a:ln>
                  </pic:spPr>
                </pic:pic>
              </a:graphicData>
            </a:graphic>
          </wp:inline>
        </w:drawing>
      </w:r>
    </w:p>
    <w:p w14:paraId="4410086C" w14:textId="5FD83CF6" w:rsidR="009A738D" w:rsidRDefault="009A738D" w:rsidP="009A738D">
      <w:pPr>
        <w:pStyle w:val="figure"/>
      </w:pPr>
      <w:r>
        <w:t>Trading Strategy Backtest Portfolio Performance for Signal-Weighted Strategies</w:t>
      </w:r>
    </w:p>
    <w:p w14:paraId="13F2DB42" w14:textId="007764C9" w:rsidR="0022137C" w:rsidRDefault="0050590A" w:rsidP="0022137C">
      <w:r>
        <w:t xml:space="preserve">This performance increase by increased weighting on the strength signals implies that the signals do have a correlation with forward returns. The improved signal-weighted strategy outperforms NDX, more than doubling its profitability. </w:t>
      </w:r>
    </w:p>
    <w:p w14:paraId="7F6229A4" w14:textId="206D68FC" w:rsidR="0089502D" w:rsidRDefault="002F6440" w:rsidP="002F6440">
      <w:pPr>
        <w:pStyle w:val="Heading1"/>
      </w:pPr>
      <w:bookmarkStart w:id="11" w:name="_Toc57256055"/>
      <w:r>
        <w:lastRenderedPageBreak/>
        <w:t xml:space="preserve">Strategy </w:t>
      </w:r>
      <w:r w:rsidR="0089502D">
        <w:t xml:space="preserve">Performance </w:t>
      </w:r>
      <w:r>
        <w:t>Analysis</w:t>
      </w:r>
      <w:bookmarkEnd w:id="11"/>
    </w:p>
    <w:tbl>
      <w:tblPr>
        <w:tblStyle w:val="APAReport"/>
        <w:tblW w:w="0" w:type="auto"/>
        <w:tblLook w:val="06A0" w:firstRow="1" w:lastRow="0" w:firstColumn="1" w:lastColumn="0" w:noHBand="1" w:noVBand="1"/>
      </w:tblPr>
      <w:tblGrid>
        <w:gridCol w:w="2458"/>
        <w:gridCol w:w="1380"/>
        <w:gridCol w:w="1380"/>
        <w:gridCol w:w="1381"/>
        <w:gridCol w:w="1380"/>
        <w:gridCol w:w="1381"/>
      </w:tblGrid>
      <w:tr w:rsidR="0089502D" w14:paraId="340249A2" w14:textId="77777777" w:rsidTr="0089502D">
        <w:trPr>
          <w:cnfStyle w:val="100000000000" w:firstRow="1" w:lastRow="0" w:firstColumn="0" w:lastColumn="0" w:oddVBand="0" w:evenVBand="0" w:oddHBand="0" w:evenHBand="0" w:firstRowFirstColumn="0" w:firstRowLastColumn="0" w:lastRowFirstColumn="0" w:lastRowLastColumn="0"/>
        </w:trPr>
        <w:tc>
          <w:tcPr>
            <w:tcW w:w="2458" w:type="dxa"/>
          </w:tcPr>
          <w:p w14:paraId="17BF77BB" w14:textId="77777777" w:rsidR="0089502D" w:rsidRDefault="0089502D" w:rsidP="0089502D">
            <w:pPr>
              <w:jc w:val="center"/>
            </w:pPr>
          </w:p>
        </w:tc>
        <w:tc>
          <w:tcPr>
            <w:tcW w:w="1380" w:type="dxa"/>
          </w:tcPr>
          <w:p w14:paraId="07226A2C" w14:textId="79ACF798" w:rsidR="0089502D" w:rsidRDefault="0089502D" w:rsidP="0089502D">
            <w:pPr>
              <w:jc w:val="center"/>
            </w:pPr>
            <w:r w:rsidRPr="007A5726">
              <w:t>Annualized Return</w:t>
            </w:r>
          </w:p>
        </w:tc>
        <w:tc>
          <w:tcPr>
            <w:tcW w:w="1380" w:type="dxa"/>
          </w:tcPr>
          <w:p w14:paraId="7D8A24B8" w14:textId="7BA38A83" w:rsidR="0089502D" w:rsidRDefault="0089502D" w:rsidP="0089502D">
            <w:pPr>
              <w:jc w:val="center"/>
            </w:pPr>
            <w:r w:rsidRPr="007A5726">
              <w:t>Annualized Volatility</w:t>
            </w:r>
          </w:p>
        </w:tc>
        <w:tc>
          <w:tcPr>
            <w:tcW w:w="1381" w:type="dxa"/>
          </w:tcPr>
          <w:p w14:paraId="2760EE7E" w14:textId="10CB3BD0" w:rsidR="0089502D" w:rsidRDefault="0089502D" w:rsidP="0089502D">
            <w:pPr>
              <w:jc w:val="center"/>
            </w:pPr>
            <w:r w:rsidRPr="007A5726">
              <w:t>Max Drawdown</w:t>
            </w:r>
          </w:p>
        </w:tc>
        <w:tc>
          <w:tcPr>
            <w:tcW w:w="1380" w:type="dxa"/>
          </w:tcPr>
          <w:p w14:paraId="4CAA1C08" w14:textId="3B38D2D1" w:rsidR="0089502D" w:rsidRDefault="0089502D" w:rsidP="0089502D">
            <w:pPr>
              <w:jc w:val="center"/>
            </w:pPr>
            <w:r w:rsidRPr="007A5726">
              <w:t>Sharpe Ratio</w:t>
            </w:r>
          </w:p>
        </w:tc>
        <w:tc>
          <w:tcPr>
            <w:tcW w:w="1381" w:type="dxa"/>
          </w:tcPr>
          <w:p w14:paraId="35024AF4" w14:textId="26A6AFC0" w:rsidR="0089502D" w:rsidRDefault="0089502D" w:rsidP="0089502D">
            <w:pPr>
              <w:jc w:val="center"/>
            </w:pPr>
            <w:proofErr w:type="spellStart"/>
            <w:r w:rsidRPr="007A5726">
              <w:t>Sortino</w:t>
            </w:r>
            <w:proofErr w:type="spellEnd"/>
            <w:r w:rsidRPr="007A5726">
              <w:t xml:space="preserve"> Ratio</w:t>
            </w:r>
          </w:p>
        </w:tc>
      </w:tr>
      <w:tr w:rsidR="0089502D" w14:paraId="2B18E840" w14:textId="77777777" w:rsidTr="0089502D">
        <w:trPr>
          <w:trHeight w:val="720"/>
        </w:trPr>
        <w:tc>
          <w:tcPr>
            <w:tcW w:w="2458" w:type="dxa"/>
            <w:vAlign w:val="center"/>
          </w:tcPr>
          <w:p w14:paraId="56CFA145" w14:textId="5F5AFE9E" w:rsidR="0089502D" w:rsidRDefault="0089502D" w:rsidP="0089502D">
            <w:pPr>
              <w:jc w:val="center"/>
            </w:pPr>
            <w:r w:rsidRPr="007A5726">
              <w:t>Unweighted</w:t>
            </w:r>
            <w:r>
              <w:t xml:space="preserve"> </w:t>
            </w:r>
            <w:r w:rsidRPr="007A5726">
              <w:t>Strategy</w:t>
            </w:r>
          </w:p>
        </w:tc>
        <w:tc>
          <w:tcPr>
            <w:tcW w:w="1380" w:type="dxa"/>
            <w:vAlign w:val="center"/>
          </w:tcPr>
          <w:p w14:paraId="6450D325" w14:textId="1E2FF97A" w:rsidR="0089502D" w:rsidRDefault="0089502D" w:rsidP="0089502D">
            <w:pPr>
              <w:jc w:val="center"/>
            </w:pPr>
            <w:r w:rsidRPr="007A5726">
              <w:t>0.1200</w:t>
            </w:r>
          </w:p>
        </w:tc>
        <w:tc>
          <w:tcPr>
            <w:tcW w:w="1380" w:type="dxa"/>
            <w:vAlign w:val="center"/>
          </w:tcPr>
          <w:p w14:paraId="6780365A" w14:textId="31828C12" w:rsidR="0089502D" w:rsidRDefault="0089502D" w:rsidP="0089502D">
            <w:pPr>
              <w:jc w:val="center"/>
            </w:pPr>
            <w:r w:rsidRPr="007A5726">
              <w:t>0.1862</w:t>
            </w:r>
          </w:p>
        </w:tc>
        <w:tc>
          <w:tcPr>
            <w:tcW w:w="1381" w:type="dxa"/>
            <w:vAlign w:val="center"/>
          </w:tcPr>
          <w:p w14:paraId="766AB09A" w14:textId="72D8493F" w:rsidR="0089502D" w:rsidRDefault="0089502D" w:rsidP="0089502D">
            <w:pPr>
              <w:jc w:val="center"/>
            </w:pPr>
            <w:r w:rsidRPr="007A5726">
              <w:t>-0.1899</w:t>
            </w:r>
          </w:p>
        </w:tc>
        <w:tc>
          <w:tcPr>
            <w:tcW w:w="1380" w:type="dxa"/>
            <w:vAlign w:val="center"/>
          </w:tcPr>
          <w:p w14:paraId="7605EA4B" w14:textId="13699382" w:rsidR="0089502D" w:rsidRDefault="0089502D" w:rsidP="0089502D">
            <w:pPr>
              <w:jc w:val="center"/>
            </w:pPr>
            <w:r w:rsidRPr="007A5726">
              <w:t>0.7020</w:t>
            </w:r>
          </w:p>
        </w:tc>
        <w:tc>
          <w:tcPr>
            <w:tcW w:w="1381" w:type="dxa"/>
            <w:vAlign w:val="center"/>
          </w:tcPr>
          <w:p w14:paraId="5BFA443E" w14:textId="1A489E5B" w:rsidR="0089502D" w:rsidRDefault="0089502D" w:rsidP="0089502D">
            <w:pPr>
              <w:jc w:val="center"/>
            </w:pPr>
            <w:r w:rsidRPr="007A5726">
              <w:t>1.0547</w:t>
            </w:r>
          </w:p>
        </w:tc>
      </w:tr>
      <w:tr w:rsidR="0089502D" w14:paraId="116C612A" w14:textId="77777777" w:rsidTr="0089502D">
        <w:trPr>
          <w:trHeight w:val="720"/>
        </w:trPr>
        <w:tc>
          <w:tcPr>
            <w:tcW w:w="2458" w:type="dxa"/>
            <w:vAlign w:val="center"/>
          </w:tcPr>
          <w:p w14:paraId="75929E09" w14:textId="74DA669C" w:rsidR="0089502D" w:rsidRDefault="0089502D" w:rsidP="0089502D">
            <w:pPr>
              <w:jc w:val="center"/>
            </w:pPr>
            <w:r w:rsidRPr="007A5726">
              <w:t>Signal</w:t>
            </w:r>
            <w:r>
              <w:t xml:space="preserve"> </w:t>
            </w:r>
            <w:r w:rsidRPr="007A5726">
              <w:t>Weighted</w:t>
            </w:r>
            <w:r>
              <w:t xml:space="preserve"> </w:t>
            </w:r>
            <w:r w:rsidRPr="007A5726">
              <w:t>Strategy</w:t>
            </w:r>
          </w:p>
        </w:tc>
        <w:tc>
          <w:tcPr>
            <w:tcW w:w="1380" w:type="dxa"/>
            <w:vAlign w:val="center"/>
          </w:tcPr>
          <w:p w14:paraId="097C66C3" w14:textId="722F1FE9" w:rsidR="0089502D" w:rsidRDefault="0089502D" w:rsidP="0089502D">
            <w:pPr>
              <w:jc w:val="center"/>
              <w:rPr>
                <w:rFonts w:cstheme="minorHAnsi"/>
              </w:rPr>
            </w:pPr>
            <w:r w:rsidRPr="007A5726">
              <w:t>0.2058</w:t>
            </w:r>
          </w:p>
        </w:tc>
        <w:tc>
          <w:tcPr>
            <w:tcW w:w="1380" w:type="dxa"/>
            <w:vAlign w:val="center"/>
          </w:tcPr>
          <w:p w14:paraId="124C99F4" w14:textId="14E83079" w:rsidR="0089502D" w:rsidRDefault="0089502D" w:rsidP="0089502D">
            <w:pPr>
              <w:jc w:val="center"/>
              <w:rPr>
                <w:rFonts w:cstheme="minorHAnsi"/>
              </w:rPr>
            </w:pPr>
            <w:r w:rsidRPr="007A5726">
              <w:t>0.2348</w:t>
            </w:r>
          </w:p>
        </w:tc>
        <w:tc>
          <w:tcPr>
            <w:tcW w:w="1381" w:type="dxa"/>
            <w:vAlign w:val="center"/>
          </w:tcPr>
          <w:p w14:paraId="14C5C7B8" w14:textId="313BE783" w:rsidR="0089502D" w:rsidRDefault="0089502D" w:rsidP="0089502D">
            <w:pPr>
              <w:jc w:val="center"/>
            </w:pPr>
            <w:r w:rsidRPr="007A5726">
              <w:t>-0.2455</w:t>
            </w:r>
          </w:p>
        </w:tc>
        <w:tc>
          <w:tcPr>
            <w:tcW w:w="1380" w:type="dxa"/>
            <w:vAlign w:val="center"/>
          </w:tcPr>
          <w:p w14:paraId="028B887B" w14:textId="7FD9BCFF" w:rsidR="0089502D" w:rsidRDefault="0089502D" w:rsidP="0089502D">
            <w:pPr>
              <w:jc w:val="center"/>
            </w:pPr>
            <w:r w:rsidRPr="007A5726">
              <w:t>0.9149</w:t>
            </w:r>
          </w:p>
        </w:tc>
        <w:tc>
          <w:tcPr>
            <w:tcW w:w="1381" w:type="dxa"/>
            <w:vAlign w:val="center"/>
          </w:tcPr>
          <w:p w14:paraId="3DFF97B9" w14:textId="7AD75782" w:rsidR="0089502D" w:rsidRDefault="0089502D" w:rsidP="0089502D">
            <w:pPr>
              <w:jc w:val="center"/>
            </w:pPr>
            <w:r w:rsidRPr="007A5726">
              <w:t>1.3564</w:t>
            </w:r>
          </w:p>
        </w:tc>
      </w:tr>
      <w:tr w:rsidR="0089502D" w14:paraId="45E3F87D" w14:textId="77777777" w:rsidTr="0089502D">
        <w:trPr>
          <w:trHeight w:val="720"/>
        </w:trPr>
        <w:tc>
          <w:tcPr>
            <w:tcW w:w="2458" w:type="dxa"/>
            <w:vAlign w:val="center"/>
          </w:tcPr>
          <w:p w14:paraId="05D84148" w14:textId="720354D9" w:rsidR="0089502D" w:rsidRDefault="0089502D" w:rsidP="0089502D">
            <w:pPr>
              <w:jc w:val="center"/>
            </w:pPr>
            <w:r w:rsidRPr="007A5726">
              <w:t>Volatility</w:t>
            </w:r>
            <w:r>
              <w:t xml:space="preserve"> </w:t>
            </w:r>
            <w:r w:rsidRPr="007A5726">
              <w:t>Weighted</w:t>
            </w:r>
            <w:r>
              <w:t xml:space="preserve"> </w:t>
            </w:r>
            <w:r w:rsidRPr="007A5726">
              <w:t>Strategy</w:t>
            </w:r>
          </w:p>
        </w:tc>
        <w:tc>
          <w:tcPr>
            <w:tcW w:w="1380" w:type="dxa"/>
            <w:vAlign w:val="center"/>
          </w:tcPr>
          <w:p w14:paraId="153C13C6" w14:textId="7D09D114" w:rsidR="0089502D" w:rsidRDefault="0089502D" w:rsidP="0089502D">
            <w:pPr>
              <w:jc w:val="center"/>
              <w:rPr>
                <w:rFonts w:cstheme="minorHAnsi"/>
              </w:rPr>
            </w:pPr>
            <w:r w:rsidRPr="007A5726">
              <w:t>0.1016</w:t>
            </w:r>
          </w:p>
        </w:tc>
        <w:tc>
          <w:tcPr>
            <w:tcW w:w="1380" w:type="dxa"/>
            <w:vAlign w:val="center"/>
          </w:tcPr>
          <w:p w14:paraId="5EA97FC0" w14:textId="7CA6EB6A" w:rsidR="0089502D" w:rsidRDefault="0089502D" w:rsidP="0089502D">
            <w:pPr>
              <w:jc w:val="center"/>
              <w:rPr>
                <w:rFonts w:cstheme="minorHAnsi"/>
              </w:rPr>
            </w:pPr>
            <w:r w:rsidRPr="007A5726">
              <w:t>0.1709</w:t>
            </w:r>
          </w:p>
        </w:tc>
        <w:tc>
          <w:tcPr>
            <w:tcW w:w="1381" w:type="dxa"/>
            <w:vAlign w:val="center"/>
          </w:tcPr>
          <w:p w14:paraId="544D2366" w14:textId="2F29E492" w:rsidR="0089502D" w:rsidRDefault="0089502D" w:rsidP="0089502D">
            <w:pPr>
              <w:jc w:val="center"/>
            </w:pPr>
            <w:r w:rsidRPr="007A5726">
              <w:t>-0.1706</w:t>
            </w:r>
          </w:p>
        </w:tc>
        <w:tc>
          <w:tcPr>
            <w:tcW w:w="1380" w:type="dxa"/>
            <w:vAlign w:val="center"/>
          </w:tcPr>
          <w:p w14:paraId="2E53DB65" w14:textId="2D869798" w:rsidR="0089502D" w:rsidRDefault="0089502D" w:rsidP="0089502D">
            <w:pPr>
              <w:jc w:val="center"/>
            </w:pPr>
            <w:r w:rsidRPr="007A5726">
              <w:t>0.6512</w:t>
            </w:r>
          </w:p>
        </w:tc>
        <w:tc>
          <w:tcPr>
            <w:tcW w:w="1381" w:type="dxa"/>
            <w:vAlign w:val="center"/>
          </w:tcPr>
          <w:p w14:paraId="62147546" w14:textId="068117F4" w:rsidR="0089502D" w:rsidRDefault="0089502D" w:rsidP="0089502D">
            <w:pPr>
              <w:jc w:val="center"/>
            </w:pPr>
            <w:r w:rsidRPr="007A5726">
              <w:t>0.9991</w:t>
            </w:r>
          </w:p>
        </w:tc>
      </w:tr>
      <w:tr w:rsidR="0089502D" w14:paraId="03C83AA8" w14:textId="77777777" w:rsidTr="0089502D">
        <w:trPr>
          <w:trHeight w:val="720"/>
        </w:trPr>
        <w:tc>
          <w:tcPr>
            <w:tcW w:w="2458" w:type="dxa"/>
            <w:vAlign w:val="center"/>
          </w:tcPr>
          <w:p w14:paraId="55C0A921" w14:textId="63789F23" w:rsidR="0089502D" w:rsidRPr="0089502D" w:rsidRDefault="0089502D" w:rsidP="0089502D">
            <w:pPr>
              <w:jc w:val="center"/>
              <w:rPr>
                <w:b/>
                <w:bCs/>
              </w:rPr>
            </w:pPr>
            <w:r w:rsidRPr="0089502D">
              <w:rPr>
                <w:b/>
                <w:bCs/>
              </w:rPr>
              <w:t>Improved Signal Weighted Strategy</w:t>
            </w:r>
          </w:p>
        </w:tc>
        <w:tc>
          <w:tcPr>
            <w:tcW w:w="1380" w:type="dxa"/>
            <w:vAlign w:val="center"/>
          </w:tcPr>
          <w:p w14:paraId="79C3B34F" w14:textId="573746B4" w:rsidR="0089502D" w:rsidRPr="0089502D" w:rsidRDefault="0089502D" w:rsidP="0089502D">
            <w:pPr>
              <w:jc w:val="center"/>
              <w:rPr>
                <w:rFonts w:cstheme="minorHAnsi"/>
                <w:b/>
                <w:bCs/>
              </w:rPr>
            </w:pPr>
            <w:r w:rsidRPr="0089502D">
              <w:rPr>
                <w:b/>
                <w:bCs/>
              </w:rPr>
              <w:t>0.4966</w:t>
            </w:r>
          </w:p>
        </w:tc>
        <w:tc>
          <w:tcPr>
            <w:tcW w:w="1380" w:type="dxa"/>
            <w:vAlign w:val="center"/>
          </w:tcPr>
          <w:p w14:paraId="5E97024F" w14:textId="7EA04725" w:rsidR="0089502D" w:rsidRPr="0089502D" w:rsidRDefault="0089502D" w:rsidP="0089502D">
            <w:pPr>
              <w:jc w:val="center"/>
              <w:rPr>
                <w:rFonts w:cstheme="minorHAnsi"/>
                <w:b/>
                <w:bCs/>
              </w:rPr>
            </w:pPr>
            <w:r w:rsidRPr="0089502D">
              <w:rPr>
                <w:b/>
                <w:bCs/>
              </w:rPr>
              <w:t>0.3048</w:t>
            </w:r>
          </w:p>
        </w:tc>
        <w:tc>
          <w:tcPr>
            <w:tcW w:w="1381" w:type="dxa"/>
            <w:vAlign w:val="center"/>
          </w:tcPr>
          <w:p w14:paraId="5B252909" w14:textId="6B9000A2" w:rsidR="0089502D" w:rsidRPr="0089502D" w:rsidRDefault="0089502D" w:rsidP="0089502D">
            <w:pPr>
              <w:jc w:val="center"/>
              <w:rPr>
                <w:b/>
                <w:bCs/>
              </w:rPr>
            </w:pPr>
            <w:r w:rsidRPr="0089502D">
              <w:rPr>
                <w:b/>
                <w:bCs/>
              </w:rPr>
              <w:t>-0.2463</w:t>
            </w:r>
          </w:p>
        </w:tc>
        <w:tc>
          <w:tcPr>
            <w:tcW w:w="1380" w:type="dxa"/>
            <w:vAlign w:val="center"/>
          </w:tcPr>
          <w:p w14:paraId="3BA41423" w14:textId="42312CE8" w:rsidR="0089502D" w:rsidRPr="0089502D" w:rsidRDefault="0089502D" w:rsidP="0089502D">
            <w:pPr>
              <w:jc w:val="center"/>
              <w:rPr>
                <w:b/>
                <w:bCs/>
              </w:rPr>
            </w:pPr>
            <w:r w:rsidRPr="0089502D">
              <w:rPr>
                <w:b/>
                <w:bCs/>
              </w:rPr>
              <w:t>1.4758</w:t>
            </w:r>
          </w:p>
        </w:tc>
        <w:tc>
          <w:tcPr>
            <w:tcW w:w="1381" w:type="dxa"/>
            <w:vAlign w:val="center"/>
          </w:tcPr>
          <w:p w14:paraId="20A562B3" w14:textId="28287A95" w:rsidR="0089502D" w:rsidRPr="0089502D" w:rsidRDefault="0089502D" w:rsidP="0089502D">
            <w:pPr>
              <w:jc w:val="center"/>
              <w:rPr>
                <w:b/>
                <w:bCs/>
              </w:rPr>
            </w:pPr>
            <w:r w:rsidRPr="0089502D">
              <w:rPr>
                <w:b/>
                <w:bCs/>
              </w:rPr>
              <w:t>2.2741</w:t>
            </w:r>
          </w:p>
        </w:tc>
      </w:tr>
      <w:tr w:rsidR="0089502D" w14:paraId="6197FEC7" w14:textId="77777777" w:rsidTr="0089502D">
        <w:trPr>
          <w:trHeight w:val="720"/>
        </w:trPr>
        <w:tc>
          <w:tcPr>
            <w:tcW w:w="2458" w:type="dxa"/>
            <w:vAlign w:val="center"/>
          </w:tcPr>
          <w:p w14:paraId="337EF967" w14:textId="1A231C96" w:rsidR="0089502D" w:rsidRDefault="0089502D" w:rsidP="0089502D">
            <w:pPr>
              <w:jc w:val="center"/>
            </w:pPr>
            <w:r w:rsidRPr="007A5726">
              <w:t>NDX</w:t>
            </w:r>
          </w:p>
        </w:tc>
        <w:tc>
          <w:tcPr>
            <w:tcW w:w="1380" w:type="dxa"/>
            <w:vAlign w:val="center"/>
          </w:tcPr>
          <w:p w14:paraId="43A5913D" w14:textId="500C66DB" w:rsidR="0089502D" w:rsidRDefault="0089502D" w:rsidP="0089502D">
            <w:pPr>
              <w:jc w:val="center"/>
              <w:rPr>
                <w:rFonts w:cstheme="minorHAnsi"/>
              </w:rPr>
            </w:pPr>
            <w:r w:rsidRPr="007A5726">
              <w:t>0.2320</w:t>
            </w:r>
          </w:p>
        </w:tc>
        <w:tc>
          <w:tcPr>
            <w:tcW w:w="1380" w:type="dxa"/>
            <w:vAlign w:val="center"/>
          </w:tcPr>
          <w:p w14:paraId="5F26C091" w14:textId="06D2BA86" w:rsidR="0089502D" w:rsidRDefault="0089502D" w:rsidP="0089502D">
            <w:pPr>
              <w:jc w:val="center"/>
              <w:rPr>
                <w:rFonts w:cstheme="minorHAnsi"/>
              </w:rPr>
            </w:pPr>
            <w:r w:rsidRPr="007A5726">
              <w:t>0.2688</w:t>
            </w:r>
          </w:p>
        </w:tc>
        <w:tc>
          <w:tcPr>
            <w:tcW w:w="1381" w:type="dxa"/>
            <w:vAlign w:val="center"/>
          </w:tcPr>
          <w:p w14:paraId="2932AB01" w14:textId="0B62A053" w:rsidR="0089502D" w:rsidRDefault="0089502D" w:rsidP="0089502D">
            <w:pPr>
              <w:jc w:val="center"/>
            </w:pPr>
            <w:r w:rsidRPr="007A5726">
              <w:t>-0.2803</w:t>
            </w:r>
          </w:p>
        </w:tc>
        <w:tc>
          <w:tcPr>
            <w:tcW w:w="1380" w:type="dxa"/>
            <w:vAlign w:val="center"/>
          </w:tcPr>
          <w:p w14:paraId="17D6FCE3" w14:textId="4E225381" w:rsidR="0089502D" w:rsidRDefault="0089502D" w:rsidP="0089502D">
            <w:pPr>
              <w:jc w:val="center"/>
            </w:pPr>
            <w:r w:rsidRPr="007A5726">
              <w:t>0.9114</w:t>
            </w:r>
          </w:p>
        </w:tc>
        <w:tc>
          <w:tcPr>
            <w:tcW w:w="1381" w:type="dxa"/>
            <w:vAlign w:val="center"/>
          </w:tcPr>
          <w:p w14:paraId="2DB05ACC" w14:textId="5D3F4586" w:rsidR="0089502D" w:rsidRDefault="0089502D" w:rsidP="0089502D">
            <w:pPr>
              <w:jc w:val="center"/>
            </w:pPr>
            <w:r w:rsidRPr="007A5726">
              <w:t>1.2707</w:t>
            </w:r>
          </w:p>
        </w:tc>
      </w:tr>
    </w:tbl>
    <w:p w14:paraId="3D31E4C2" w14:textId="01C26BE0" w:rsidR="0089502D" w:rsidRPr="0089502D" w:rsidRDefault="0089502D" w:rsidP="0089502D">
      <w:pPr>
        <w:pStyle w:val="tables"/>
      </w:pPr>
      <w:r>
        <w:t>Performance Metrics of Profitable Strategies</w:t>
      </w:r>
    </w:p>
    <w:p w14:paraId="40AF70CC" w14:textId="099184DB" w:rsidR="009A738D" w:rsidRDefault="0089502D" w:rsidP="0022137C">
      <w:r>
        <w:t xml:space="preserve">The improved signal-weighted strategy, with an amplified signal-weighting, outperforms all the other strategies and NDX significantly. Its annual return of almost 50% more than doubles NDX’s annual return. Though the improved strategy does have higher annual volatility, its Sharpe and </w:t>
      </w:r>
      <w:proofErr w:type="spellStart"/>
      <w:r>
        <w:t>Sortino</w:t>
      </w:r>
      <w:proofErr w:type="spellEnd"/>
      <w:r>
        <w:t xml:space="preserve"> ratio, which measure the reward to risk, far outclasses the other strategies. </w:t>
      </w:r>
      <w:r w:rsidR="00B328DA">
        <w:t xml:space="preserve">The </w:t>
      </w:r>
      <w:proofErr w:type="spellStart"/>
      <w:r w:rsidR="00B328DA">
        <w:t>Sortino</w:t>
      </w:r>
      <w:proofErr w:type="spellEnd"/>
      <w:r w:rsidR="00B328DA">
        <w:t xml:space="preserve"> differs from the Sharpe ratio in that it does not penalize the strategy for positive volatility. Whereas the Sharpe ratio is calculated by annualized volatility divided by annualized volatility, the </w:t>
      </w:r>
      <w:proofErr w:type="spellStart"/>
      <w:r w:rsidR="00B328DA">
        <w:t>Sortino</w:t>
      </w:r>
      <w:proofErr w:type="spellEnd"/>
      <w:r w:rsidR="00B328DA">
        <w:t xml:space="preserve"> ratio divides instead by annualized downside volatility. Also, the maximum drawdown for the improved signal-weighted strategy is less than that for the NDX buy-hold strategy</w:t>
      </w:r>
      <w:r>
        <w:t xml:space="preserve">. </w:t>
      </w:r>
      <w:r w:rsidR="00C51E66">
        <w:t xml:space="preserve">Though all strategies suffered losses through the COVID-19 pandemic in early 2020, the improved signal strategy was </w:t>
      </w:r>
      <w:r w:rsidR="00242563">
        <w:t>rebounded faster</w:t>
      </w:r>
      <w:r w:rsidR="00C51E66">
        <w:t xml:space="preserve">. Note that the volatility weighted strategy does indeed have the lowest annual volatility, but it also has the lowest annual return and thus also the lowest Sharpe or </w:t>
      </w:r>
      <w:proofErr w:type="spellStart"/>
      <w:r w:rsidR="00C51E66">
        <w:t>Sortino</w:t>
      </w:r>
      <w:proofErr w:type="spellEnd"/>
      <w:r w:rsidR="00C51E66">
        <w:t xml:space="preserve"> ratios.</w:t>
      </w:r>
      <w:r w:rsidR="00B328DA">
        <w:t xml:space="preserve"> Overall, an investment in the improved signal-weighted strategy would have tripled the initial investment of $100 million to $321 million over about three years. </w:t>
      </w:r>
      <w:r w:rsidR="00B328DA">
        <w:lastRenderedPageBreak/>
        <w:t xml:space="preserve">All other strategies, including buying and holding NDX would not have even yielded over $200 million. </w:t>
      </w:r>
    </w:p>
    <w:p w14:paraId="2EA278F6" w14:textId="77777777" w:rsidR="00242563" w:rsidRPr="00CB0FDA" w:rsidRDefault="00242563" w:rsidP="0022137C"/>
    <w:p w14:paraId="3A6B4A1B" w14:textId="2C26048C" w:rsidR="0011350D" w:rsidRPr="0011350D" w:rsidRDefault="0011350D" w:rsidP="00E33FE6">
      <w:pPr>
        <w:pStyle w:val="Heading1"/>
      </w:pPr>
      <w:bookmarkStart w:id="12" w:name="_Toc57256056"/>
      <w:r>
        <w:t>Conclusion</w:t>
      </w:r>
      <w:bookmarkEnd w:id="12"/>
    </w:p>
    <w:p w14:paraId="0A5FAF90" w14:textId="172B07F9" w:rsidR="009873A2" w:rsidRDefault="009873A2" w:rsidP="008564CD">
      <w:r>
        <w:t xml:space="preserve">This exploration of </w:t>
      </w:r>
      <w:r w:rsidR="00717D34">
        <w:t xml:space="preserve">creating a trading strategy using technical indicators as factors has provided some interesting insights. Despite the poor linear regression model results, the success of the backtest demonstrates that the signals or forecasted forward returns do provide meaningful prediction of the future returns. This is especially seen by the improved signal-weighted strategy. This paper covers the entire methodology of creating a trading strategy from scratch. There are many points within this methodology that could be improved upon. </w:t>
      </w:r>
    </w:p>
    <w:p w14:paraId="68DD87BD" w14:textId="34A6B7FA" w:rsidR="00717D34" w:rsidRDefault="00717D34" w:rsidP="00717D34">
      <w:pPr>
        <w:pStyle w:val="ListParagraph"/>
        <w:numPr>
          <w:ilvl w:val="0"/>
          <w:numId w:val="28"/>
        </w:numPr>
      </w:pPr>
      <w:r w:rsidRPr="00717D34">
        <w:rPr>
          <w:b/>
          <w:bCs/>
        </w:rPr>
        <w:t>Factor (Feature) Selection</w:t>
      </w:r>
      <w:r>
        <w:t>: The universe of factors can be expanded beyond the selected set of technical indicators used in this study. There exist many more indicators used by traders today. Furthermore, factors do not need to be limited to only technical factors. There have been many studies that utilize macroeconomic data, derivative products, or even alternative data such as weather or social media to create profitable trading strategies.</w:t>
      </w:r>
    </w:p>
    <w:p w14:paraId="7AECB8C6" w14:textId="6FF810F9" w:rsidR="00D50500" w:rsidRDefault="00D50500" w:rsidP="00717D34">
      <w:pPr>
        <w:pStyle w:val="ListParagraph"/>
        <w:numPr>
          <w:ilvl w:val="0"/>
          <w:numId w:val="28"/>
        </w:numPr>
      </w:pPr>
      <w:r>
        <w:rPr>
          <w:b/>
          <w:bCs/>
        </w:rPr>
        <w:t>Asset Universe Selection</w:t>
      </w:r>
      <w:r w:rsidRPr="00D50500">
        <w:t>:</w:t>
      </w:r>
      <w:r>
        <w:t xml:space="preserve"> This study limits the universe of tradable assets to just companies within the NASDAQ-100 index. Further exploration to other sets of companies might provide more information and a better model.</w:t>
      </w:r>
    </w:p>
    <w:p w14:paraId="58E57B0D" w14:textId="71C98113" w:rsidR="00717D34" w:rsidRDefault="00717D34" w:rsidP="00717D34">
      <w:pPr>
        <w:pStyle w:val="ListParagraph"/>
        <w:numPr>
          <w:ilvl w:val="0"/>
          <w:numId w:val="28"/>
        </w:numPr>
      </w:pPr>
      <w:r>
        <w:rPr>
          <w:b/>
          <w:bCs/>
        </w:rPr>
        <w:t xml:space="preserve">Signal Creation: </w:t>
      </w:r>
      <w:r>
        <w:t xml:space="preserve">This model solely uses linear regression as the only method of creating signals from the selected factors, for simplicity. The relation between the factors and forward returns are most likely not </w:t>
      </w:r>
      <w:proofErr w:type="gramStart"/>
      <w:r w:rsidR="00D50500">
        <w:t>linear, if</w:t>
      </w:r>
      <w:proofErr w:type="gramEnd"/>
      <w:r>
        <w:t xml:space="preserve"> such relation exists</w:t>
      </w:r>
      <w:r w:rsidR="00D50500">
        <w:t xml:space="preserve"> at all</w:t>
      </w:r>
      <w:r>
        <w:t xml:space="preserve">. </w:t>
      </w:r>
      <w:r w:rsidR="00D50500">
        <w:lastRenderedPageBreak/>
        <w:t>More sophisticated regression models such as polynomial regression, random forest, or neural networks might provide more accurate fits.</w:t>
      </w:r>
    </w:p>
    <w:p w14:paraId="5A69986F" w14:textId="19AC507A" w:rsidR="00D50500" w:rsidRDefault="00D50500" w:rsidP="00717D34">
      <w:pPr>
        <w:pStyle w:val="ListParagraph"/>
        <w:numPr>
          <w:ilvl w:val="0"/>
          <w:numId w:val="28"/>
        </w:numPr>
      </w:pPr>
      <w:r>
        <w:rPr>
          <w:b/>
          <w:bCs/>
        </w:rPr>
        <w:t>Parameter Tuning (Optimization):</w:t>
      </w:r>
      <w:r>
        <w:t xml:space="preserve"> Both factor and weighting calculations utilized either default or arbitrary parameters. For example, the force index uses a 13-day exponential moving average. However, it may be that the calculation of shorter or long exponential moving average provides more correlation with forward returns. However, given the large number of parameters utilized by the models, the optimization of parameters will be a time consuming and a computationally taxing task.</w:t>
      </w:r>
    </w:p>
    <w:bookmarkStart w:id="13" w:name="_Toc57256057" w:displacedByCustomXml="next"/>
    <w:sdt>
      <w:sdtPr>
        <w:rPr>
          <w:rFonts w:asciiTheme="minorHAnsi" w:eastAsiaTheme="minorEastAsia" w:hAnsiTheme="minorHAnsi" w:cstheme="minorBidi"/>
        </w:rPr>
        <w:id w:val="62297111"/>
        <w:docPartObj>
          <w:docPartGallery w:val="Bibliographies"/>
          <w:docPartUnique/>
        </w:docPartObj>
      </w:sdtPr>
      <w:sdtContent>
        <w:p w14:paraId="1590F50A" w14:textId="77777777" w:rsidR="00E81978" w:rsidRPr="009B0C03" w:rsidRDefault="005D3A03" w:rsidP="00A04AFB">
          <w:pPr>
            <w:pStyle w:val="SectionTitle"/>
            <w:rPr>
              <w:rStyle w:val="Heading1Char"/>
            </w:rPr>
          </w:pPr>
          <w:r w:rsidRPr="009B0C03">
            <w:rPr>
              <w:rStyle w:val="Heading1Char"/>
            </w:rPr>
            <w:t>References</w:t>
          </w:r>
          <w:bookmarkEnd w:id="13"/>
        </w:p>
        <w:p w14:paraId="6C70BFBF" w14:textId="77777777" w:rsidR="00D50500" w:rsidRDefault="00C31D30" w:rsidP="00D50500">
          <w:pPr>
            <w:pStyle w:val="Bibliography"/>
            <w:rPr>
              <w:noProof/>
            </w:rPr>
          </w:pPr>
          <w:r>
            <w:fldChar w:fldCharType="begin"/>
          </w:r>
          <w:r>
            <w:instrText xml:space="preserve"> BIBLIOGRAPHY </w:instrText>
          </w:r>
          <w:r>
            <w:fldChar w:fldCharType="separate"/>
          </w:r>
          <w:r w:rsidR="00D50500">
            <w:rPr>
              <w:noProof/>
            </w:rPr>
            <w:t xml:space="preserve">Chen, J. (2019, June 23). </w:t>
          </w:r>
          <w:r w:rsidR="00D50500">
            <w:rPr>
              <w:i/>
              <w:iCs/>
              <w:noProof/>
            </w:rPr>
            <w:t>Investopedia</w:t>
          </w:r>
          <w:r w:rsidR="00D50500">
            <w:rPr>
              <w:noProof/>
            </w:rPr>
            <w:t>. Retrieved from Mass Index: https://www.investopedia.com/terms/m/mass-index.asp</w:t>
          </w:r>
        </w:p>
        <w:p w14:paraId="3C78F0E8" w14:textId="77777777" w:rsidR="00D50500" w:rsidRDefault="00D50500" w:rsidP="00D50500">
          <w:pPr>
            <w:pStyle w:val="Bibliography"/>
            <w:rPr>
              <w:noProof/>
            </w:rPr>
          </w:pPr>
          <w:r>
            <w:rPr>
              <w:noProof/>
            </w:rPr>
            <w:t xml:space="preserve">Chen, J. (2020, November 2). </w:t>
          </w:r>
          <w:r>
            <w:rPr>
              <w:i/>
              <w:iCs/>
              <w:noProof/>
            </w:rPr>
            <w:t>Donchian Channels Definition</w:t>
          </w:r>
          <w:r>
            <w:rPr>
              <w:noProof/>
            </w:rPr>
            <w:t>. Retrieved from Investopedia: https://www.investopedia.com/terms/d/donchianchannels.asp</w:t>
          </w:r>
        </w:p>
        <w:p w14:paraId="06BECB21" w14:textId="77777777" w:rsidR="00D50500" w:rsidRDefault="00D50500" w:rsidP="00D50500">
          <w:pPr>
            <w:pStyle w:val="Bibliography"/>
            <w:rPr>
              <w:noProof/>
            </w:rPr>
          </w:pPr>
          <w:r>
            <w:rPr>
              <w:noProof/>
            </w:rPr>
            <w:t xml:space="preserve">Granville, J. E. (1963). </w:t>
          </w:r>
          <w:r>
            <w:rPr>
              <w:i/>
              <w:iCs/>
              <w:noProof/>
            </w:rPr>
            <w:t>New Key to Stock Market Profits.</w:t>
          </w:r>
          <w:r>
            <w:rPr>
              <w:noProof/>
            </w:rPr>
            <w:t xml:space="preserve"> Prentice-Hall.</w:t>
          </w:r>
        </w:p>
        <w:p w14:paraId="6083521B" w14:textId="77777777" w:rsidR="00D50500" w:rsidRDefault="00D50500" w:rsidP="00D50500">
          <w:pPr>
            <w:pStyle w:val="Bibliography"/>
            <w:rPr>
              <w:noProof/>
            </w:rPr>
          </w:pPr>
          <w:r>
            <w:rPr>
              <w:noProof/>
            </w:rPr>
            <w:t xml:space="preserve">Hale, J. (2019, March 4). </w:t>
          </w:r>
          <w:r>
            <w:rPr>
              <w:i/>
              <w:iCs/>
              <w:noProof/>
            </w:rPr>
            <w:t>Scale, Standardize, or Normalize with Scikit-Learn</w:t>
          </w:r>
          <w:r>
            <w:rPr>
              <w:noProof/>
            </w:rPr>
            <w:t>. Retrieved from towards data science: https://towardsdatascience.com/scale-standardize-or-normalize-with-scikit-learn-6ccc7d176a02</w:t>
          </w:r>
        </w:p>
        <w:p w14:paraId="28F1BA97" w14:textId="77777777" w:rsidR="00D50500" w:rsidRDefault="00D50500" w:rsidP="00D50500">
          <w:pPr>
            <w:pStyle w:val="Bibliography"/>
            <w:rPr>
              <w:noProof/>
            </w:rPr>
          </w:pPr>
          <w:r>
            <w:rPr>
              <w:i/>
              <w:iCs/>
              <w:noProof/>
            </w:rPr>
            <w:t>Kaufman’s Adaptive Moving Average (KAMA)</w:t>
          </w:r>
          <w:r>
            <w:rPr>
              <w:noProof/>
            </w:rPr>
            <w:t>. (n.d.). Retrieved from Corporate Finance Institute: https://corporatefinanceinstitute.com/resources/knowledge/trading-investing/kaufmans-adaptive-moving-average-kama/</w:t>
          </w:r>
        </w:p>
        <w:p w14:paraId="5C8FF218" w14:textId="77777777" w:rsidR="00D50500" w:rsidRDefault="00D50500" w:rsidP="00D50500">
          <w:pPr>
            <w:pStyle w:val="Bibliography"/>
            <w:rPr>
              <w:noProof/>
            </w:rPr>
          </w:pPr>
          <w:r>
            <w:rPr>
              <w:noProof/>
            </w:rPr>
            <w:t xml:space="preserve">Lane, G. C. (1984). Lane’s stochastics. </w:t>
          </w:r>
          <w:r>
            <w:rPr>
              <w:i/>
              <w:iCs/>
              <w:noProof/>
            </w:rPr>
            <w:t>Technical Analysis of Stocks and Commodities</w:t>
          </w:r>
          <w:r>
            <w:rPr>
              <w:noProof/>
            </w:rPr>
            <w:t>, 80.</w:t>
          </w:r>
        </w:p>
        <w:p w14:paraId="19476840" w14:textId="77777777" w:rsidR="00D50500" w:rsidRDefault="00D50500" w:rsidP="00D50500">
          <w:pPr>
            <w:pStyle w:val="Bibliography"/>
            <w:rPr>
              <w:noProof/>
            </w:rPr>
          </w:pPr>
          <w:r>
            <w:rPr>
              <w:noProof/>
            </w:rPr>
            <w:t xml:space="preserve">Mitchell, C. (2019, July 14). </w:t>
          </w:r>
          <w:r>
            <w:rPr>
              <w:i/>
              <w:iCs/>
              <w:noProof/>
            </w:rPr>
            <w:t>Force Index and Uses</w:t>
          </w:r>
          <w:r>
            <w:rPr>
              <w:noProof/>
            </w:rPr>
            <w:t>. Retrieved from Investopedia: https://www.investopedia.com/terms/f/force-index.asp</w:t>
          </w:r>
        </w:p>
        <w:p w14:paraId="63771772" w14:textId="77777777" w:rsidR="00D50500" w:rsidRDefault="00D50500" w:rsidP="00D50500">
          <w:pPr>
            <w:pStyle w:val="Bibliography"/>
            <w:rPr>
              <w:noProof/>
            </w:rPr>
          </w:pPr>
          <w:r>
            <w:rPr>
              <w:noProof/>
            </w:rPr>
            <w:t xml:space="preserve">Padial, D. L. (2018, April 10). </w:t>
          </w:r>
          <w:r>
            <w:rPr>
              <w:i/>
              <w:iCs/>
              <w:noProof/>
            </w:rPr>
            <w:t>Technical Analysis Library in Python</w:t>
          </w:r>
          <w:r>
            <w:rPr>
              <w:noProof/>
            </w:rPr>
            <w:t>. Retrieved from Documentation: https://technical-analysis-library-in-python.readthedocs.io/en/latest/ta.html</w:t>
          </w:r>
        </w:p>
        <w:p w14:paraId="6ACB5318" w14:textId="77777777" w:rsidR="00D50500" w:rsidRDefault="00D50500" w:rsidP="00D50500">
          <w:pPr>
            <w:pStyle w:val="Bibliography"/>
            <w:rPr>
              <w:noProof/>
            </w:rPr>
          </w:pPr>
          <w:r>
            <w:rPr>
              <w:noProof/>
            </w:rPr>
            <w:t xml:space="preserve">Perktold, J., Seabold, S., &amp; Taylor, J. (2020, November 19). </w:t>
          </w:r>
          <w:r>
            <w:rPr>
              <w:i/>
              <w:iCs/>
              <w:noProof/>
            </w:rPr>
            <w:t>Linear Regression</w:t>
          </w:r>
          <w:r>
            <w:rPr>
              <w:noProof/>
            </w:rPr>
            <w:t>. Retrieved from statsmodels: https://www.statsmodels.org/dev/regression.html</w:t>
          </w:r>
        </w:p>
        <w:p w14:paraId="153FA207" w14:textId="77777777" w:rsidR="00D50500" w:rsidRDefault="00D50500" w:rsidP="00D50500">
          <w:pPr>
            <w:pStyle w:val="Bibliography"/>
            <w:rPr>
              <w:noProof/>
            </w:rPr>
          </w:pPr>
          <w:r>
            <w:rPr>
              <w:noProof/>
            </w:rPr>
            <w:t xml:space="preserve">Wilder, J. W. (1978). </w:t>
          </w:r>
          <w:r>
            <w:rPr>
              <w:i/>
              <w:iCs/>
              <w:noProof/>
            </w:rPr>
            <w:t>New Concepts in Technical trading Systems.</w:t>
          </w:r>
          <w:r>
            <w:rPr>
              <w:noProof/>
            </w:rPr>
            <w:t xml:space="preserve"> Greensboro: Trend Research.</w:t>
          </w:r>
        </w:p>
        <w:p w14:paraId="4AD2F874" w14:textId="426EB5B0" w:rsidR="00E81978" w:rsidRDefault="00C31D30" w:rsidP="00D50500">
          <w:pPr>
            <w:pStyle w:val="Bibliography"/>
            <w:rPr>
              <w:noProof/>
            </w:rPr>
          </w:pPr>
          <w:r>
            <w:rPr>
              <w:b/>
              <w:bCs/>
              <w:noProof/>
            </w:rPr>
            <w:fldChar w:fldCharType="end"/>
          </w:r>
        </w:p>
      </w:sdtContent>
    </w:sdt>
    <w:p w14:paraId="7BDD4825" w14:textId="4AEE890B" w:rsidR="00E81978" w:rsidRDefault="00E81978"/>
    <w:p w14:paraId="3EDA8B74" w14:textId="3561F2BB" w:rsidR="008564CD" w:rsidRPr="00A04AFB" w:rsidRDefault="008564CD" w:rsidP="00A04AFB">
      <w:pPr>
        <w:ind w:firstLine="0"/>
      </w:pPr>
    </w:p>
    <w:p w14:paraId="590C2205" w14:textId="2E5FFDCD" w:rsidR="008564CD" w:rsidRDefault="008564CD" w:rsidP="008564CD">
      <w:pPr>
        <w:pStyle w:val="Heading1"/>
      </w:pPr>
      <w:bookmarkStart w:id="14" w:name="_Toc57256058"/>
      <w:r>
        <w:t>Appendix</w:t>
      </w:r>
      <w:bookmarkEnd w:id="14"/>
    </w:p>
    <w:tbl>
      <w:tblPr>
        <w:tblStyle w:val="APAReport"/>
        <w:tblW w:w="5184" w:type="dxa"/>
        <w:jc w:val="center"/>
        <w:tblLayout w:type="fixed"/>
        <w:tblLook w:val="0400" w:firstRow="0" w:lastRow="0" w:firstColumn="0" w:lastColumn="0" w:noHBand="0" w:noVBand="1"/>
      </w:tblPr>
      <w:tblGrid>
        <w:gridCol w:w="1296"/>
        <w:gridCol w:w="1296"/>
        <w:gridCol w:w="1296"/>
        <w:gridCol w:w="1296"/>
      </w:tblGrid>
      <w:tr w:rsidR="006F195B" w:rsidRPr="006F195B" w14:paraId="294CD42C" w14:textId="77777777" w:rsidTr="006F195B">
        <w:trPr>
          <w:trHeight w:val="432"/>
          <w:jc w:val="center"/>
        </w:trPr>
        <w:tc>
          <w:tcPr>
            <w:tcW w:w="1296" w:type="dxa"/>
            <w:noWrap/>
            <w:vAlign w:val="center"/>
            <w:hideMark/>
          </w:tcPr>
          <w:p w14:paraId="1C9A16ED" w14:textId="77777777" w:rsidR="006F195B" w:rsidRPr="006F195B" w:rsidRDefault="006F195B" w:rsidP="006F195B">
            <w:pPr>
              <w:jc w:val="center"/>
              <w:rPr>
                <w:lang w:eastAsia="zh-CN"/>
              </w:rPr>
            </w:pPr>
            <w:r w:rsidRPr="006F195B">
              <w:rPr>
                <w:lang w:eastAsia="zh-CN"/>
              </w:rPr>
              <w:t>ATVI</w:t>
            </w:r>
          </w:p>
        </w:tc>
        <w:tc>
          <w:tcPr>
            <w:tcW w:w="1296" w:type="dxa"/>
            <w:noWrap/>
            <w:vAlign w:val="center"/>
            <w:hideMark/>
          </w:tcPr>
          <w:p w14:paraId="5E6E4322" w14:textId="77777777" w:rsidR="006F195B" w:rsidRPr="006F195B" w:rsidRDefault="006F195B" w:rsidP="006F195B">
            <w:pPr>
              <w:jc w:val="center"/>
              <w:rPr>
                <w:lang w:eastAsia="zh-CN"/>
              </w:rPr>
            </w:pPr>
            <w:r w:rsidRPr="006F195B">
              <w:rPr>
                <w:lang w:eastAsia="zh-CN"/>
              </w:rPr>
              <w:t>CTAS</w:t>
            </w:r>
          </w:p>
        </w:tc>
        <w:tc>
          <w:tcPr>
            <w:tcW w:w="1296" w:type="dxa"/>
            <w:noWrap/>
            <w:vAlign w:val="center"/>
            <w:hideMark/>
          </w:tcPr>
          <w:p w14:paraId="471262AB" w14:textId="77777777" w:rsidR="006F195B" w:rsidRPr="006F195B" w:rsidRDefault="006F195B" w:rsidP="006F195B">
            <w:pPr>
              <w:jc w:val="center"/>
              <w:rPr>
                <w:lang w:eastAsia="zh-CN"/>
              </w:rPr>
            </w:pPr>
            <w:r w:rsidRPr="006F195B">
              <w:rPr>
                <w:lang w:eastAsia="zh-CN"/>
              </w:rPr>
              <w:t>INTU</w:t>
            </w:r>
          </w:p>
        </w:tc>
        <w:tc>
          <w:tcPr>
            <w:tcW w:w="1296" w:type="dxa"/>
            <w:noWrap/>
            <w:vAlign w:val="center"/>
            <w:hideMark/>
          </w:tcPr>
          <w:p w14:paraId="27600281" w14:textId="77777777" w:rsidR="006F195B" w:rsidRPr="006F195B" w:rsidRDefault="006F195B" w:rsidP="006F195B">
            <w:pPr>
              <w:jc w:val="center"/>
              <w:rPr>
                <w:lang w:eastAsia="zh-CN"/>
              </w:rPr>
            </w:pPr>
            <w:r w:rsidRPr="006F195B">
              <w:rPr>
                <w:lang w:eastAsia="zh-CN"/>
              </w:rPr>
              <w:t>PEP</w:t>
            </w:r>
          </w:p>
        </w:tc>
      </w:tr>
      <w:tr w:rsidR="006F195B" w:rsidRPr="006F195B" w14:paraId="7557F75A" w14:textId="77777777" w:rsidTr="006F195B">
        <w:trPr>
          <w:trHeight w:val="432"/>
          <w:jc w:val="center"/>
        </w:trPr>
        <w:tc>
          <w:tcPr>
            <w:tcW w:w="1296" w:type="dxa"/>
            <w:noWrap/>
            <w:vAlign w:val="center"/>
            <w:hideMark/>
          </w:tcPr>
          <w:p w14:paraId="03747680" w14:textId="77777777" w:rsidR="006F195B" w:rsidRPr="006F195B" w:rsidRDefault="006F195B" w:rsidP="006F195B">
            <w:pPr>
              <w:jc w:val="center"/>
              <w:rPr>
                <w:lang w:eastAsia="zh-CN"/>
              </w:rPr>
            </w:pPr>
            <w:r w:rsidRPr="006F195B">
              <w:rPr>
                <w:lang w:eastAsia="zh-CN"/>
              </w:rPr>
              <w:t>ADBE</w:t>
            </w:r>
          </w:p>
        </w:tc>
        <w:tc>
          <w:tcPr>
            <w:tcW w:w="1296" w:type="dxa"/>
            <w:noWrap/>
            <w:vAlign w:val="center"/>
            <w:hideMark/>
          </w:tcPr>
          <w:p w14:paraId="25F2D02A" w14:textId="77777777" w:rsidR="006F195B" w:rsidRPr="006F195B" w:rsidRDefault="006F195B" w:rsidP="006F195B">
            <w:pPr>
              <w:jc w:val="center"/>
              <w:rPr>
                <w:lang w:eastAsia="zh-CN"/>
              </w:rPr>
            </w:pPr>
            <w:r w:rsidRPr="006F195B">
              <w:rPr>
                <w:lang w:eastAsia="zh-CN"/>
              </w:rPr>
              <w:t>CSCO</w:t>
            </w:r>
          </w:p>
        </w:tc>
        <w:tc>
          <w:tcPr>
            <w:tcW w:w="1296" w:type="dxa"/>
            <w:noWrap/>
            <w:vAlign w:val="center"/>
            <w:hideMark/>
          </w:tcPr>
          <w:p w14:paraId="6F288F8E" w14:textId="77777777" w:rsidR="006F195B" w:rsidRPr="006F195B" w:rsidRDefault="006F195B" w:rsidP="006F195B">
            <w:pPr>
              <w:jc w:val="center"/>
              <w:rPr>
                <w:lang w:eastAsia="zh-CN"/>
              </w:rPr>
            </w:pPr>
            <w:r w:rsidRPr="006F195B">
              <w:rPr>
                <w:lang w:eastAsia="zh-CN"/>
              </w:rPr>
              <w:t>ISRG</w:t>
            </w:r>
          </w:p>
        </w:tc>
        <w:tc>
          <w:tcPr>
            <w:tcW w:w="1296" w:type="dxa"/>
            <w:noWrap/>
            <w:vAlign w:val="center"/>
            <w:hideMark/>
          </w:tcPr>
          <w:p w14:paraId="0218328D" w14:textId="77777777" w:rsidR="006F195B" w:rsidRPr="006F195B" w:rsidRDefault="006F195B" w:rsidP="006F195B">
            <w:pPr>
              <w:jc w:val="center"/>
              <w:rPr>
                <w:lang w:eastAsia="zh-CN"/>
              </w:rPr>
            </w:pPr>
            <w:r w:rsidRPr="006F195B">
              <w:rPr>
                <w:lang w:eastAsia="zh-CN"/>
              </w:rPr>
              <w:t>QCOM</w:t>
            </w:r>
          </w:p>
        </w:tc>
      </w:tr>
      <w:tr w:rsidR="006F195B" w:rsidRPr="006F195B" w14:paraId="7033166A" w14:textId="77777777" w:rsidTr="006F195B">
        <w:trPr>
          <w:trHeight w:val="432"/>
          <w:jc w:val="center"/>
        </w:trPr>
        <w:tc>
          <w:tcPr>
            <w:tcW w:w="1296" w:type="dxa"/>
            <w:noWrap/>
            <w:vAlign w:val="center"/>
            <w:hideMark/>
          </w:tcPr>
          <w:p w14:paraId="4AB93760" w14:textId="77777777" w:rsidR="006F195B" w:rsidRPr="006F195B" w:rsidRDefault="006F195B" w:rsidP="006F195B">
            <w:pPr>
              <w:jc w:val="center"/>
              <w:rPr>
                <w:lang w:eastAsia="zh-CN"/>
              </w:rPr>
            </w:pPr>
            <w:r w:rsidRPr="006F195B">
              <w:rPr>
                <w:lang w:eastAsia="zh-CN"/>
              </w:rPr>
              <w:t>ALXN</w:t>
            </w:r>
          </w:p>
        </w:tc>
        <w:tc>
          <w:tcPr>
            <w:tcW w:w="1296" w:type="dxa"/>
            <w:noWrap/>
            <w:vAlign w:val="center"/>
            <w:hideMark/>
          </w:tcPr>
          <w:p w14:paraId="3E8E3C36" w14:textId="77777777" w:rsidR="006F195B" w:rsidRPr="006F195B" w:rsidRDefault="006F195B" w:rsidP="006F195B">
            <w:pPr>
              <w:jc w:val="center"/>
              <w:rPr>
                <w:lang w:eastAsia="zh-CN"/>
              </w:rPr>
            </w:pPr>
            <w:r w:rsidRPr="006F195B">
              <w:rPr>
                <w:lang w:eastAsia="zh-CN"/>
              </w:rPr>
              <w:t>CTXS</w:t>
            </w:r>
          </w:p>
        </w:tc>
        <w:tc>
          <w:tcPr>
            <w:tcW w:w="1296" w:type="dxa"/>
            <w:noWrap/>
            <w:vAlign w:val="center"/>
            <w:hideMark/>
          </w:tcPr>
          <w:p w14:paraId="71A8B164" w14:textId="77777777" w:rsidR="006F195B" w:rsidRPr="006F195B" w:rsidRDefault="006F195B" w:rsidP="006F195B">
            <w:pPr>
              <w:jc w:val="center"/>
              <w:rPr>
                <w:lang w:eastAsia="zh-CN"/>
              </w:rPr>
            </w:pPr>
            <w:r w:rsidRPr="006F195B">
              <w:rPr>
                <w:lang w:eastAsia="zh-CN"/>
              </w:rPr>
              <w:t>KDP</w:t>
            </w:r>
          </w:p>
        </w:tc>
        <w:tc>
          <w:tcPr>
            <w:tcW w:w="1296" w:type="dxa"/>
            <w:noWrap/>
            <w:vAlign w:val="center"/>
            <w:hideMark/>
          </w:tcPr>
          <w:p w14:paraId="6FAA37FF" w14:textId="77777777" w:rsidR="006F195B" w:rsidRPr="006F195B" w:rsidRDefault="006F195B" w:rsidP="006F195B">
            <w:pPr>
              <w:jc w:val="center"/>
              <w:rPr>
                <w:lang w:eastAsia="zh-CN"/>
              </w:rPr>
            </w:pPr>
            <w:r w:rsidRPr="006F195B">
              <w:rPr>
                <w:lang w:eastAsia="zh-CN"/>
              </w:rPr>
              <w:t>REGN</w:t>
            </w:r>
          </w:p>
        </w:tc>
      </w:tr>
      <w:tr w:rsidR="006F195B" w:rsidRPr="006F195B" w14:paraId="427FC6A0" w14:textId="77777777" w:rsidTr="006F195B">
        <w:trPr>
          <w:trHeight w:val="432"/>
          <w:jc w:val="center"/>
        </w:trPr>
        <w:tc>
          <w:tcPr>
            <w:tcW w:w="1296" w:type="dxa"/>
            <w:noWrap/>
            <w:vAlign w:val="center"/>
            <w:hideMark/>
          </w:tcPr>
          <w:p w14:paraId="72EFC62F" w14:textId="77777777" w:rsidR="006F195B" w:rsidRPr="006F195B" w:rsidRDefault="006F195B" w:rsidP="006F195B">
            <w:pPr>
              <w:jc w:val="center"/>
              <w:rPr>
                <w:lang w:eastAsia="zh-CN"/>
              </w:rPr>
            </w:pPr>
            <w:r w:rsidRPr="006F195B">
              <w:rPr>
                <w:lang w:eastAsia="zh-CN"/>
              </w:rPr>
              <w:t>ALGN</w:t>
            </w:r>
          </w:p>
        </w:tc>
        <w:tc>
          <w:tcPr>
            <w:tcW w:w="1296" w:type="dxa"/>
            <w:noWrap/>
            <w:vAlign w:val="center"/>
            <w:hideMark/>
          </w:tcPr>
          <w:p w14:paraId="7392E5A4" w14:textId="77777777" w:rsidR="006F195B" w:rsidRPr="006F195B" w:rsidRDefault="006F195B" w:rsidP="006F195B">
            <w:pPr>
              <w:jc w:val="center"/>
              <w:rPr>
                <w:lang w:eastAsia="zh-CN"/>
              </w:rPr>
            </w:pPr>
            <w:r w:rsidRPr="006F195B">
              <w:rPr>
                <w:lang w:eastAsia="zh-CN"/>
              </w:rPr>
              <w:t>CTSH</w:t>
            </w:r>
          </w:p>
        </w:tc>
        <w:tc>
          <w:tcPr>
            <w:tcW w:w="1296" w:type="dxa"/>
            <w:noWrap/>
            <w:vAlign w:val="center"/>
            <w:hideMark/>
          </w:tcPr>
          <w:p w14:paraId="6580CC6C" w14:textId="77777777" w:rsidR="006F195B" w:rsidRPr="006F195B" w:rsidRDefault="006F195B" w:rsidP="006F195B">
            <w:pPr>
              <w:jc w:val="center"/>
              <w:rPr>
                <w:lang w:eastAsia="zh-CN"/>
              </w:rPr>
            </w:pPr>
            <w:r w:rsidRPr="006F195B">
              <w:rPr>
                <w:lang w:eastAsia="zh-CN"/>
              </w:rPr>
              <w:t>KLAC</w:t>
            </w:r>
          </w:p>
        </w:tc>
        <w:tc>
          <w:tcPr>
            <w:tcW w:w="1296" w:type="dxa"/>
            <w:noWrap/>
            <w:vAlign w:val="center"/>
            <w:hideMark/>
          </w:tcPr>
          <w:p w14:paraId="192F3137" w14:textId="77777777" w:rsidR="006F195B" w:rsidRPr="006F195B" w:rsidRDefault="006F195B" w:rsidP="006F195B">
            <w:pPr>
              <w:jc w:val="center"/>
              <w:rPr>
                <w:lang w:eastAsia="zh-CN"/>
              </w:rPr>
            </w:pPr>
            <w:r w:rsidRPr="006F195B">
              <w:rPr>
                <w:lang w:eastAsia="zh-CN"/>
              </w:rPr>
              <w:t>ROST</w:t>
            </w:r>
          </w:p>
        </w:tc>
      </w:tr>
      <w:tr w:rsidR="006F195B" w:rsidRPr="006F195B" w14:paraId="398DB020" w14:textId="77777777" w:rsidTr="006F195B">
        <w:trPr>
          <w:trHeight w:val="432"/>
          <w:jc w:val="center"/>
        </w:trPr>
        <w:tc>
          <w:tcPr>
            <w:tcW w:w="1296" w:type="dxa"/>
            <w:noWrap/>
            <w:vAlign w:val="center"/>
            <w:hideMark/>
          </w:tcPr>
          <w:p w14:paraId="3AF3B214" w14:textId="77777777" w:rsidR="006F195B" w:rsidRPr="006F195B" w:rsidRDefault="006F195B" w:rsidP="006F195B">
            <w:pPr>
              <w:jc w:val="center"/>
              <w:rPr>
                <w:lang w:eastAsia="zh-CN"/>
              </w:rPr>
            </w:pPr>
            <w:r w:rsidRPr="006F195B">
              <w:rPr>
                <w:lang w:eastAsia="zh-CN"/>
              </w:rPr>
              <w:t>GOOGL</w:t>
            </w:r>
          </w:p>
        </w:tc>
        <w:tc>
          <w:tcPr>
            <w:tcW w:w="1296" w:type="dxa"/>
            <w:noWrap/>
            <w:vAlign w:val="center"/>
            <w:hideMark/>
          </w:tcPr>
          <w:p w14:paraId="32038DD2" w14:textId="77777777" w:rsidR="006F195B" w:rsidRPr="006F195B" w:rsidRDefault="006F195B" w:rsidP="006F195B">
            <w:pPr>
              <w:jc w:val="center"/>
              <w:rPr>
                <w:lang w:eastAsia="zh-CN"/>
              </w:rPr>
            </w:pPr>
            <w:r w:rsidRPr="006F195B">
              <w:rPr>
                <w:lang w:eastAsia="zh-CN"/>
              </w:rPr>
              <w:t>CMCSA</w:t>
            </w:r>
          </w:p>
        </w:tc>
        <w:tc>
          <w:tcPr>
            <w:tcW w:w="1296" w:type="dxa"/>
            <w:noWrap/>
            <w:vAlign w:val="center"/>
            <w:hideMark/>
          </w:tcPr>
          <w:p w14:paraId="4D6481FD" w14:textId="77777777" w:rsidR="006F195B" w:rsidRPr="006F195B" w:rsidRDefault="006F195B" w:rsidP="006F195B">
            <w:pPr>
              <w:jc w:val="center"/>
              <w:rPr>
                <w:lang w:eastAsia="zh-CN"/>
              </w:rPr>
            </w:pPr>
            <w:r w:rsidRPr="006F195B">
              <w:rPr>
                <w:lang w:eastAsia="zh-CN"/>
              </w:rPr>
              <w:t>LRCX</w:t>
            </w:r>
          </w:p>
        </w:tc>
        <w:tc>
          <w:tcPr>
            <w:tcW w:w="1296" w:type="dxa"/>
            <w:noWrap/>
            <w:vAlign w:val="center"/>
            <w:hideMark/>
          </w:tcPr>
          <w:p w14:paraId="23DB9271" w14:textId="77777777" w:rsidR="006F195B" w:rsidRPr="006F195B" w:rsidRDefault="006F195B" w:rsidP="006F195B">
            <w:pPr>
              <w:jc w:val="center"/>
              <w:rPr>
                <w:lang w:eastAsia="zh-CN"/>
              </w:rPr>
            </w:pPr>
            <w:r w:rsidRPr="006F195B">
              <w:rPr>
                <w:lang w:eastAsia="zh-CN"/>
              </w:rPr>
              <w:t>SIRI</w:t>
            </w:r>
          </w:p>
        </w:tc>
      </w:tr>
      <w:tr w:rsidR="006F195B" w:rsidRPr="006F195B" w14:paraId="4E265D7E" w14:textId="77777777" w:rsidTr="006F195B">
        <w:trPr>
          <w:trHeight w:val="432"/>
          <w:jc w:val="center"/>
        </w:trPr>
        <w:tc>
          <w:tcPr>
            <w:tcW w:w="1296" w:type="dxa"/>
            <w:noWrap/>
            <w:vAlign w:val="center"/>
            <w:hideMark/>
          </w:tcPr>
          <w:p w14:paraId="0BAA8283" w14:textId="77777777" w:rsidR="006F195B" w:rsidRPr="006F195B" w:rsidRDefault="006F195B" w:rsidP="006F195B">
            <w:pPr>
              <w:jc w:val="center"/>
              <w:rPr>
                <w:lang w:eastAsia="zh-CN"/>
              </w:rPr>
            </w:pPr>
            <w:r w:rsidRPr="006F195B">
              <w:rPr>
                <w:lang w:eastAsia="zh-CN"/>
              </w:rPr>
              <w:t>AMZN</w:t>
            </w:r>
          </w:p>
        </w:tc>
        <w:tc>
          <w:tcPr>
            <w:tcW w:w="1296" w:type="dxa"/>
            <w:noWrap/>
            <w:vAlign w:val="center"/>
            <w:hideMark/>
          </w:tcPr>
          <w:p w14:paraId="275D88A0" w14:textId="77777777" w:rsidR="006F195B" w:rsidRPr="006F195B" w:rsidRDefault="006F195B" w:rsidP="006F195B">
            <w:pPr>
              <w:jc w:val="center"/>
              <w:rPr>
                <w:lang w:eastAsia="zh-CN"/>
              </w:rPr>
            </w:pPr>
            <w:r w:rsidRPr="006F195B">
              <w:rPr>
                <w:lang w:eastAsia="zh-CN"/>
              </w:rPr>
              <w:t>CPRT</w:t>
            </w:r>
          </w:p>
        </w:tc>
        <w:tc>
          <w:tcPr>
            <w:tcW w:w="1296" w:type="dxa"/>
            <w:noWrap/>
            <w:vAlign w:val="center"/>
            <w:hideMark/>
          </w:tcPr>
          <w:p w14:paraId="4A4F1BF8" w14:textId="77777777" w:rsidR="006F195B" w:rsidRPr="006F195B" w:rsidRDefault="006F195B" w:rsidP="006F195B">
            <w:pPr>
              <w:jc w:val="center"/>
              <w:rPr>
                <w:lang w:eastAsia="zh-CN"/>
              </w:rPr>
            </w:pPr>
            <w:r w:rsidRPr="006F195B">
              <w:rPr>
                <w:lang w:eastAsia="zh-CN"/>
              </w:rPr>
              <w:t>LBTYA</w:t>
            </w:r>
          </w:p>
        </w:tc>
        <w:tc>
          <w:tcPr>
            <w:tcW w:w="1296" w:type="dxa"/>
            <w:noWrap/>
            <w:vAlign w:val="center"/>
            <w:hideMark/>
          </w:tcPr>
          <w:p w14:paraId="57F0DBA0" w14:textId="77777777" w:rsidR="006F195B" w:rsidRPr="006F195B" w:rsidRDefault="006F195B" w:rsidP="006F195B">
            <w:pPr>
              <w:jc w:val="center"/>
              <w:rPr>
                <w:lang w:eastAsia="zh-CN"/>
              </w:rPr>
            </w:pPr>
            <w:r w:rsidRPr="006F195B">
              <w:rPr>
                <w:lang w:eastAsia="zh-CN"/>
              </w:rPr>
              <w:t>SWKS</w:t>
            </w:r>
          </w:p>
        </w:tc>
      </w:tr>
      <w:tr w:rsidR="006F195B" w:rsidRPr="006F195B" w14:paraId="3D4BE381" w14:textId="77777777" w:rsidTr="006F195B">
        <w:trPr>
          <w:trHeight w:val="432"/>
          <w:jc w:val="center"/>
        </w:trPr>
        <w:tc>
          <w:tcPr>
            <w:tcW w:w="1296" w:type="dxa"/>
            <w:noWrap/>
            <w:vAlign w:val="center"/>
            <w:hideMark/>
          </w:tcPr>
          <w:p w14:paraId="30DD98D8" w14:textId="77777777" w:rsidR="006F195B" w:rsidRPr="006F195B" w:rsidRDefault="006F195B" w:rsidP="006F195B">
            <w:pPr>
              <w:jc w:val="center"/>
              <w:rPr>
                <w:lang w:eastAsia="zh-CN"/>
              </w:rPr>
            </w:pPr>
            <w:r w:rsidRPr="006F195B">
              <w:rPr>
                <w:lang w:eastAsia="zh-CN"/>
              </w:rPr>
              <w:t>AMGN</w:t>
            </w:r>
          </w:p>
        </w:tc>
        <w:tc>
          <w:tcPr>
            <w:tcW w:w="1296" w:type="dxa"/>
            <w:noWrap/>
            <w:vAlign w:val="center"/>
            <w:hideMark/>
          </w:tcPr>
          <w:p w14:paraId="403D69CA" w14:textId="77777777" w:rsidR="006F195B" w:rsidRPr="006F195B" w:rsidRDefault="006F195B" w:rsidP="006F195B">
            <w:pPr>
              <w:jc w:val="center"/>
              <w:rPr>
                <w:lang w:eastAsia="zh-CN"/>
              </w:rPr>
            </w:pPr>
            <w:r w:rsidRPr="006F195B">
              <w:rPr>
                <w:lang w:eastAsia="zh-CN"/>
              </w:rPr>
              <w:t>COST</w:t>
            </w:r>
          </w:p>
        </w:tc>
        <w:tc>
          <w:tcPr>
            <w:tcW w:w="1296" w:type="dxa"/>
            <w:noWrap/>
            <w:vAlign w:val="center"/>
            <w:hideMark/>
          </w:tcPr>
          <w:p w14:paraId="0F1043A0" w14:textId="77777777" w:rsidR="006F195B" w:rsidRPr="006F195B" w:rsidRDefault="006F195B" w:rsidP="006F195B">
            <w:pPr>
              <w:jc w:val="center"/>
              <w:rPr>
                <w:lang w:eastAsia="zh-CN"/>
              </w:rPr>
            </w:pPr>
            <w:r w:rsidRPr="006F195B">
              <w:rPr>
                <w:lang w:eastAsia="zh-CN"/>
              </w:rPr>
              <w:t>LULU</w:t>
            </w:r>
          </w:p>
        </w:tc>
        <w:tc>
          <w:tcPr>
            <w:tcW w:w="1296" w:type="dxa"/>
            <w:noWrap/>
            <w:vAlign w:val="center"/>
            <w:hideMark/>
          </w:tcPr>
          <w:p w14:paraId="7DFF1169" w14:textId="77777777" w:rsidR="006F195B" w:rsidRPr="006F195B" w:rsidRDefault="006F195B" w:rsidP="006F195B">
            <w:pPr>
              <w:jc w:val="center"/>
              <w:rPr>
                <w:lang w:eastAsia="zh-CN"/>
              </w:rPr>
            </w:pPr>
            <w:r w:rsidRPr="006F195B">
              <w:rPr>
                <w:lang w:eastAsia="zh-CN"/>
              </w:rPr>
              <w:t>SBUX</w:t>
            </w:r>
          </w:p>
        </w:tc>
      </w:tr>
      <w:tr w:rsidR="006F195B" w:rsidRPr="006F195B" w14:paraId="06F6CD12" w14:textId="77777777" w:rsidTr="006F195B">
        <w:trPr>
          <w:trHeight w:val="432"/>
          <w:jc w:val="center"/>
        </w:trPr>
        <w:tc>
          <w:tcPr>
            <w:tcW w:w="1296" w:type="dxa"/>
            <w:noWrap/>
            <w:vAlign w:val="center"/>
            <w:hideMark/>
          </w:tcPr>
          <w:p w14:paraId="2363972B" w14:textId="77777777" w:rsidR="006F195B" w:rsidRPr="006F195B" w:rsidRDefault="006F195B" w:rsidP="006F195B">
            <w:pPr>
              <w:jc w:val="center"/>
              <w:rPr>
                <w:lang w:eastAsia="zh-CN"/>
              </w:rPr>
            </w:pPr>
            <w:r w:rsidRPr="006F195B">
              <w:rPr>
                <w:lang w:eastAsia="zh-CN"/>
              </w:rPr>
              <w:t>ADI</w:t>
            </w:r>
          </w:p>
        </w:tc>
        <w:tc>
          <w:tcPr>
            <w:tcW w:w="1296" w:type="dxa"/>
            <w:noWrap/>
            <w:vAlign w:val="center"/>
            <w:hideMark/>
          </w:tcPr>
          <w:p w14:paraId="3EAB1527" w14:textId="77777777" w:rsidR="006F195B" w:rsidRPr="006F195B" w:rsidRDefault="006F195B" w:rsidP="006F195B">
            <w:pPr>
              <w:jc w:val="center"/>
              <w:rPr>
                <w:lang w:eastAsia="zh-CN"/>
              </w:rPr>
            </w:pPr>
            <w:r w:rsidRPr="006F195B">
              <w:rPr>
                <w:lang w:eastAsia="zh-CN"/>
              </w:rPr>
              <w:t>CSX</w:t>
            </w:r>
          </w:p>
        </w:tc>
        <w:tc>
          <w:tcPr>
            <w:tcW w:w="1296" w:type="dxa"/>
            <w:noWrap/>
            <w:vAlign w:val="center"/>
            <w:hideMark/>
          </w:tcPr>
          <w:p w14:paraId="44574C6A" w14:textId="77777777" w:rsidR="006F195B" w:rsidRPr="006F195B" w:rsidRDefault="006F195B" w:rsidP="006F195B">
            <w:pPr>
              <w:jc w:val="center"/>
              <w:rPr>
                <w:lang w:eastAsia="zh-CN"/>
              </w:rPr>
            </w:pPr>
            <w:r w:rsidRPr="006F195B">
              <w:rPr>
                <w:lang w:eastAsia="zh-CN"/>
              </w:rPr>
              <w:t>MAR</w:t>
            </w:r>
          </w:p>
        </w:tc>
        <w:tc>
          <w:tcPr>
            <w:tcW w:w="1296" w:type="dxa"/>
            <w:noWrap/>
            <w:vAlign w:val="center"/>
            <w:hideMark/>
          </w:tcPr>
          <w:p w14:paraId="641B50C7" w14:textId="77777777" w:rsidR="006F195B" w:rsidRPr="006F195B" w:rsidRDefault="006F195B" w:rsidP="006F195B">
            <w:pPr>
              <w:jc w:val="center"/>
              <w:rPr>
                <w:lang w:eastAsia="zh-CN"/>
              </w:rPr>
            </w:pPr>
            <w:r w:rsidRPr="006F195B">
              <w:rPr>
                <w:lang w:eastAsia="zh-CN"/>
              </w:rPr>
              <w:t>SNPS</w:t>
            </w:r>
          </w:p>
        </w:tc>
      </w:tr>
      <w:tr w:rsidR="006F195B" w:rsidRPr="006F195B" w14:paraId="6D542956" w14:textId="77777777" w:rsidTr="006F195B">
        <w:trPr>
          <w:trHeight w:val="432"/>
          <w:jc w:val="center"/>
        </w:trPr>
        <w:tc>
          <w:tcPr>
            <w:tcW w:w="1296" w:type="dxa"/>
            <w:noWrap/>
            <w:vAlign w:val="center"/>
            <w:hideMark/>
          </w:tcPr>
          <w:p w14:paraId="4525D8CC" w14:textId="77777777" w:rsidR="006F195B" w:rsidRPr="006F195B" w:rsidRDefault="006F195B" w:rsidP="006F195B">
            <w:pPr>
              <w:jc w:val="center"/>
              <w:rPr>
                <w:lang w:eastAsia="zh-CN"/>
              </w:rPr>
            </w:pPr>
            <w:r w:rsidRPr="006F195B">
              <w:rPr>
                <w:lang w:eastAsia="zh-CN"/>
              </w:rPr>
              <w:t>ANSS</w:t>
            </w:r>
          </w:p>
        </w:tc>
        <w:tc>
          <w:tcPr>
            <w:tcW w:w="1296" w:type="dxa"/>
            <w:noWrap/>
            <w:vAlign w:val="center"/>
            <w:hideMark/>
          </w:tcPr>
          <w:p w14:paraId="57FAD8DC" w14:textId="77777777" w:rsidR="006F195B" w:rsidRPr="006F195B" w:rsidRDefault="006F195B" w:rsidP="006F195B">
            <w:pPr>
              <w:jc w:val="center"/>
              <w:rPr>
                <w:lang w:eastAsia="zh-CN"/>
              </w:rPr>
            </w:pPr>
            <w:r w:rsidRPr="006F195B">
              <w:rPr>
                <w:lang w:eastAsia="zh-CN"/>
              </w:rPr>
              <w:t>DXCM</w:t>
            </w:r>
          </w:p>
        </w:tc>
        <w:tc>
          <w:tcPr>
            <w:tcW w:w="1296" w:type="dxa"/>
            <w:noWrap/>
            <w:vAlign w:val="center"/>
            <w:hideMark/>
          </w:tcPr>
          <w:p w14:paraId="4D5E4617" w14:textId="77777777" w:rsidR="006F195B" w:rsidRPr="006F195B" w:rsidRDefault="006F195B" w:rsidP="006F195B">
            <w:pPr>
              <w:jc w:val="center"/>
              <w:rPr>
                <w:lang w:eastAsia="zh-CN"/>
              </w:rPr>
            </w:pPr>
            <w:r w:rsidRPr="006F195B">
              <w:rPr>
                <w:lang w:eastAsia="zh-CN"/>
              </w:rPr>
              <w:t>MXIM</w:t>
            </w:r>
          </w:p>
        </w:tc>
        <w:tc>
          <w:tcPr>
            <w:tcW w:w="1296" w:type="dxa"/>
            <w:noWrap/>
            <w:vAlign w:val="center"/>
            <w:hideMark/>
          </w:tcPr>
          <w:p w14:paraId="34B3B5DA" w14:textId="77777777" w:rsidR="006F195B" w:rsidRPr="006F195B" w:rsidRDefault="006F195B" w:rsidP="006F195B">
            <w:pPr>
              <w:jc w:val="center"/>
              <w:rPr>
                <w:lang w:eastAsia="zh-CN"/>
              </w:rPr>
            </w:pPr>
            <w:r w:rsidRPr="006F195B">
              <w:rPr>
                <w:lang w:eastAsia="zh-CN"/>
              </w:rPr>
              <w:t>TMUS</w:t>
            </w:r>
          </w:p>
        </w:tc>
      </w:tr>
      <w:tr w:rsidR="006F195B" w:rsidRPr="006F195B" w14:paraId="0D3B9E60" w14:textId="77777777" w:rsidTr="006F195B">
        <w:trPr>
          <w:trHeight w:val="432"/>
          <w:jc w:val="center"/>
        </w:trPr>
        <w:tc>
          <w:tcPr>
            <w:tcW w:w="1296" w:type="dxa"/>
            <w:noWrap/>
            <w:vAlign w:val="center"/>
            <w:hideMark/>
          </w:tcPr>
          <w:p w14:paraId="50C2AA79" w14:textId="77777777" w:rsidR="006F195B" w:rsidRPr="006F195B" w:rsidRDefault="006F195B" w:rsidP="006F195B">
            <w:pPr>
              <w:jc w:val="center"/>
              <w:rPr>
                <w:lang w:eastAsia="zh-CN"/>
              </w:rPr>
            </w:pPr>
            <w:r w:rsidRPr="006F195B">
              <w:rPr>
                <w:lang w:eastAsia="zh-CN"/>
              </w:rPr>
              <w:t>AAPL</w:t>
            </w:r>
          </w:p>
        </w:tc>
        <w:tc>
          <w:tcPr>
            <w:tcW w:w="1296" w:type="dxa"/>
            <w:noWrap/>
            <w:vAlign w:val="center"/>
            <w:hideMark/>
          </w:tcPr>
          <w:p w14:paraId="5712C2E4" w14:textId="77777777" w:rsidR="006F195B" w:rsidRPr="006F195B" w:rsidRDefault="006F195B" w:rsidP="006F195B">
            <w:pPr>
              <w:jc w:val="center"/>
              <w:rPr>
                <w:lang w:eastAsia="zh-CN"/>
              </w:rPr>
            </w:pPr>
            <w:r w:rsidRPr="006F195B">
              <w:rPr>
                <w:lang w:eastAsia="zh-CN"/>
              </w:rPr>
              <w:t>DLTR</w:t>
            </w:r>
          </w:p>
        </w:tc>
        <w:tc>
          <w:tcPr>
            <w:tcW w:w="1296" w:type="dxa"/>
            <w:noWrap/>
            <w:vAlign w:val="center"/>
            <w:hideMark/>
          </w:tcPr>
          <w:p w14:paraId="05CB83FE" w14:textId="77777777" w:rsidR="006F195B" w:rsidRPr="006F195B" w:rsidRDefault="006F195B" w:rsidP="006F195B">
            <w:pPr>
              <w:jc w:val="center"/>
              <w:rPr>
                <w:lang w:eastAsia="zh-CN"/>
              </w:rPr>
            </w:pPr>
            <w:r w:rsidRPr="006F195B">
              <w:rPr>
                <w:lang w:eastAsia="zh-CN"/>
              </w:rPr>
              <w:t>MELI</w:t>
            </w:r>
          </w:p>
        </w:tc>
        <w:tc>
          <w:tcPr>
            <w:tcW w:w="1296" w:type="dxa"/>
            <w:noWrap/>
            <w:vAlign w:val="center"/>
            <w:hideMark/>
          </w:tcPr>
          <w:p w14:paraId="6B934E9C" w14:textId="77777777" w:rsidR="006F195B" w:rsidRPr="006F195B" w:rsidRDefault="006F195B" w:rsidP="006F195B">
            <w:pPr>
              <w:jc w:val="center"/>
              <w:rPr>
                <w:lang w:eastAsia="zh-CN"/>
              </w:rPr>
            </w:pPr>
            <w:r w:rsidRPr="006F195B">
              <w:rPr>
                <w:lang w:eastAsia="zh-CN"/>
              </w:rPr>
              <w:t>TTWO</w:t>
            </w:r>
          </w:p>
        </w:tc>
      </w:tr>
      <w:tr w:rsidR="006F195B" w:rsidRPr="006F195B" w14:paraId="29914BFA" w14:textId="77777777" w:rsidTr="006F195B">
        <w:trPr>
          <w:trHeight w:val="432"/>
          <w:jc w:val="center"/>
        </w:trPr>
        <w:tc>
          <w:tcPr>
            <w:tcW w:w="1296" w:type="dxa"/>
            <w:noWrap/>
            <w:vAlign w:val="center"/>
            <w:hideMark/>
          </w:tcPr>
          <w:p w14:paraId="43378B56" w14:textId="77777777" w:rsidR="006F195B" w:rsidRPr="006F195B" w:rsidRDefault="006F195B" w:rsidP="006F195B">
            <w:pPr>
              <w:jc w:val="center"/>
              <w:rPr>
                <w:lang w:eastAsia="zh-CN"/>
              </w:rPr>
            </w:pPr>
            <w:r w:rsidRPr="006F195B">
              <w:rPr>
                <w:lang w:eastAsia="zh-CN"/>
              </w:rPr>
              <w:t>AMAT</w:t>
            </w:r>
          </w:p>
        </w:tc>
        <w:tc>
          <w:tcPr>
            <w:tcW w:w="1296" w:type="dxa"/>
            <w:noWrap/>
            <w:vAlign w:val="center"/>
            <w:hideMark/>
          </w:tcPr>
          <w:p w14:paraId="44E94081" w14:textId="77777777" w:rsidR="006F195B" w:rsidRPr="006F195B" w:rsidRDefault="006F195B" w:rsidP="006F195B">
            <w:pPr>
              <w:jc w:val="center"/>
              <w:rPr>
                <w:lang w:eastAsia="zh-CN"/>
              </w:rPr>
            </w:pPr>
            <w:r w:rsidRPr="006F195B">
              <w:rPr>
                <w:lang w:eastAsia="zh-CN"/>
              </w:rPr>
              <w:t>EBAY</w:t>
            </w:r>
          </w:p>
        </w:tc>
        <w:tc>
          <w:tcPr>
            <w:tcW w:w="1296" w:type="dxa"/>
            <w:noWrap/>
            <w:vAlign w:val="center"/>
            <w:hideMark/>
          </w:tcPr>
          <w:p w14:paraId="435C5BAC" w14:textId="77777777" w:rsidR="006F195B" w:rsidRPr="006F195B" w:rsidRDefault="006F195B" w:rsidP="006F195B">
            <w:pPr>
              <w:jc w:val="center"/>
              <w:rPr>
                <w:lang w:eastAsia="zh-CN"/>
              </w:rPr>
            </w:pPr>
            <w:r w:rsidRPr="006F195B">
              <w:rPr>
                <w:lang w:eastAsia="zh-CN"/>
              </w:rPr>
              <w:t>MCHP</w:t>
            </w:r>
          </w:p>
        </w:tc>
        <w:tc>
          <w:tcPr>
            <w:tcW w:w="1296" w:type="dxa"/>
            <w:noWrap/>
            <w:vAlign w:val="center"/>
            <w:hideMark/>
          </w:tcPr>
          <w:p w14:paraId="4935A1E9" w14:textId="77777777" w:rsidR="006F195B" w:rsidRPr="006F195B" w:rsidRDefault="006F195B" w:rsidP="006F195B">
            <w:pPr>
              <w:jc w:val="center"/>
              <w:rPr>
                <w:lang w:eastAsia="zh-CN"/>
              </w:rPr>
            </w:pPr>
            <w:r w:rsidRPr="006F195B">
              <w:rPr>
                <w:lang w:eastAsia="zh-CN"/>
              </w:rPr>
              <w:t>TXN</w:t>
            </w:r>
          </w:p>
        </w:tc>
      </w:tr>
      <w:tr w:rsidR="006F195B" w:rsidRPr="006F195B" w14:paraId="1B213BB5" w14:textId="77777777" w:rsidTr="006F195B">
        <w:trPr>
          <w:trHeight w:val="432"/>
          <w:jc w:val="center"/>
        </w:trPr>
        <w:tc>
          <w:tcPr>
            <w:tcW w:w="1296" w:type="dxa"/>
            <w:noWrap/>
            <w:vAlign w:val="center"/>
            <w:hideMark/>
          </w:tcPr>
          <w:p w14:paraId="461C719D" w14:textId="77777777" w:rsidR="006F195B" w:rsidRPr="006F195B" w:rsidRDefault="006F195B" w:rsidP="006F195B">
            <w:pPr>
              <w:jc w:val="center"/>
              <w:rPr>
                <w:lang w:eastAsia="zh-CN"/>
              </w:rPr>
            </w:pPr>
            <w:r w:rsidRPr="006F195B">
              <w:rPr>
                <w:lang w:eastAsia="zh-CN"/>
              </w:rPr>
              <w:t>ASML</w:t>
            </w:r>
          </w:p>
        </w:tc>
        <w:tc>
          <w:tcPr>
            <w:tcW w:w="1296" w:type="dxa"/>
            <w:noWrap/>
            <w:vAlign w:val="center"/>
            <w:hideMark/>
          </w:tcPr>
          <w:p w14:paraId="4C3F6BED" w14:textId="77777777" w:rsidR="006F195B" w:rsidRPr="006F195B" w:rsidRDefault="006F195B" w:rsidP="006F195B">
            <w:pPr>
              <w:jc w:val="center"/>
              <w:rPr>
                <w:lang w:eastAsia="zh-CN"/>
              </w:rPr>
            </w:pPr>
            <w:r w:rsidRPr="006F195B">
              <w:rPr>
                <w:lang w:eastAsia="zh-CN"/>
              </w:rPr>
              <w:t>EA</w:t>
            </w:r>
          </w:p>
        </w:tc>
        <w:tc>
          <w:tcPr>
            <w:tcW w:w="1296" w:type="dxa"/>
            <w:noWrap/>
            <w:vAlign w:val="center"/>
            <w:hideMark/>
          </w:tcPr>
          <w:p w14:paraId="381C3F69" w14:textId="77777777" w:rsidR="006F195B" w:rsidRPr="006F195B" w:rsidRDefault="006F195B" w:rsidP="006F195B">
            <w:pPr>
              <w:jc w:val="center"/>
              <w:rPr>
                <w:lang w:eastAsia="zh-CN"/>
              </w:rPr>
            </w:pPr>
            <w:r w:rsidRPr="006F195B">
              <w:rPr>
                <w:lang w:eastAsia="zh-CN"/>
              </w:rPr>
              <w:t>MU</w:t>
            </w:r>
          </w:p>
        </w:tc>
        <w:tc>
          <w:tcPr>
            <w:tcW w:w="1296" w:type="dxa"/>
            <w:noWrap/>
            <w:vAlign w:val="center"/>
            <w:hideMark/>
          </w:tcPr>
          <w:p w14:paraId="2EB97098" w14:textId="77777777" w:rsidR="006F195B" w:rsidRPr="006F195B" w:rsidRDefault="006F195B" w:rsidP="006F195B">
            <w:pPr>
              <w:jc w:val="center"/>
              <w:rPr>
                <w:lang w:eastAsia="zh-CN"/>
              </w:rPr>
            </w:pPr>
            <w:r w:rsidRPr="006F195B">
              <w:rPr>
                <w:lang w:eastAsia="zh-CN"/>
              </w:rPr>
              <w:t>TCOM</w:t>
            </w:r>
          </w:p>
        </w:tc>
      </w:tr>
      <w:tr w:rsidR="006F195B" w:rsidRPr="006F195B" w14:paraId="4014878E" w14:textId="77777777" w:rsidTr="006F195B">
        <w:trPr>
          <w:trHeight w:val="432"/>
          <w:jc w:val="center"/>
        </w:trPr>
        <w:tc>
          <w:tcPr>
            <w:tcW w:w="1296" w:type="dxa"/>
            <w:noWrap/>
            <w:vAlign w:val="center"/>
            <w:hideMark/>
          </w:tcPr>
          <w:p w14:paraId="64FC42FA" w14:textId="77777777" w:rsidR="006F195B" w:rsidRPr="006F195B" w:rsidRDefault="006F195B" w:rsidP="006F195B">
            <w:pPr>
              <w:jc w:val="center"/>
              <w:rPr>
                <w:lang w:eastAsia="zh-CN"/>
              </w:rPr>
            </w:pPr>
            <w:r w:rsidRPr="006F195B">
              <w:rPr>
                <w:lang w:eastAsia="zh-CN"/>
              </w:rPr>
              <w:t>ADSK</w:t>
            </w:r>
          </w:p>
        </w:tc>
        <w:tc>
          <w:tcPr>
            <w:tcW w:w="1296" w:type="dxa"/>
            <w:noWrap/>
            <w:vAlign w:val="center"/>
            <w:hideMark/>
          </w:tcPr>
          <w:p w14:paraId="3CA261D0" w14:textId="77777777" w:rsidR="006F195B" w:rsidRPr="006F195B" w:rsidRDefault="006F195B" w:rsidP="006F195B">
            <w:pPr>
              <w:jc w:val="center"/>
              <w:rPr>
                <w:lang w:eastAsia="zh-CN"/>
              </w:rPr>
            </w:pPr>
            <w:r w:rsidRPr="006F195B">
              <w:rPr>
                <w:lang w:eastAsia="zh-CN"/>
              </w:rPr>
              <w:t>EXC</w:t>
            </w:r>
          </w:p>
        </w:tc>
        <w:tc>
          <w:tcPr>
            <w:tcW w:w="1296" w:type="dxa"/>
            <w:noWrap/>
            <w:vAlign w:val="center"/>
            <w:hideMark/>
          </w:tcPr>
          <w:p w14:paraId="3C8F3F1B" w14:textId="77777777" w:rsidR="006F195B" w:rsidRPr="006F195B" w:rsidRDefault="006F195B" w:rsidP="006F195B">
            <w:pPr>
              <w:jc w:val="center"/>
              <w:rPr>
                <w:lang w:eastAsia="zh-CN"/>
              </w:rPr>
            </w:pPr>
            <w:r w:rsidRPr="006F195B">
              <w:rPr>
                <w:lang w:eastAsia="zh-CN"/>
              </w:rPr>
              <w:t>MSFT</w:t>
            </w:r>
          </w:p>
        </w:tc>
        <w:tc>
          <w:tcPr>
            <w:tcW w:w="1296" w:type="dxa"/>
            <w:noWrap/>
            <w:vAlign w:val="center"/>
            <w:hideMark/>
          </w:tcPr>
          <w:p w14:paraId="5E74C0C7" w14:textId="77777777" w:rsidR="006F195B" w:rsidRPr="006F195B" w:rsidRDefault="006F195B" w:rsidP="006F195B">
            <w:pPr>
              <w:jc w:val="center"/>
              <w:rPr>
                <w:lang w:eastAsia="zh-CN"/>
              </w:rPr>
            </w:pPr>
            <w:r w:rsidRPr="006F195B">
              <w:rPr>
                <w:lang w:eastAsia="zh-CN"/>
              </w:rPr>
              <w:t>ULTA</w:t>
            </w:r>
          </w:p>
        </w:tc>
      </w:tr>
      <w:tr w:rsidR="006F195B" w:rsidRPr="006F195B" w14:paraId="41431A47" w14:textId="77777777" w:rsidTr="006F195B">
        <w:trPr>
          <w:trHeight w:val="432"/>
          <w:jc w:val="center"/>
        </w:trPr>
        <w:tc>
          <w:tcPr>
            <w:tcW w:w="1296" w:type="dxa"/>
            <w:noWrap/>
            <w:vAlign w:val="center"/>
            <w:hideMark/>
          </w:tcPr>
          <w:p w14:paraId="6EA136B0" w14:textId="77777777" w:rsidR="006F195B" w:rsidRPr="006F195B" w:rsidRDefault="006F195B" w:rsidP="006F195B">
            <w:pPr>
              <w:jc w:val="center"/>
              <w:rPr>
                <w:lang w:eastAsia="zh-CN"/>
              </w:rPr>
            </w:pPr>
            <w:r w:rsidRPr="006F195B">
              <w:rPr>
                <w:lang w:eastAsia="zh-CN"/>
              </w:rPr>
              <w:t>ADP</w:t>
            </w:r>
          </w:p>
        </w:tc>
        <w:tc>
          <w:tcPr>
            <w:tcW w:w="1296" w:type="dxa"/>
            <w:noWrap/>
            <w:vAlign w:val="center"/>
            <w:hideMark/>
          </w:tcPr>
          <w:p w14:paraId="39BBF18D" w14:textId="77777777" w:rsidR="006F195B" w:rsidRPr="006F195B" w:rsidRDefault="006F195B" w:rsidP="006F195B">
            <w:pPr>
              <w:jc w:val="center"/>
              <w:rPr>
                <w:lang w:eastAsia="zh-CN"/>
              </w:rPr>
            </w:pPr>
            <w:r w:rsidRPr="006F195B">
              <w:rPr>
                <w:lang w:eastAsia="zh-CN"/>
              </w:rPr>
              <w:t>EXPE</w:t>
            </w:r>
          </w:p>
        </w:tc>
        <w:tc>
          <w:tcPr>
            <w:tcW w:w="1296" w:type="dxa"/>
            <w:noWrap/>
            <w:vAlign w:val="center"/>
            <w:hideMark/>
          </w:tcPr>
          <w:p w14:paraId="7A2E928C" w14:textId="77777777" w:rsidR="006F195B" w:rsidRPr="006F195B" w:rsidRDefault="006F195B" w:rsidP="006F195B">
            <w:pPr>
              <w:jc w:val="center"/>
              <w:rPr>
                <w:lang w:eastAsia="zh-CN"/>
              </w:rPr>
            </w:pPr>
            <w:r w:rsidRPr="006F195B">
              <w:rPr>
                <w:lang w:eastAsia="zh-CN"/>
              </w:rPr>
              <w:t>MDLZ</w:t>
            </w:r>
          </w:p>
        </w:tc>
        <w:tc>
          <w:tcPr>
            <w:tcW w:w="1296" w:type="dxa"/>
            <w:noWrap/>
            <w:vAlign w:val="center"/>
            <w:hideMark/>
          </w:tcPr>
          <w:p w14:paraId="67B90D60" w14:textId="77777777" w:rsidR="006F195B" w:rsidRPr="006F195B" w:rsidRDefault="006F195B" w:rsidP="006F195B">
            <w:pPr>
              <w:jc w:val="center"/>
              <w:rPr>
                <w:lang w:eastAsia="zh-CN"/>
              </w:rPr>
            </w:pPr>
            <w:r w:rsidRPr="006F195B">
              <w:rPr>
                <w:lang w:eastAsia="zh-CN"/>
              </w:rPr>
              <w:t>VRSN</w:t>
            </w:r>
          </w:p>
        </w:tc>
      </w:tr>
      <w:tr w:rsidR="006F195B" w:rsidRPr="006F195B" w14:paraId="711D5DC3" w14:textId="77777777" w:rsidTr="006F195B">
        <w:trPr>
          <w:trHeight w:val="432"/>
          <w:jc w:val="center"/>
        </w:trPr>
        <w:tc>
          <w:tcPr>
            <w:tcW w:w="1296" w:type="dxa"/>
            <w:noWrap/>
            <w:vAlign w:val="center"/>
            <w:hideMark/>
          </w:tcPr>
          <w:p w14:paraId="4654000B" w14:textId="77777777" w:rsidR="006F195B" w:rsidRPr="006F195B" w:rsidRDefault="006F195B" w:rsidP="006F195B">
            <w:pPr>
              <w:jc w:val="center"/>
              <w:rPr>
                <w:lang w:eastAsia="zh-CN"/>
              </w:rPr>
            </w:pPr>
            <w:r w:rsidRPr="006F195B">
              <w:rPr>
                <w:lang w:eastAsia="zh-CN"/>
              </w:rPr>
              <w:t>BIDU</w:t>
            </w:r>
          </w:p>
        </w:tc>
        <w:tc>
          <w:tcPr>
            <w:tcW w:w="1296" w:type="dxa"/>
            <w:noWrap/>
            <w:vAlign w:val="center"/>
            <w:hideMark/>
          </w:tcPr>
          <w:p w14:paraId="1F926F34" w14:textId="77777777" w:rsidR="006F195B" w:rsidRPr="006F195B" w:rsidRDefault="006F195B" w:rsidP="006F195B">
            <w:pPr>
              <w:jc w:val="center"/>
              <w:rPr>
                <w:lang w:eastAsia="zh-CN"/>
              </w:rPr>
            </w:pPr>
            <w:r w:rsidRPr="006F195B">
              <w:rPr>
                <w:lang w:eastAsia="zh-CN"/>
              </w:rPr>
              <w:t>FAST</w:t>
            </w:r>
          </w:p>
        </w:tc>
        <w:tc>
          <w:tcPr>
            <w:tcW w:w="1296" w:type="dxa"/>
            <w:noWrap/>
            <w:vAlign w:val="center"/>
            <w:hideMark/>
          </w:tcPr>
          <w:p w14:paraId="4FC0E320" w14:textId="77777777" w:rsidR="006F195B" w:rsidRPr="006F195B" w:rsidRDefault="006F195B" w:rsidP="006F195B">
            <w:pPr>
              <w:jc w:val="center"/>
              <w:rPr>
                <w:lang w:eastAsia="zh-CN"/>
              </w:rPr>
            </w:pPr>
            <w:r w:rsidRPr="006F195B">
              <w:rPr>
                <w:lang w:eastAsia="zh-CN"/>
              </w:rPr>
              <w:t>MNST</w:t>
            </w:r>
          </w:p>
        </w:tc>
        <w:tc>
          <w:tcPr>
            <w:tcW w:w="1296" w:type="dxa"/>
            <w:noWrap/>
            <w:vAlign w:val="center"/>
            <w:hideMark/>
          </w:tcPr>
          <w:p w14:paraId="35D6162C" w14:textId="77777777" w:rsidR="006F195B" w:rsidRPr="006F195B" w:rsidRDefault="006F195B" w:rsidP="006F195B">
            <w:pPr>
              <w:jc w:val="center"/>
              <w:rPr>
                <w:lang w:eastAsia="zh-CN"/>
              </w:rPr>
            </w:pPr>
            <w:r w:rsidRPr="006F195B">
              <w:rPr>
                <w:lang w:eastAsia="zh-CN"/>
              </w:rPr>
              <w:t>VRSK</w:t>
            </w:r>
          </w:p>
        </w:tc>
      </w:tr>
      <w:tr w:rsidR="006F195B" w:rsidRPr="006F195B" w14:paraId="232CC32C" w14:textId="77777777" w:rsidTr="006F195B">
        <w:trPr>
          <w:trHeight w:val="432"/>
          <w:jc w:val="center"/>
        </w:trPr>
        <w:tc>
          <w:tcPr>
            <w:tcW w:w="1296" w:type="dxa"/>
            <w:noWrap/>
            <w:vAlign w:val="center"/>
            <w:hideMark/>
          </w:tcPr>
          <w:p w14:paraId="0EA3027F" w14:textId="77777777" w:rsidR="006F195B" w:rsidRPr="006F195B" w:rsidRDefault="006F195B" w:rsidP="006F195B">
            <w:pPr>
              <w:jc w:val="center"/>
              <w:rPr>
                <w:lang w:eastAsia="zh-CN"/>
              </w:rPr>
            </w:pPr>
            <w:r w:rsidRPr="006F195B">
              <w:rPr>
                <w:lang w:eastAsia="zh-CN"/>
              </w:rPr>
              <w:t>BIIB</w:t>
            </w:r>
          </w:p>
        </w:tc>
        <w:tc>
          <w:tcPr>
            <w:tcW w:w="1296" w:type="dxa"/>
            <w:noWrap/>
            <w:vAlign w:val="center"/>
            <w:hideMark/>
          </w:tcPr>
          <w:p w14:paraId="1EA370F8" w14:textId="77777777" w:rsidR="006F195B" w:rsidRPr="006F195B" w:rsidRDefault="006F195B" w:rsidP="006F195B">
            <w:pPr>
              <w:jc w:val="center"/>
              <w:rPr>
                <w:lang w:eastAsia="zh-CN"/>
              </w:rPr>
            </w:pPr>
            <w:r w:rsidRPr="006F195B">
              <w:rPr>
                <w:lang w:eastAsia="zh-CN"/>
              </w:rPr>
              <w:t>FISV</w:t>
            </w:r>
          </w:p>
        </w:tc>
        <w:tc>
          <w:tcPr>
            <w:tcW w:w="1296" w:type="dxa"/>
            <w:noWrap/>
            <w:vAlign w:val="center"/>
            <w:hideMark/>
          </w:tcPr>
          <w:p w14:paraId="7F31A1B9" w14:textId="77777777" w:rsidR="006F195B" w:rsidRPr="006F195B" w:rsidRDefault="006F195B" w:rsidP="006F195B">
            <w:pPr>
              <w:jc w:val="center"/>
              <w:rPr>
                <w:lang w:eastAsia="zh-CN"/>
              </w:rPr>
            </w:pPr>
            <w:r w:rsidRPr="006F195B">
              <w:rPr>
                <w:lang w:eastAsia="zh-CN"/>
              </w:rPr>
              <w:t>NTES</w:t>
            </w:r>
          </w:p>
        </w:tc>
        <w:tc>
          <w:tcPr>
            <w:tcW w:w="1296" w:type="dxa"/>
            <w:noWrap/>
            <w:vAlign w:val="center"/>
            <w:hideMark/>
          </w:tcPr>
          <w:p w14:paraId="2E1628EC" w14:textId="77777777" w:rsidR="006F195B" w:rsidRPr="006F195B" w:rsidRDefault="006F195B" w:rsidP="006F195B">
            <w:pPr>
              <w:jc w:val="center"/>
              <w:rPr>
                <w:lang w:eastAsia="zh-CN"/>
              </w:rPr>
            </w:pPr>
            <w:r w:rsidRPr="006F195B">
              <w:rPr>
                <w:lang w:eastAsia="zh-CN"/>
              </w:rPr>
              <w:t>WBA</w:t>
            </w:r>
          </w:p>
        </w:tc>
      </w:tr>
      <w:tr w:rsidR="006F195B" w:rsidRPr="006F195B" w14:paraId="668FCF9A" w14:textId="77777777" w:rsidTr="006F195B">
        <w:trPr>
          <w:trHeight w:val="432"/>
          <w:jc w:val="center"/>
        </w:trPr>
        <w:tc>
          <w:tcPr>
            <w:tcW w:w="1296" w:type="dxa"/>
            <w:noWrap/>
            <w:vAlign w:val="center"/>
            <w:hideMark/>
          </w:tcPr>
          <w:p w14:paraId="074835DF" w14:textId="77777777" w:rsidR="006F195B" w:rsidRPr="006F195B" w:rsidRDefault="006F195B" w:rsidP="006F195B">
            <w:pPr>
              <w:jc w:val="center"/>
              <w:rPr>
                <w:lang w:eastAsia="zh-CN"/>
              </w:rPr>
            </w:pPr>
            <w:r w:rsidRPr="006F195B">
              <w:rPr>
                <w:lang w:eastAsia="zh-CN"/>
              </w:rPr>
              <w:t>BKNG</w:t>
            </w:r>
          </w:p>
        </w:tc>
        <w:tc>
          <w:tcPr>
            <w:tcW w:w="1296" w:type="dxa"/>
            <w:noWrap/>
            <w:vAlign w:val="center"/>
            <w:hideMark/>
          </w:tcPr>
          <w:p w14:paraId="7847590A" w14:textId="77777777" w:rsidR="006F195B" w:rsidRPr="006F195B" w:rsidRDefault="006F195B" w:rsidP="006F195B">
            <w:pPr>
              <w:jc w:val="center"/>
              <w:rPr>
                <w:lang w:eastAsia="zh-CN"/>
              </w:rPr>
            </w:pPr>
            <w:r w:rsidRPr="006F195B">
              <w:rPr>
                <w:lang w:eastAsia="zh-CN"/>
              </w:rPr>
              <w:t>GILD</w:t>
            </w:r>
          </w:p>
        </w:tc>
        <w:tc>
          <w:tcPr>
            <w:tcW w:w="1296" w:type="dxa"/>
            <w:noWrap/>
            <w:vAlign w:val="center"/>
            <w:hideMark/>
          </w:tcPr>
          <w:p w14:paraId="642FDB34" w14:textId="77777777" w:rsidR="006F195B" w:rsidRPr="006F195B" w:rsidRDefault="006F195B" w:rsidP="006F195B">
            <w:pPr>
              <w:jc w:val="center"/>
              <w:rPr>
                <w:lang w:eastAsia="zh-CN"/>
              </w:rPr>
            </w:pPr>
            <w:r w:rsidRPr="006F195B">
              <w:rPr>
                <w:lang w:eastAsia="zh-CN"/>
              </w:rPr>
              <w:t>NFLX</w:t>
            </w:r>
          </w:p>
        </w:tc>
        <w:tc>
          <w:tcPr>
            <w:tcW w:w="1296" w:type="dxa"/>
            <w:noWrap/>
            <w:vAlign w:val="center"/>
            <w:hideMark/>
          </w:tcPr>
          <w:p w14:paraId="1AF93C6D" w14:textId="77777777" w:rsidR="006F195B" w:rsidRPr="006F195B" w:rsidRDefault="006F195B" w:rsidP="006F195B">
            <w:pPr>
              <w:jc w:val="center"/>
              <w:rPr>
                <w:lang w:eastAsia="zh-CN"/>
              </w:rPr>
            </w:pPr>
            <w:r w:rsidRPr="006F195B">
              <w:rPr>
                <w:lang w:eastAsia="zh-CN"/>
              </w:rPr>
              <w:t>XEL</w:t>
            </w:r>
          </w:p>
        </w:tc>
      </w:tr>
      <w:tr w:rsidR="006F195B" w:rsidRPr="006F195B" w14:paraId="71C1F74B" w14:textId="77777777" w:rsidTr="006F195B">
        <w:trPr>
          <w:trHeight w:val="432"/>
          <w:jc w:val="center"/>
        </w:trPr>
        <w:tc>
          <w:tcPr>
            <w:tcW w:w="1296" w:type="dxa"/>
            <w:noWrap/>
            <w:vAlign w:val="center"/>
            <w:hideMark/>
          </w:tcPr>
          <w:p w14:paraId="361C3504" w14:textId="77777777" w:rsidR="006F195B" w:rsidRPr="006F195B" w:rsidRDefault="006F195B" w:rsidP="006F195B">
            <w:pPr>
              <w:jc w:val="center"/>
              <w:rPr>
                <w:lang w:eastAsia="zh-CN"/>
              </w:rPr>
            </w:pPr>
            <w:r w:rsidRPr="006F195B">
              <w:rPr>
                <w:lang w:eastAsia="zh-CN"/>
              </w:rPr>
              <w:t>AVGO</w:t>
            </w:r>
          </w:p>
        </w:tc>
        <w:tc>
          <w:tcPr>
            <w:tcW w:w="1296" w:type="dxa"/>
            <w:noWrap/>
            <w:vAlign w:val="center"/>
            <w:hideMark/>
          </w:tcPr>
          <w:p w14:paraId="732AADC5" w14:textId="77777777" w:rsidR="006F195B" w:rsidRPr="006F195B" w:rsidRDefault="006F195B" w:rsidP="006F195B">
            <w:pPr>
              <w:jc w:val="center"/>
              <w:rPr>
                <w:lang w:eastAsia="zh-CN"/>
              </w:rPr>
            </w:pPr>
            <w:r w:rsidRPr="006F195B">
              <w:rPr>
                <w:lang w:eastAsia="zh-CN"/>
              </w:rPr>
              <w:t>IDXX</w:t>
            </w:r>
          </w:p>
        </w:tc>
        <w:tc>
          <w:tcPr>
            <w:tcW w:w="1296" w:type="dxa"/>
            <w:noWrap/>
            <w:vAlign w:val="center"/>
            <w:hideMark/>
          </w:tcPr>
          <w:p w14:paraId="47595E2B" w14:textId="77777777" w:rsidR="006F195B" w:rsidRPr="006F195B" w:rsidRDefault="006F195B" w:rsidP="006F195B">
            <w:pPr>
              <w:jc w:val="center"/>
              <w:rPr>
                <w:lang w:eastAsia="zh-CN"/>
              </w:rPr>
            </w:pPr>
            <w:r w:rsidRPr="006F195B">
              <w:rPr>
                <w:lang w:eastAsia="zh-CN"/>
              </w:rPr>
              <w:t>NVDA</w:t>
            </w:r>
          </w:p>
        </w:tc>
        <w:tc>
          <w:tcPr>
            <w:tcW w:w="1296" w:type="dxa"/>
            <w:noWrap/>
            <w:vAlign w:val="center"/>
            <w:hideMark/>
          </w:tcPr>
          <w:p w14:paraId="4A7E7E59" w14:textId="77777777" w:rsidR="006F195B" w:rsidRPr="006F195B" w:rsidRDefault="006F195B" w:rsidP="006F195B">
            <w:pPr>
              <w:jc w:val="center"/>
              <w:rPr>
                <w:lang w:eastAsia="zh-CN"/>
              </w:rPr>
            </w:pPr>
            <w:r w:rsidRPr="006F195B">
              <w:rPr>
                <w:lang w:eastAsia="zh-CN"/>
              </w:rPr>
              <w:t>XLNX</w:t>
            </w:r>
          </w:p>
        </w:tc>
      </w:tr>
      <w:tr w:rsidR="006F195B" w:rsidRPr="006F195B" w14:paraId="5DE76789" w14:textId="77777777" w:rsidTr="006F195B">
        <w:trPr>
          <w:trHeight w:val="432"/>
          <w:jc w:val="center"/>
        </w:trPr>
        <w:tc>
          <w:tcPr>
            <w:tcW w:w="1296" w:type="dxa"/>
            <w:noWrap/>
            <w:vAlign w:val="center"/>
            <w:hideMark/>
          </w:tcPr>
          <w:p w14:paraId="3938E5B8" w14:textId="77777777" w:rsidR="006F195B" w:rsidRPr="006F195B" w:rsidRDefault="006F195B" w:rsidP="006F195B">
            <w:pPr>
              <w:jc w:val="center"/>
              <w:rPr>
                <w:lang w:eastAsia="zh-CN"/>
              </w:rPr>
            </w:pPr>
            <w:r w:rsidRPr="006F195B">
              <w:rPr>
                <w:lang w:eastAsia="zh-CN"/>
              </w:rPr>
              <w:t>CDNS</w:t>
            </w:r>
          </w:p>
        </w:tc>
        <w:tc>
          <w:tcPr>
            <w:tcW w:w="1296" w:type="dxa"/>
            <w:noWrap/>
            <w:vAlign w:val="center"/>
            <w:hideMark/>
          </w:tcPr>
          <w:p w14:paraId="56D185DB" w14:textId="77777777" w:rsidR="006F195B" w:rsidRPr="006F195B" w:rsidRDefault="006F195B" w:rsidP="006F195B">
            <w:pPr>
              <w:jc w:val="center"/>
              <w:rPr>
                <w:lang w:eastAsia="zh-CN"/>
              </w:rPr>
            </w:pPr>
            <w:r w:rsidRPr="006F195B">
              <w:rPr>
                <w:lang w:eastAsia="zh-CN"/>
              </w:rPr>
              <w:t>ILMN</w:t>
            </w:r>
          </w:p>
        </w:tc>
        <w:tc>
          <w:tcPr>
            <w:tcW w:w="1296" w:type="dxa"/>
            <w:noWrap/>
            <w:vAlign w:val="center"/>
            <w:hideMark/>
          </w:tcPr>
          <w:p w14:paraId="3F08FD5F" w14:textId="77777777" w:rsidR="006F195B" w:rsidRPr="006F195B" w:rsidRDefault="006F195B" w:rsidP="006F195B">
            <w:pPr>
              <w:jc w:val="center"/>
              <w:rPr>
                <w:lang w:eastAsia="zh-CN"/>
              </w:rPr>
            </w:pPr>
            <w:r w:rsidRPr="006F195B">
              <w:rPr>
                <w:lang w:eastAsia="zh-CN"/>
              </w:rPr>
              <w:t>ORLY</w:t>
            </w:r>
          </w:p>
        </w:tc>
        <w:tc>
          <w:tcPr>
            <w:tcW w:w="1296" w:type="dxa"/>
            <w:noWrap/>
            <w:vAlign w:val="center"/>
            <w:hideMark/>
          </w:tcPr>
          <w:p w14:paraId="56ED050B" w14:textId="77777777" w:rsidR="006F195B" w:rsidRPr="006F195B" w:rsidRDefault="006F195B" w:rsidP="006F195B">
            <w:pPr>
              <w:jc w:val="center"/>
              <w:rPr>
                <w:lang w:eastAsia="zh-CN"/>
              </w:rPr>
            </w:pPr>
          </w:p>
        </w:tc>
      </w:tr>
      <w:tr w:rsidR="006F195B" w:rsidRPr="006F195B" w14:paraId="245C23ED" w14:textId="77777777" w:rsidTr="006F195B">
        <w:trPr>
          <w:trHeight w:val="432"/>
          <w:jc w:val="center"/>
        </w:trPr>
        <w:tc>
          <w:tcPr>
            <w:tcW w:w="1296" w:type="dxa"/>
            <w:noWrap/>
            <w:vAlign w:val="center"/>
            <w:hideMark/>
          </w:tcPr>
          <w:p w14:paraId="117BEC3B" w14:textId="77777777" w:rsidR="006F195B" w:rsidRPr="006F195B" w:rsidRDefault="006F195B" w:rsidP="006F195B">
            <w:pPr>
              <w:jc w:val="center"/>
              <w:rPr>
                <w:lang w:eastAsia="zh-CN"/>
              </w:rPr>
            </w:pPr>
            <w:r w:rsidRPr="006F195B">
              <w:rPr>
                <w:lang w:eastAsia="zh-CN"/>
              </w:rPr>
              <w:t>CERN</w:t>
            </w:r>
          </w:p>
        </w:tc>
        <w:tc>
          <w:tcPr>
            <w:tcW w:w="1296" w:type="dxa"/>
            <w:noWrap/>
            <w:vAlign w:val="center"/>
            <w:hideMark/>
          </w:tcPr>
          <w:p w14:paraId="5A2257C4" w14:textId="77777777" w:rsidR="006F195B" w:rsidRPr="006F195B" w:rsidRDefault="006F195B" w:rsidP="006F195B">
            <w:pPr>
              <w:jc w:val="center"/>
              <w:rPr>
                <w:lang w:eastAsia="zh-CN"/>
              </w:rPr>
            </w:pPr>
            <w:r w:rsidRPr="006F195B">
              <w:rPr>
                <w:lang w:eastAsia="zh-CN"/>
              </w:rPr>
              <w:t>INCY</w:t>
            </w:r>
          </w:p>
        </w:tc>
        <w:tc>
          <w:tcPr>
            <w:tcW w:w="1296" w:type="dxa"/>
            <w:noWrap/>
            <w:vAlign w:val="center"/>
            <w:hideMark/>
          </w:tcPr>
          <w:p w14:paraId="728DED37" w14:textId="77777777" w:rsidR="006F195B" w:rsidRPr="006F195B" w:rsidRDefault="006F195B" w:rsidP="006F195B">
            <w:pPr>
              <w:jc w:val="center"/>
              <w:rPr>
                <w:lang w:eastAsia="zh-CN"/>
              </w:rPr>
            </w:pPr>
            <w:r w:rsidRPr="006F195B">
              <w:rPr>
                <w:lang w:eastAsia="zh-CN"/>
              </w:rPr>
              <w:t>PCAR</w:t>
            </w:r>
          </w:p>
        </w:tc>
        <w:tc>
          <w:tcPr>
            <w:tcW w:w="1296" w:type="dxa"/>
            <w:noWrap/>
            <w:vAlign w:val="center"/>
            <w:hideMark/>
          </w:tcPr>
          <w:p w14:paraId="49D25037" w14:textId="77777777" w:rsidR="006F195B" w:rsidRPr="006F195B" w:rsidRDefault="006F195B" w:rsidP="006F195B">
            <w:pPr>
              <w:jc w:val="center"/>
              <w:rPr>
                <w:lang w:eastAsia="zh-CN"/>
              </w:rPr>
            </w:pPr>
          </w:p>
        </w:tc>
      </w:tr>
      <w:tr w:rsidR="006F195B" w:rsidRPr="006F195B" w14:paraId="5027DD2C" w14:textId="77777777" w:rsidTr="006F195B">
        <w:trPr>
          <w:trHeight w:val="432"/>
          <w:jc w:val="center"/>
        </w:trPr>
        <w:tc>
          <w:tcPr>
            <w:tcW w:w="1296" w:type="dxa"/>
            <w:noWrap/>
            <w:vAlign w:val="center"/>
            <w:hideMark/>
          </w:tcPr>
          <w:p w14:paraId="7DDAFBAF" w14:textId="77777777" w:rsidR="006F195B" w:rsidRPr="006F195B" w:rsidRDefault="006F195B" w:rsidP="006F195B">
            <w:pPr>
              <w:jc w:val="center"/>
              <w:rPr>
                <w:lang w:eastAsia="zh-CN"/>
              </w:rPr>
            </w:pPr>
            <w:r w:rsidRPr="006F195B">
              <w:rPr>
                <w:lang w:eastAsia="zh-CN"/>
              </w:rPr>
              <w:t>CHKP</w:t>
            </w:r>
          </w:p>
        </w:tc>
        <w:tc>
          <w:tcPr>
            <w:tcW w:w="1296" w:type="dxa"/>
            <w:noWrap/>
            <w:vAlign w:val="center"/>
            <w:hideMark/>
          </w:tcPr>
          <w:p w14:paraId="54F65871" w14:textId="77777777" w:rsidR="006F195B" w:rsidRPr="006F195B" w:rsidRDefault="006F195B" w:rsidP="006F195B">
            <w:pPr>
              <w:jc w:val="center"/>
              <w:rPr>
                <w:lang w:eastAsia="zh-CN"/>
              </w:rPr>
            </w:pPr>
            <w:r w:rsidRPr="006F195B">
              <w:rPr>
                <w:lang w:eastAsia="zh-CN"/>
              </w:rPr>
              <w:t>INTC</w:t>
            </w:r>
          </w:p>
        </w:tc>
        <w:tc>
          <w:tcPr>
            <w:tcW w:w="1296" w:type="dxa"/>
            <w:noWrap/>
            <w:vAlign w:val="center"/>
            <w:hideMark/>
          </w:tcPr>
          <w:p w14:paraId="09ABC83D" w14:textId="77777777" w:rsidR="006F195B" w:rsidRPr="006F195B" w:rsidRDefault="006F195B" w:rsidP="006F195B">
            <w:pPr>
              <w:jc w:val="center"/>
              <w:rPr>
                <w:lang w:eastAsia="zh-CN"/>
              </w:rPr>
            </w:pPr>
            <w:r w:rsidRPr="006F195B">
              <w:rPr>
                <w:lang w:eastAsia="zh-CN"/>
              </w:rPr>
              <w:t>PAYX</w:t>
            </w:r>
          </w:p>
        </w:tc>
        <w:tc>
          <w:tcPr>
            <w:tcW w:w="1296" w:type="dxa"/>
            <w:noWrap/>
            <w:vAlign w:val="center"/>
            <w:hideMark/>
          </w:tcPr>
          <w:p w14:paraId="1E2D6FD4" w14:textId="77777777" w:rsidR="006F195B" w:rsidRPr="006F195B" w:rsidRDefault="006F195B" w:rsidP="006F195B">
            <w:pPr>
              <w:jc w:val="center"/>
              <w:rPr>
                <w:lang w:eastAsia="zh-CN"/>
              </w:rPr>
            </w:pPr>
          </w:p>
        </w:tc>
      </w:tr>
    </w:tbl>
    <w:p w14:paraId="33987E9C" w14:textId="3C3EAB29" w:rsidR="00EF6842" w:rsidRDefault="00C87A91" w:rsidP="007803C2">
      <w:pPr>
        <w:pStyle w:val="AppendixTable"/>
      </w:pPr>
      <w:r>
        <w:t>Tickers of Universe of Stocks Considered in the Strategy</w:t>
      </w:r>
    </w:p>
    <w:p w14:paraId="4B391D22" w14:textId="691F8800" w:rsidR="00C87A91" w:rsidRDefault="00C87A91" w:rsidP="007803C2">
      <w:pPr>
        <w:pStyle w:val="AppendixTable"/>
        <w:numPr>
          <w:ilvl w:val="0"/>
          <w:numId w:val="0"/>
        </w:numPr>
        <w:ind w:left="1080"/>
      </w:pPr>
    </w:p>
    <w:p w14:paraId="79B1625B" w14:textId="25172EA7" w:rsidR="00C87A91" w:rsidRDefault="00C87A91">
      <w:r>
        <w:br w:type="page"/>
      </w:r>
    </w:p>
    <w:p w14:paraId="32AA82E1" w14:textId="77777777" w:rsidR="007803C2" w:rsidRDefault="007803C2" w:rsidP="00C87A91">
      <w:pPr>
        <w:sectPr w:rsidR="007803C2" w:rsidSect="0011350D">
          <w:headerReference w:type="default" r:id="rId11"/>
          <w:headerReference w:type="first" r:id="rId12"/>
          <w:footnotePr>
            <w:pos w:val="beneathText"/>
          </w:footnotePr>
          <w:pgSz w:w="12240" w:h="15840"/>
          <w:pgMar w:top="1440" w:right="1440" w:bottom="1440" w:left="1440" w:header="720" w:footer="720" w:gutter="0"/>
          <w:pgNumType w:start="0"/>
          <w:cols w:space="720"/>
          <w:titlePg/>
          <w:docGrid w:linePitch="360"/>
          <w15:footnoteColumns w:val="1"/>
        </w:sectPr>
      </w:pPr>
    </w:p>
    <w:tbl>
      <w:tblPr>
        <w:tblStyle w:val="PlainTable3"/>
        <w:tblW w:w="13050" w:type="dxa"/>
        <w:tblInd w:w="-90" w:type="dxa"/>
        <w:tblLayout w:type="fixed"/>
        <w:tblLook w:val="04A0" w:firstRow="1" w:lastRow="0" w:firstColumn="1" w:lastColumn="0" w:noHBand="0" w:noVBand="1"/>
      </w:tblPr>
      <w:tblGrid>
        <w:gridCol w:w="783"/>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747"/>
      </w:tblGrid>
      <w:tr w:rsidR="007803C2" w:rsidRPr="007803C2" w14:paraId="398E73F4" w14:textId="77777777" w:rsidTr="007803C2">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783" w:type="dxa"/>
            <w:noWrap/>
            <w:hideMark/>
          </w:tcPr>
          <w:p w14:paraId="45106D02" w14:textId="77777777" w:rsidR="007803C2" w:rsidRPr="007803C2" w:rsidRDefault="007803C2" w:rsidP="007803C2">
            <w:pPr>
              <w:ind w:firstLine="0"/>
              <w:jc w:val="center"/>
              <w:rPr>
                <w:rFonts w:ascii="Times New Roman" w:eastAsia="Times New Roman" w:hAnsi="Times New Roman" w:cs="Times New Roman"/>
                <w:kern w:val="0"/>
                <w:sz w:val="12"/>
                <w:szCs w:val="12"/>
                <w:lang w:eastAsia="zh-CN"/>
              </w:rPr>
            </w:pPr>
          </w:p>
        </w:tc>
        <w:tc>
          <w:tcPr>
            <w:tcW w:w="576" w:type="dxa"/>
            <w:noWrap/>
            <w:hideMark/>
          </w:tcPr>
          <w:p w14:paraId="2232C9AF"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AO</w:t>
            </w:r>
          </w:p>
        </w:tc>
        <w:tc>
          <w:tcPr>
            <w:tcW w:w="576" w:type="dxa"/>
            <w:noWrap/>
            <w:hideMark/>
          </w:tcPr>
          <w:p w14:paraId="116FFDE4"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KAMA</w:t>
            </w:r>
          </w:p>
        </w:tc>
        <w:tc>
          <w:tcPr>
            <w:tcW w:w="576" w:type="dxa"/>
            <w:noWrap/>
            <w:hideMark/>
          </w:tcPr>
          <w:p w14:paraId="106BD9F7"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PPO</w:t>
            </w:r>
          </w:p>
        </w:tc>
        <w:tc>
          <w:tcPr>
            <w:tcW w:w="576" w:type="dxa"/>
            <w:noWrap/>
            <w:hideMark/>
          </w:tcPr>
          <w:p w14:paraId="14958CCF"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RSI</w:t>
            </w:r>
          </w:p>
        </w:tc>
        <w:tc>
          <w:tcPr>
            <w:tcW w:w="576" w:type="dxa"/>
            <w:noWrap/>
            <w:hideMark/>
          </w:tcPr>
          <w:p w14:paraId="48479DE4"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SO</w:t>
            </w:r>
          </w:p>
        </w:tc>
        <w:tc>
          <w:tcPr>
            <w:tcW w:w="576" w:type="dxa"/>
            <w:noWrap/>
            <w:hideMark/>
          </w:tcPr>
          <w:p w14:paraId="7E81129C"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ADI</w:t>
            </w:r>
          </w:p>
        </w:tc>
        <w:tc>
          <w:tcPr>
            <w:tcW w:w="576" w:type="dxa"/>
            <w:noWrap/>
            <w:hideMark/>
          </w:tcPr>
          <w:p w14:paraId="38B3E242"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CMF</w:t>
            </w:r>
          </w:p>
        </w:tc>
        <w:tc>
          <w:tcPr>
            <w:tcW w:w="576" w:type="dxa"/>
            <w:noWrap/>
            <w:hideMark/>
          </w:tcPr>
          <w:p w14:paraId="67FBD3EB"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EoM</w:t>
            </w:r>
          </w:p>
        </w:tc>
        <w:tc>
          <w:tcPr>
            <w:tcW w:w="576" w:type="dxa"/>
            <w:noWrap/>
            <w:hideMark/>
          </w:tcPr>
          <w:p w14:paraId="42FDC553"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FI</w:t>
            </w:r>
          </w:p>
        </w:tc>
        <w:tc>
          <w:tcPr>
            <w:tcW w:w="576" w:type="dxa"/>
            <w:noWrap/>
            <w:hideMark/>
          </w:tcPr>
          <w:p w14:paraId="1C87CAA9"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OBV</w:t>
            </w:r>
          </w:p>
        </w:tc>
        <w:tc>
          <w:tcPr>
            <w:tcW w:w="576" w:type="dxa"/>
            <w:noWrap/>
            <w:hideMark/>
          </w:tcPr>
          <w:p w14:paraId="20767024"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UI</w:t>
            </w:r>
          </w:p>
        </w:tc>
        <w:tc>
          <w:tcPr>
            <w:tcW w:w="576" w:type="dxa"/>
            <w:noWrap/>
            <w:hideMark/>
          </w:tcPr>
          <w:p w14:paraId="7AB8D823"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ATR</w:t>
            </w:r>
          </w:p>
        </w:tc>
        <w:tc>
          <w:tcPr>
            <w:tcW w:w="576" w:type="dxa"/>
            <w:noWrap/>
            <w:hideMark/>
          </w:tcPr>
          <w:p w14:paraId="2048A65C"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BB</w:t>
            </w:r>
          </w:p>
        </w:tc>
        <w:tc>
          <w:tcPr>
            <w:tcW w:w="576" w:type="dxa"/>
            <w:noWrap/>
            <w:hideMark/>
          </w:tcPr>
          <w:p w14:paraId="1E22E3C7"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DC</w:t>
            </w:r>
          </w:p>
        </w:tc>
        <w:tc>
          <w:tcPr>
            <w:tcW w:w="576" w:type="dxa"/>
            <w:noWrap/>
            <w:hideMark/>
          </w:tcPr>
          <w:p w14:paraId="3B89004A"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KC</w:t>
            </w:r>
          </w:p>
        </w:tc>
        <w:tc>
          <w:tcPr>
            <w:tcW w:w="576" w:type="dxa"/>
            <w:noWrap/>
            <w:hideMark/>
          </w:tcPr>
          <w:p w14:paraId="11DCFD2A"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ADX</w:t>
            </w:r>
          </w:p>
        </w:tc>
        <w:tc>
          <w:tcPr>
            <w:tcW w:w="576" w:type="dxa"/>
            <w:noWrap/>
            <w:hideMark/>
          </w:tcPr>
          <w:p w14:paraId="65E8E569"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CCI</w:t>
            </w:r>
          </w:p>
        </w:tc>
        <w:tc>
          <w:tcPr>
            <w:tcW w:w="576" w:type="dxa"/>
            <w:noWrap/>
            <w:hideMark/>
          </w:tcPr>
          <w:p w14:paraId="32B5CCFB"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DPO</w:t>
            </w:r>
          </w:p>
        </w:tc>
        <w:tc>
          <w:tcPr>
            <w:tcW w:w="576" w:type="dxa"/>
            <w:noWrap/>
            <w:hideMark/>
          </w:tcPr>
          <w:p w14:paraId="038578E0"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MACD</w:t>
            </w:r>
          </w:p>
        </w:tc>
        <w:tc>
          <w:tcPr>
            <w:tcW w:w="576" w:type="dxa"/>
            <w:noWrap/>
            <w:hideMark/>
          </w:tcPr>
          <w:p w14:paraId="327AEBFD" w14:textId="77777777"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MI</w:t>
            </w:r>
          </w:p>
        </w:tc>
        <w:tc>
          <w:tcPr>
            <w:tcW w:w="747" w:type="dxa"/>
            <w:noWrap/>
            <w:hideMark/>
          </w:tcPr>
          <w:p w14:paraId="30BC0EBF" w14:textId="0C0D09C4" w:rsidR="007803C2" w:rsidRPr="007803C2" w:rsidRDefault="007803C2" w:rsidP="007803C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Forward Returns</w:t>
            </w:r>
          </w:p>
        </w:tc>
      </w:tr>
      <w:tr w:rsidR="007803C2" w:rsidRPr="007803C2" w14:paraId="39B74072" w14:textId="77777777" w:rsidTr="007803C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290324D2"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AO</w:t>
            </w:r>
          </w:p>
        </w:tc>
        <w:tc>
          <w:tcPr>
            <w:tcW w:w="576" w:type="dxa"/>
            <w:noWrap/>
            <w:hideMark/>
          </w:tcPr>
          <w:p w14:paraId="78A8433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6A274DEC"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0.141</w:t>
            </w:r>
          </w:p>
        </w:tc>
        <w:tc>
          <w:tcPr>
            <w:tcW w:w="576" w:type="dxa"/>
            <w:noWrap/>
            <w:hideMark/>
          </w:tcPr>
          <w:p w14:paraId="00E558B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0.614</w:t>
            </w:r>
          </w:p>
        </w:tc>
        <w:tc>
          <w:tcPr>
            <w:tcW w:w="576" w:type="dxa"/>
            <w:noWrap/>
            <w:hideMark/>
          </w:tcPr>
          <w:p w14:paraId="798A03C1"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0.356</w:t>
            </w:r>
          </w:p>
        </w:tc>
        <w:tc>
          <w:tcPr>
            <w:tcW w:w="576" w:type="dxa"/>
            <w:noWrap/>
            <w:hideMark/>
          </w:tcPr>
          <w:p w14:paraId="3EBEECB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0.305</w:t>
            </w:r>
          </w:p>
        </w:tc>
        <w:tc>
          <w:tcPr>
            <w:tcW w:w="576" w:type="dxa"/>
            <w:noWrap/>
            <w:hideMark/>
          </w:tcPr>
          <w:p w14:paraId="3D8AFEC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0.031</w:t>
            </w:r>
          </w:p>
        </w:tc>
        <w:tc>
          <w:tcPr>
            <w:tcW w:w="576" w:type="dxa"/>
            <w:noWrap/>
            <w:hideMark/>
          </w:tcPr>
          <w:p w14:paraId="185C957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0.209</w:t>
            </w:r>
          </w:p>
        </w:tc>
        <w:tc>
          <w:tcPr>
            <w:tcW w:w="576" w:type="dxa"/>
            <w:noWrap/>
            <w:hideMark/>
          </w:tcPr>
          <w:p w14:paraId="32DE140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-0.066</w:t>
            </w:r>
          </w:p>
        </w:tc>
        <w:tc>
          <w:tcPr>
            <w:tcW w:w="576" w:type="dxa"/>
            <w:noWrap/>
            <w:hideMark/>
          </w:tcPr>
          <w:p w14:paraId="0CB218D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0.374</w:t>
            </w:r>
          </w:p>
        </w:tc>
        <w:tc>
          <w:tcPr>
            <w:tcW w:w="576" w:type="dxa"/>
            <w:noWrap/>
            <w:hideMark/>
          </w:tcPr>
          <w:p w14:paraId="276EFB7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0.051</w:t>
            </w:r>
          </w:p>
        </w:tc>
        <w:tc>
          <w:tcPr>
            <w:tcW w:w="576" w:type="dxa"/>
            <w:noWrap/>
            <w:hideMark/>
          </w:tcPr>
          <w:p w14:paraId="67B0FF0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-0.487</w:t>
            </w:r>
          </w:p>
        </w:tc>
        <w:tc>
          <w:tcPr>
            <w:tcW w:w="576" w:type="dxa"/>
            <w:noWrap/>
            <w:hideMark/>
          </w:tcPr>
          <w:p w14:paraId="0C33CB38"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-0.075</w:t>
            </w:r>
          </w:p>
        </w:tc>
        <w:tc>
          <w:tcPr>
            <w:tcW w:w="576" w:type="dxa"/>
            <w:noWrap/>
            <w:hideMark/>
          </w:tcPr>
          <w:p w14:paraId="3A07CE81"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0.269</w:t>
            </w:r>
          </w:p>
        </w:tc>
        <w:tc>
          <w:tcPr>
            <w:tcW w:w="576" w:type="dxa"/>
            <w:noWrap/>
            <w:hideMark/>
          </w:tcPr>
          <w:p w14:paraId="5889F651"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0.171</w:t>
            </w:r>
          </w:p>
        </w:tc>
        <w:tc>
          <w:tcPr>
            <w:tcW w:w="576" w:type="dxa"/>
            <w:noWrap/>
            <w:hideMark/>
          </w:tcPr>
          <w:p w14:paraId="3FBB57E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0.346</w:t>
            </w:r>
          </w:p>
        </w:tc>
        <w:tc>
          <w:tcPr>
            <w:tcW w:w="576" w:type="dxa"/>
            <w:noWrap/>
            <w:hideMark/>
          </w:tcPr>
          <w:p w14:paraId="1127B73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0.038</w:t>
            </w:r>
          </w:p>
        </w:tc>
        <w:tc>
          <w:tcPr>
            <w:tcW w:w="576" w:type="dxa"/>
            <w:noWrap/>
            <w:hideMark/>
          </w:tcPr>
          <w:p w14:paraId="3BABCC2F"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0.268</w:t>
            </w:r>
          </w:p>
        </w:tc>
        <w:tc>
          <w:tcPr>
            <w:tcW w:w="576" w:type="dxa"/>
            <w:noWrap/>
            <w:hideMark/>
          </w:tcPr>
          <w:p w14:paraId="48C50AC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0.192</w:t>
            </w:r>
          </w:p>
        </w:tc>
        <w:tc>
          <w:tcPr>
            <w:tcW w:w="576" w:type="dxa"/>
            <w:noWrap/>
            <w:hideMark/>
          </w:tcPr>
          <w:p w14:paraId="4A3C519C"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0.363</w:t>
            </w:r>
          </w:p>
        </w:tc>
        <w:tc>
          <w:tcPr>
            <w:tcW w:w="576" w:type="dxa"/>
            <w:noWrap/>
            <w:hideMark/>
          </w:tcPr>
          <w:p w14:paraId="0713A02C"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-0.051</w:t>
            </w:r>
          </w:p>
        </w:tc>
        <w:tc>
          <w:tcPr>
            <w:tcW w:w="747" w:type="dxa"/>
            <w:noWrap/>
            <w:hideMark/>
          </w:tcPr>
          <w:p w14:paraId="16F46AF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-0.017</w:t>
            </w:r>
          </w:p>
        </w:tc>
      </w:tr>
      <w:tr w:rsidR="007803C2" w:rsidRPr="007803C2" w14:paraId="1D315F53" w14:textId="77777777" w:rsidTr="007803C2">
        <w:trPr>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4630254A"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KAMA</w:t>
            </w:r>
          </w:p>
        </w:tc>
        <w:tc>
          <w:tcPr>
            <w:tcW w:w="576" w:type="dxa"/>
            <w:noWrap/>
            <w:hideMark/>
          </w:tcPr>
          <w:p w14:paraId="4013537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0.141</w:t>
            </w:r>
          </w:p>
        </w:tc>
        <w:tc>
          <w:tcPr>
            <w:tcW w:w="576" w:type="dxa"/>
            <w:noWrap/>
            <w:hideMark/>
          </w:tcPr>
          <w:p w14:paraId="4076A07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21F644E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0.010</w:t>
            </w:r>
          </w:p>
        </w:tc>
        <w:tc>
          <w:tcPr>
            <w:tcW w:w="576" w:type="dxa"/>
            <w:noWrap/>
            <w:hideMark/>
          </w:tcPr>
          <w:p w14:paraId="7FBE25A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0.023</w:t>
            </w:r>
          </w:p>
        </w:tc>
        <w:tc>
          <w:tcPr>
            <w:tcW w:w="576" w:type="dxa"/>
            <w:noWrap/>
            <w:hideMark/>
          </w:tcPr>
          <w:p w14:paraId="3CB8ADA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-0.031</w:t>
            </w:r>
          </w:p>
        </w:tc>
        <w:tc>
          <w:tcPr>
            <w:tcW w:w="576" w:type="dxa"/>
            <w:noWrap/>
            <w:hideMark/>
          </w:tcPr>
          <w:p w14:paraId="13E9A121"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0.626</w:t>
            </w:r>
          </w:p>
        </w:tc>
        <w:tc>
          <w:tcPr>
            <w:tcW w:w="576" w:type="dxa"/>
            <w:noWrap/>
            <w:hideMark/>
          </w:tcPr>
          <w:p w14:paraId="04D725D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0.030</w:t>
            </w:r>
          </w:p>
        </w:tc>
        <w:tc>
          <w:tcPr>
            <w:tcW w:w="576" w:type="dxa"/>
            <w:noWrap/>
            <w:hideMark/>
          </w:tcPr>
          <w:p w14:paraId="4CD35B15"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0.042</w:t>
            </w:r>
          </w:p>
        </w:tc>
        <w:tc>
          <w:tcPr>
            <w:tcW w:w="576" w:type="dxa"/>
            <w:noWrap/>
            <w:hideMark/>
          </w:tcPr>
          <w:p w14:paraId="635A146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0.022</w:t>
            </w:r>
          </w:p>
        </w:tc>
        <w:tc>
          <w:tcPr>
            <w:tcW w:w="576" w:type="dxa"/>
            <w:noWrap/>
            <w:hideMark/>
          </w:tcPr>
          <w:p w14:paraId="11CCF90D"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0.705</w:t>
            </w:r>
          </w:p>
        </w:tc>
        <w:tc>
          <w:tcPr>
            <w:tcW w:w="576" w:type="dxa"/>
            <w:noWrap/>
            <w:hideMark/>
          </w:tcPr>
          <w:p w14:paraId="7F7B2E7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-0.052</w:t>
            </w:r>
          </w:p>
        </w:tc>
        <w:tc>
          <w:tcPr>
            <w:tcW w:w="576" w:type="dxa"/>
            <w:noWrap/>
            <w:hideMark/>
          </w:tcPr>
          <w:p w14:paraId="33B203F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0.811</w:t>
            </w:r>
          </w:p>
        </w:tc>
        <w:tc>
          <w:tcPr>
            <w:tcW w:w="576" w:type="dxa"/>
            <w:noWrap/>
            <w:hideMark/>
          </w:tcPr>
          <w:p w14:paraId="4F4EDCE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0.007</w:t>
            </w:r>
          </w:p>
        </w:tc>
        <w:tc>
          <w:tcPr>
            <w:tcW w:w="576" w:type="dxa"/>
            <w:noWrap/>
            <w:hideMark/>
          </w:tcPr>
          <w:p w14:paraId="1F7CFF95"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-0.008</w:t>
            </w:r>
          </w:p>
        </w:tc>
        <w:tc>
          <w:tcPr>
            <w:tcW w:w="576" w:type="dxa"/>
            <w:noWrap/>
            <w:hideMark/>
          </w:tcPr>
          <w:p w14:paraId="1965A80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0.072</w:t>
            </w:r>
          </w:p>
        </w:tc>
        <w:tc>
          <w:tcPr>
            <w:tcW w:w="576" w:type="dxa"/>
            <w:noWrap/>
            <w:hideMark/>
          </w:tcPr>
          <w:p w14:paraId="6BED126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-0.015</w:t>
            </w:r>
          </w:p>
        </w:tc>
        <w:tc>
          <w:tcPr>
            <w:tcW w:w="576" w:type="dxa"/>
            <w:noWrap/>
            <w:hideMark/>
          </w:tcPr>
          <w:p w14:paraId="00E6DF4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0.060</w:t>
            </w:r>
          </w:p>
        </w:tc>
        <w:tc>
          <w:tcPr>
            <w:tcW w:w="576" w:type="dxa"/>
            <w:noWrap/>
            <w:hideMark/>
          </w:tcPr>
          <w:p w14:paraId="341101C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-0.018</w:t>
            </w:r>
          </w:p>
        </w:tc>
        <w:tc>
          <w:tcPr>
            <w:tcW w:w="576" w:type="dxa"/>
            <w:noWrap/>
            <w:hideMark/>
          </w:tcPr>
          <w:p w14:paraId="0B7F399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-0.049</w:t>
            </w:r>
          </w:p>
        </w:tc>
        <w:tc>
          <w:tcPr>
            <w:tcW w:w="576" w:type="dxa"/>
            <w:noWrap/>
            <w:hideMark/>
          </w:tcPr>
          <w:p w14:paraId="2AD04D1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0.050</w:t>
            </w:r>
          </w:p>
        </w:tc>
        <w:tc>
          <w:tcPr>
            <w:tcW w:w="747" w:type="dxa"/>
            <w:noWrap/>
            <w:hideMark/>
          </w:tcPr>
          <w:p w14:paraId="1429A87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-0.017</w:t>
            </w:r>
          </w:p>
        </w:tc>
      </w:tr>
      <w:tr w:rsidR="007803C2" w:rsidRPr="007803C2" w14:paraId="78818BE7" w14:textId="77777777" w:rsidTr="007803C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0A22ACD0"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PPO</w:t>
            </w:r>
          </w:p>
        </w:tc>
        <w:tc>
          <w:tcPr>
            <w:tcW w:w="576" w:type="dxa"/>
            <w:noWrap/>
            <w:hideMark/>
          </w:tcPr>
          <w:p w14:paraId="6F4C657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0.614</w:t>
            </w:r>
          </w:p>
        </w:tc>
        <w:tc>
          <w:tcPr>
            <w:tcW w:w="576" w:type="dxa"/>
            <w:noWrap/>
            <w:hideMark/>
          </w:tcPr>
          <w:p w14:paraId="60DE5E4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0.010</w:t>
            </w:r>
          </w:p>
        </w:tc>
        <w:tc>
          <w:tcPr>
            <w:tcW w:w="576" w:type="dxa"/>
            <w:noWrap/>
            <w:hideMark/>
          </w:tcPr>
          <w:p w14:paraId="4DD31D8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371FF704"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0.610</w:t>
            </w:r>
          </w:p>
        </w:tc>
        <w:tc>
          <w:tcPr>
            <w:tcW w:w="576" w:type="dxa"/>
            <w:noWrap/>
            <w:hideMark/>
          </w:tcPr>
          <w:p w14:paraId="605438C8"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0.318</w:t>
            </w:r>
          </w:p>
        </w:tc>
        <w:tc>
          <w:tcPr>
            <w:tcW w:w="576" w:type="dxa"/>
            <w:noWrap/>
            <w:hideMark/>
          </w:tcPr>
          <w:p w14:paraId="1A1332D1"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-0.012</w:t>
            </w:r>
          </w:p>
        </w:tc>
        <w:tc>
          <w:tcPr>
            <w:tcW w:w="576" w:type="dxa"/>
            <w:noWrap/>
            <w:hideMark/>
          </w:tcPr>
          <w:p w14:paraId="6D912D7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0.319</w:t>
            </w:r>
          </w:p>
        </w:tc>
        <w:tc>
          <w:tcPr>
            <w:tcW w:w="576" w:type="dxa"/>
            <w:noWrap/>
            <w:hideMark/>
          </w:tcPr>
          <w:p w14:paraId="7589977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-0.031</w:t>
            </w:r>
          </w:p>
        </w:tc>
        <w:tc>
          <w:tcPr>
            <w:tcW w:w="576" w:type="dxa"/>
            <w:noWrap/>
            <w:hideMark/>
          </w:tcPr>
          <w:p w14:paraId="3A840E9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0.303</w:t>
            </w:r>
          </w:p>
        </w:tc>
        <w:tc>
          <w:tcPr>
            <w:tcW w:w="576" w:type="dxa"/>
            <w:noWrap/>
            <w:hideMark/>
          </w:tcPr>
          <w:p w14:paraId="77307B69"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0.038</w:t>
            </w:r>
          </w:p>
        </w:tc>
        <w:tc>
          <w:tcPr>
            <w:tcW w:w="576" w:type="dxa"/>
            <w:noWrap/>
            <w:hideMark/>
          </w:tcPr>
          <w:p w14:paraId="19FB7311"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-0.731</w:t>
            </w:r>
          </w:p>
        </w:tc>
        <w:tc>
          <w:tcPr>
            <w:tcW w:w="576" w:type="dxa"/>
            <w:noWrap/>
            <w:hideMark/>
          </w:tcPr>
          <w:p w14:paraId="5E7A19D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-0.149</w:t>
            </w:r>
          </w:p>
        </w:tc>
        <w:tc>
          <w:tcPr>
            <w:tcW w:w="576" w:type="dxa"/>
            <w:noWrap/>
            <w:hideMark/>
          </w:tcPr>
          <w:p w14:paraId="0D3DE53C"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0.339</w:t>
            </w:r>
          </w:p>
        </w:tc>
        <w:tc>
          <w:tcPr>
            <w:tcW w:w="576" w:type="dxa"/>
            <w:noWrap/>
            <w:hideMark/>
          </w:tcPr>
          <w:p w14:paraId="1A8FF50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0.168</w:t>
            </w:r>
          </w:p>
        </w:tc>
        <w:tc>
          <w:tcPr>
            <w:tcW w:w="576" w:type="dxa"/>
            <w:noWrap/>
            <w:hideMark/>
          </w:tcPr>
          <w:p w14:paraId="1FB708C6"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0.470</w:t>
            </w:r>
          </w:p>
        </w:tc>
        <w:tc>
          <w:tcPr>
            <w:tcW w:w="576" w:type="dxa"/>
            <w:noWrap/>
            <w:hideMark/>
          </w:tcPr>
          <w:p w14:paraId="4BD84C8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0.180</w:t>
            </w:r>
          </w:p>
        </w:tc>
        <w:tc>
          <w:tcPr>
            <w:tcW w:w="576" w:type="dxa"/>
            <w:noWrap/>
            <w:hideMark/>
          </w:tcPr>
          <w:p w14:paraId="43FBA9A9"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0.324</w:t>
            </w:r>
          </w:p>
        </w:tc>
        <w:tc>
          <w:tcPr>
            <w:tcW w:w="576" w:type="dxa"/>
            <w:noWrap/>
            <w:hideMark/>
          </w:tcPr>
          <w:p w14:paraId="28A88619"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0.079</w:t>
            </w:r>
          </w:p>
        </w:tc>
        <w:tc>
          <w:tcPr>
            <w:tcW w:w="576" w:type="dxa"/>
            <w:noWrap/>
            <w:hideMark/>
          </w:tcPr>
          <w:p w14:paraId="642D2E6B"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0.098</w:t>
            </w:r>
          </w:p>
        </w:tc>
        <w:tc>
          <w:tcPr>
            <w:tcW w:w="576" w:type="dxa"/>
            <w:noWrap/>
            <w:hideMark/>
          </w:tcPr>
          <w:p w14:paraId="345AA7B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0.040</w:t>
            </w:r>
          </w:p>
        </w:tc>
        <w:tc>
          <w:tcPr>
            <w:tcW w:w="747" w:type="dxa"/>
            <w:noWrap/>
            <w:hideMark/>
          </w:tcPr>
          <w:p w14:paraId="14E035E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-0.018</w:t>
            </w:r>
          </w:p>
        </w:tc>
      </w:tr>
      <w:tr w:rsidR="007803C2" w:rsidRPr="007803C2" w14:paraId="53B003A6" w14:textId="77777777" w:rsidTr="007803C2">
        <w:trPr>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1CE10FB6"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RSI</w:t>
            </w:r>
          </w:p>
        </w:tc>
        <w:tc>
          <w:tcPr>
            <w:tcW w:w="576" w:type="dxa"/>
            <w:noWrap/>
            <w:hideMark/>
          </w:tcPr>
          <w:p w14:paraId="01247716"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0.356</w:t>
            </w:r>
          </w:p>
        </w:tc>
        <w:tc>
          <w:tcPr>
            <w:tcW w:w="576" w:type="dxa"/>
            <w:noWrap/>
            <w:hideMark/>
          </w:tcPr>
          <w:p w14:paraId="6EF942C8"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0.023</w:t>
            </w:r>
          </w:p>
        </w:tc>
        <w:tc>
          <w:tcPr>
            <w:tcW w:w="576" w:type="dxa"/>
            <w:noWrap/>
            <w:hideMark/>
          </w:tcPr>
          <w:p w14:paraId="6B83F0E9"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0.610</w:t>
            </w:r>
          </w:p>
        </w:tc>
        <w:tc>
          <w:tcPr>
            <w:tcW w:w="576" w:type="dxa"/>
            <w:noWrap/>
            <w:hideMark/>
          </w:tcPr>
          <w:p w14:paraId="3FBE029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7775727A"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0.653</w:t>
            </w:r>
          </w:p>
        </w:tc>
        <w:tc>
          <w:tcPr>
            <w:tcW w:w="576" w:type="dxa"/>
            <w:noWrap/>
            <w:hideMark/>
          </w:tcPr>
          <w:p w14:paraId="6FB5B18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0.040</w:t>
            </w:r>
          </w:p>
        </w:tc>
        <w:tc>
          <w:tcPr>
            <w:tcW w:w="576" w:type="dxa"/>
            <w:noWrap/>
            <w:hideMark/>
          </w:tcPr>
          <w:p w14:paraId="2869322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0.577</w:t>
            </w:r>
          </w:p>
        </w:tc>
        <w:tc>
          <w:tcPr>
            <w:tcW w:w="576" w:type="dxa"/>
            <w:noWrap/>
            <w:hideMark/>
          </w:tcPr>
          <w:p w14:paraId="66B7055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0.041</w:t>
            </w:r>
          </w:p>
        </w:tc>
        <w:tc>
          <w:tcPr>
            <w:tcW w:w="576" w:type="dxa"/>
            <w:noWrap/>
            <w:hideMark/>
          </w:tcPr>
          <w:p w14:paraId="1654093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0.150</w:t>
            </w:r>
          </w:p>
        </w:tc>
        <w:tc>
          <w:tcPr>
            <w:tcW w:w="576" w:type="dxa"/>
            <w:noWrap/>
            <w:hideMark/>
          </w:tcPr>
          <w:p w14:paraId="30F31299"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0.090</w:t>
            </w:r>
          </w:p>
        </w:tc>
        <w:tc>
          <w:tcPr>
            <w:tcW w:w="576" w:type="dxa"/>
            <w:noWrap/>
            <w:hideMark/>
          </w:tcPr>
          <w:p w14:paraId="781D3C3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-0.598</w:t>
            </w:r>
          </w:p>
        </w:tc>
        <w:tc>
          <w:tcPr>
            <w:tcW w:w="576" w:type="dxa"/>
            <w:noWrap/>
            <w:hideMark/>
          </w:tcPr>
          <w:p w14:paraId="149BF28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-0.075</w:t>
            </w:r>
          </w:p>
        </w:tc>
        <w:tc>
          <w:tcPr>
            <w:tcW w:w="576" w:type="dxa"/>
            <w:noWrap/>
            <w:hideMark/>
          </w:tcPr>
          <w:p w14:paraId="3DB327B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0.868</w:t>
            </w:r>
          </w:p>
        </w:tc>
        <w:tc>
          <w:tcPr>
            <w:tcW w:w="576" w:type="dxa"/>
            <w:noWrap/>
            <w:hideMark/>
          </w:tcPr>
          <w:p w14:paraId="1D06693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0.741</w:t>
            </w:r>
          </w:p>
        </w:tc>
        <w:tc>
          <w:tcPr>
            <w:tcW w:w="576" w:type="dxa"/>
            <w:noWrap/>
            <w:hideMark/>
          </w:tcPr>
          <w:p w14:paraId="19FE9056"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0.823</w:t>
            </w:r>
          </w:p>
        </w:tc>
        <w:tc>
          <w:tcPr>
            <w:tcW w:w="576" w:type="dxa"/>
            <w:noWrap/>
            <w:hideMark/>
          </w:tcPr>
          <w:p w14:paraId="55F3FFA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0.205</w:t>
            </w:r>
          </w:p>
        </w:tc>
        <w:tc>
          <w:tcPr>
            <w:tcW w:w="576" w:type="dxa"/>
            <w:noWrap/>
            <w:hideMark/>
          </w:tcPr>
          <w:p w14:paraId="0CA4277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0.782</w:t>
            </w:r>
          </w:p>
        </w:tc>
        <w:tc>
          <w:tcPr>
            <w:tcW w:w="576" w:type="dxa"/>
            <w:noWrap/>
            <w:hideMark/>
          </w:tcPr>
          <w:p w14:paraId="108A48F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-0.120</w:t>
            </w:r>
          </w:p>
        </w:tc>
        <w:tc>
          <w:tcPr>
            <w:tcW w:w="576" w:type="dxa"/>
            <w:noWrap/>
            <w:hideMark/>
          </w:tcPr>
          <w:p w14:paraId="241CD0B8"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0.357</w:t>
            </w:r>
          </w:p>
        </w:tc>
        <w:tc>
          <w:tcPr>
            <w:tcW w:w="576" w:type="dxa"/>
            <w:noWrap/>
            <w:hideMark/>
          </w:tcPr>
          <w:p w14:paraId="007FD8C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-0.020</w:t>
            </w:r>
          </w:p>
        </w:tc>
        <w:tc>
          <w:tcPr>
            <w:tcW w:w="747" w:type="dxa"/>
            <w:noWrap/>
            <w:hideMark/>
          </w:tcPr>
          <w:p w14:paraId="43ACB531"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-0.029</w:t>
            </w:r>
          </w:p>
        </w:tc>
      </w:tr>
      <w:tr w:rsidR="007803C2" w:rsidRPr="007803C2" w14:paraId="41DE61B7" w14:textId="77777777" w:rsidTr="007803C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2288DD5C"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SO</w:t>
            </w:r>
          </w:p>
        </w:tc>
        <w:tc>
          <w:tcPr>
            <w:tcW w:w="576" w:type="dxa"/>
            <w:noWrap/>
            <w:hideMark/>
          </w:tcPr>
          <w:p w14:paraId="77A0D508"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0.305</w:t>
            </w:r>
          </w:p>
        </w:tc>
        <w:tc>
          <w:tcPr>
            <w:tcW w:w="576" w:type="dxa"/>
            <w:noWrap/>
            <w:hideMark/>
          </w:tcPr>
          <w:p w14:paraId="7019801A"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-0.031</w:t>
            </w:r>
          </w:p>
        </w:tc>
        <w:tc>
          <w:tcPr>
            <w:tcW w:w="576" w:type="dxa"/>
            <w:noWrap/>
            <w:hideMark/>
          </w:tcPr>
          <w:p w14:paraId="1D544A6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0.318</w:t>
            </w:r>
          </w:p>
        </w:tc>
        <w:tc>
          <w:tcPr>
            <w:tcW w:w="576" w:type="dxa"/>
            <w:noWrap/>
            <w:hideMark/>
          </w:tcPr>
          <w:p w14:paraId="45B6122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0.653</w:t>
            </w:r>
          </w:p>
        </w:tc>
        <w:tc>
          <w:tcPr>
            <w:tcW w:w="576" w:type="dxa"/>
            <w:noWrap/>
            <w:hideMark/>
          </w:tcPr>
          <w:p w14:paraId="74E239E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25D347E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-0.029</w:t>
            </w:r>
          </w:p>
        </w:tc>
        <w:tc>
          <w:tcPr>
            <w:tcW w:w="576" w:type="dxa"/>
            <w:noWrap/>
            <w:hideMark/>
          </w:tcPr>
          <w:p w14:paraId="357B2B2F"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0.429</w:t>
            </w:r>
          </w:p>
        </w:tc>
        <w:tc>
          <w:tcPr>
            <w:tcW w:w="576" w:type="dxa"/>
            <w:noWrap/>
            <w:hideMark/>
          </w:tcPr>
          <w:p w14:paraId="51348CFB"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0.050</w:t>
            </w:r>
          </w:p>
        </w:tc>
        <w:tc>
          <w:tcPr>
            <w:tcW w:w="576" w:type="dxa"/>
            <w:noWrap/>
            <w:hideMark/>
          </w:tcPr>
          <w:p w14:paraId="68114A0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0.130</w:t>
            </w:r>
          </w:p>
        </w:tc>
        <w:tc>
          <w:tcPr>
            <w:tcW w:w="576" w:type="dxa"/>
            <w:noWrap/>
            <w:hideMark/>
          </w:tcPr>
          <w:p w14:paraId="7A51EE5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0.008</w:t>
            </w:r>
          </w:p>
        </w:tc>
        <w:tc>
          <w:tcPr>
            <w:tcW w:w="576" w:type="dxa"/>
            <w:noWrap/>
            <w:hideMark/>
          </w:tcPr>
          <w:p w14:paraId="343287B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-0.313</w:t>
            </w:r>
          </w:p>
        </w:tc>
        <w:tc>
          <w:tcPr>
            <w:tcW w:w="576" w:type="dxa"/>
            <w:noWrap/>
            <w:hideMark/>
          </w:tcPr>
          <w:p w14:paraId="118CF27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-0.080</w:t>
            </w:r>
          </w:p>
        </w:tc>
        <w:tc>
          <w:tcPr>
            <w:tcW w:w="576" w:type="dxa"/>
            <w:noWrap/>
            <w:hideMark/>
          </w:tcPr>
          <w:p w14:paraId="673E6C2F"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0.700</w:t>
            </w:r>
          </w:p>
        </w:tc>
        <w:tc>
          <w:tcPr>
            <w:tcW w:w="576" w:type="dxa"/>
            <w:noWrap/>
            <w:hideMark/>
          </w:tcPr>
          <w:p w14:paraId="60C946A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0.604</w:t>
            </w:r>
          </w:p>
        </w:tc>
        <w:tc>
          <w:tcPr>
            <w:tcW w:w="576" w:type="dxa"/>
            <w:noWrap/>
            <w:hideMark/>
          </w:tcPr>
          <w:p w14:paraId="24A9418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0.592</w:t>
            </w:r>
          </w:p>
        </w:tc>
        <w:tc>
          <w:tcPr>
            <w:tcW w:w="576" w:type="dxa"/>
            <w:noWrap/>
            <w:hideMark/>
          </w:tcPr>
          <w:p w14:paraId="0C429F8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0.132</w:t>
            </w:r>
          </w:p>
        </w:tc>
        <w:tc>
          <w:tcPr>
            <w:tcW w:w="576" w:type="dxa"/>
            <w:noWrap/>
            <w:hideMark/>
          </w:tcPr>
          <w:p w14:paraId="72ED965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0.648</w:t>
            </w:r>
          </w:p>
        </w:tc>
        <w:tc>
          <w:tcPr>
            <w:tcW w:w="576" w:type="dxa"/>
            <w:noWrap/>
            <w:hideMark/>
          </w:tcPr>
          <w:p w14:paraId="1FAE55B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-0.097</w:t>
            </w:r>
          </w:p>
        </w:tc>
        <w:tc>
          <w:tcPr>
            <w:tcW w:w="576" w:type="dxa"/>
            <w:noWrap/>
            <w:hideMark/>
          </w:tcPr>
          <w:p w14:paraId="7E1AFE8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0.459</w:t>
            </w:r>
          </w:p>
        </w:tc>
        <w:tc>
          <w:tcPr>
            <w:tcW w:w="576" w:type="dxa"/>
            <w:noWrap/>
            <w:hideMark/>
          </w:tcPr>
          <w:p w14:paraId="6CA48CD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-0.046</w:t>
            </w:r>
          </w:p>
        </w:tc>
        <w:tc>
          <w:tcPr>
            <w:tcW w:w="747" w:type="dxa"/>
            <w:noWrap/>
            <w:hideMark/>
          </w:tcPr>
          <w:p w14:paraId="7FBAF1E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-0.023</w:t>
            </w:r>
          </w:p>
        </w:tc>
      </w:tr>
      <w:tr w:rsidR="007803C2" w:rsidRPr="007803C2" w14:paraId="21CF15C0" w14:textId="77777777" w:rsidTr="007803C2">
        <w:trPr>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0B5771A4"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ADI</w:t>
            </w:r>
          </w:p>
        </w:tc>
        <w:tc>
          <w:tcPr>
            <w:tcW w:w="576" w:type="dxa"/>
            <w:noWrap/>
            <w:hideMark/>
          </w:tcPr>
          <w:p w14:paraId="34AF50F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0.031</w:t>
            </w:r>
          </w:p>
        </w:tc>
        <w:tc>
          <w:tcPr>
            <w:tcW w:w="576" w:type="dxa"/>
            <w:noWrap/>
            <w:hideMark/>
          </w:tcPr>
          <w:p w14:paraId="44C2940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0.626</w:t>
            </w:r>
          </w:p>
        </w:tc>
        <w:tc>
          <w:tcPr>
            <w:tcW w:w="576" w:type="dxa"/>
            <w:noWrap/>
            <w:hideMark/>
          </w:tcPr>
          <w:p w14:paraId="77B6EC59"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-0.012</w:t>
            </w:r>
          </w:p>
        </w:tc>
        <w:tc>
          <w:tcPr>
            <w:tcW w:w="576" w:type="dxa"/>
            <w:noWrap/>
            <w:hideMark/>
          </w:tcPr>
          <w:p w14:paraId="3F95F78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0.040</w:t>
            </w:r>
          </w:p>
        </w:tc>
        <w:tc>
          <w:tcPr>
            <w:tcW w:w="576" w:type="dxa"/>
            <w:noWrap/>
            <w:hideMark/>
          </w:tcPr>
          <w:p w14:paraId="7747121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-0.029</w:t>
            </w:r>
          </w:p>
        </w:tc>
        <w:tc>
          <w:tcPr>
            <w:tcW w:w="576" w:type="dxa"/>
            <w:noWrap/>
            <w:hideMark/>
          </w:tcPr>
          <w:p w14:paraId="7C8D36A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5077415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0.056</w:t>
            </w:r>
          </w:p>
        </w:tc>
        <w:tc>
          <w:tcPr>
            <w:tcW w:w="576" w:type="dxa"/>
            <w:noWrap/>
            <w:hideMark/>
          </w:tcPr>
          <w:p w14:paraId="0A11C2B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-0.055</w:t>
            </w:r>
          </w:p>
        </w:tc>
        <w:tc>
          <w:tcPr>
            <w:tcW w:w="576" w:type="dxa"/>
            <w:noWrap/>
            <w:hideMark/>
          </w:tcPr>
          <w:p w14:paraId="66682E89"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-0.033</w:t>
            </w:r>
          </w:p>
        </w:tc>
        <w:tc>
          <w:tcPr>
            <w:tcW w:w="576" w:type="dxa"/>
            <w:noWrap/>
            <w:hideMark/>
          </w:tcPr>
          <w:p w14:paraId="45CE3D39"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0.647</w:t>
            </w:r>
          </w:p>
        </w:tc>
        <w:tc>
          <w:tcPr>
            <w:tcW w:w="576" w:type="dxa"/>
            <w:noWrap/>
            <w:hideMark/>
          </w:tcPr>
          <w:p w14:paraId="140F8C6D"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-0.058</w:t>
            </w:r>
          </w:p>
        </w:tc>
        <w:tc>
          <w:tcPr>
            <w:tcW w:w="576" w:type="dxa"/>
            <w:noWrap/>
            <w:hideMark/>
          </w:tcPr>
          <w:p w14:paraId="338AE779"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0.493</w:t>
            </w:r>
          </w:p>
        </w:tc>
        <w:tc>
          <w:tcPr>
            <w:tcW w:w="576" w:type="dxa"/>
            <w:noWrap/>
            <w:hideMark/>
          </w:tcPr>
          <w:p w14:paraId="72DED76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0.027</w:t>
            </w:r>
          </w:p>
        </w:tc>
        <w:tc>
          <w:tcPr>
            <w:tcW w:w="576" w:type="dxa"/>
            <w:noWrap/>
            <w:hideMark/>
          </w:tcPr>
          <w:p w14:paraId="69FBAC4A"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0.024</w:t>
            </w:r>
          </w:p>
        </w:tc>
        <w:tc>
          <w:tcPr>
            <w:tcW w:w="576" w:type="dxa"/>
            <w:noWrap/>
            <w:hideMark/>
          </w:tcPr>
          <w:p w14:paraId="770D9388"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0.071</w:t>
            </w:r>
          </w:p>
        </w:tc>
        <w:tc>
          <w:tcPr>
            <w:tcW w:w="576" w:type="dxa"/>
            <w:noWrap/>
            <w:hideMark/>
          </w:tcPr>
          <w:p w14:paraId="5EE1C3E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0.014</w:t>
            </w:r>
          </w:p>
        </w:tc>
        <w:tc>
          <w:tcPr>
            <w:tcW w:w="576" w:type="dxa"/>
            <w:noWrap/>
            <w:hideMark/>
          </w:tcPr>
          <w:p w14:paraId="1624C27E"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0.035</w:t>
            </w:r>
          </w:p>
        </w:tc>
        <w:tc>
          <w:tcPr>
            <w:tcW w:w="576" w:type="dxa"/>
            <w:noWrap/>
            <w:hideMark/>
          </w:tcPr>
          <w:p w14:paraId="1B462C4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-0.076</w:t>
            </w:r>
          </w:p>
        </w:tc>
        <w:tc>
          <w:tcPr>
            <w:tcW w:w="576" w:type="dxa"/>
            <w:noWrap/>
            <w:hideMark/>
          </w:tcPr>
          <w:p w14:paraId="6E1C49D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-0.071</w:t>
            </w:r>
          </w:p>
        </w:tc>
        <w:tc>
          <w:tcPr>
            <w:tcW w:w="576" w:type="dxa"/>
            <w:noWrap/>
            <w:hideMark/>
          </w:tcPr>
          <w:p w14:paraId="4E4AD9C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0.010</w:t>
            </w:r>
          </w:p>
        </w:tc>
        <w:tc>
          <w:tcPr>
            <w:tcW w:w="747" w:type="dxa"/>
            <w:noWrap/>
            <w:hideMark/>
          </w:tcPr>
          <w:p w14:paraId="2892C65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-0.019</w:t>
            </w:r>
          </w:p>
        </w:tc>
      </w:tr>
      <w:tr w:rsidR="007803C2" w:rsidRPr="007803C2" w14:paraId="55363B76" w14:textId="77777777" w:rsidTr="007803C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2082380D"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CMF</w:t>
            </w:r>
          </w:p>
        </w:tc>
        <w:tc>
          <w:tcPr>
            <w:tcW w:w="576" w:type="dxa"/>
            <w:noWrap/>
            <w:hideMark/>
          </w:tcPr>
          <w:p w14:paraId="3EAD014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0.209</w:t>
            </w:r>
          </w:p>
        </w:tc>
        <w:tc>
          <w:tcPr>
            <w:tcW w:w="576" w:type="dxa"/>
            <w:noWrap/>
            <w:hideMark/>
          </w:tcPr>
          <w:p w14:paraId="0E1696E6"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0.030</w:t>
            </w:r>
          </w:p>
        </w:tc>
        <w:tc>
          <w:tcPr>
            <w:tcW w:w="576" w:type="dxa"/>
            <w:noWrap/>
            <w:hideMark/>
          </w:tcPr>
          <w:p w14:paraId="13A7BF7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0.319</w:t>
            </w:r>
          </w:p>
        </w:tc>
        <w:tc>
          <w:tcPr>
            <w:tcW w:w="576" w:type="dxa"/>
            <w:noWrap/>
            <w:hideMark/>
          </w:tcPr>
          <w:p w14:paraId="2567E2E9"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0.577</w:t>
            </w:r>
          </w:p>
        </w:tc>
        <w:tc>
          <w:tcPr>
            <w:tcW w:w="576" w:type="dxa"/>
            <w:noWrap/>
            <w:hideMark/>
          </w:tcPr>
          <w:p w14:paraId="1D78D97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0.429</w:t>
            </w:r>
          </w:p>
        </w:tc>
        <w:tc>
          <w:tcPr>
            <w:tcW w:w="576" w:type="dxa"/>
            <w:noWrap/>
            <w:hideMark/>
          </w:tcPr>
          <w:p w14:paraId="403B756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0.056</w:t>
            </w:r>
          </w:p>
        </w:tc>
        <w:tc>
          <w:tcPr>
            <w:tcW w:w="576" w:type="dxa"/>
            <w:noWrap/>
            <w:hideMark/>
          </w:tcPr>
          <w:p w14:paraId="4413118F"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2A95767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-0.016</w:t>
            </w:r>
          </w:p>
        </w:tc>
        <w:tc>
          <w:tcPr>
            <w:tcW w:w="576" w:type="dxa"/>
            <w:noWrap/>
            <w:hideMark/>
          </w:tcPr>
          <w:p w14:paraId="42ED7836"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0.087</w:t>
            </w:r>
          </w:p>
        </w:tc>
        <w:tc>
          <w:tcPr>
            <w:tcW w:w="576" w:type="dxa"/>
            <w:noWrap/>
            <w:hideMark/>
          </w:tcPr>
          <w:p w14:paraId="2B297B1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0.061</w:t>
            </w:r>
          </w:p>
        </w:tc>
        <w:tc>
          <w:tcPr>
            <w:tcW w:w="576" w:type="dxa"/>
            <w:noWrap/>
            <w:hideMark/>
          </w:tcPr>
          <w:p w14:paraId="71633801"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-0.373</w:t>
            </w:r>
          </w:p>
        </w:tc>
        <w:tc>
          <w:tcPr>
            <w:tcW w:w="576" w:type="dxa"/>
            <w:noWrap/>
            <w:hideMark/>
          </w:tcPr>
          <w:p w14:paraId="06686FBC"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0.000</w:t>
            </w:r>
          </w:p>
        </w:tc>
        <w:tc>
          <w:tcPr>
            <w:tcW w:w="576" w:type="dxa"/>
            <w:noWrap/>
            <w:hideMark/>
          </w:tcPr>
          <w:p w14:paraId="6F932C0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0.537</w:t>
            </w:r>
          </w:p>
        </w:tc>
        <w:tc>
          <w:tcPr>
            <w:tcW w:w="576" w:type="dxa"/>
            <w:noWrap/>
            <w:hideMark/>
          </w:tcPr>
          <w:p w14:paraId="7C0CF33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0.482</w:t>
            </w:r>
          </w:p>
        </w:tc>
        <w:tc>
          <w:tcPr>
            <w:tcW w:w="576" w:type="dxa"/>
            <w:noWrap/>
            <w:hideMark/>
          </w:tcPr>
          <w:p w14:paraId="17DC5E2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0.519</w:t>
            </w:r>
          </w:p>
        </w:tc>
        <w:tc>
          <w:tcPr>
            <w:tcW w:w="576" w:type="dxa"/>
            <w:noWrap/>
            <w:hideMark/>
          </w:tcPr>
          <w:p w14:paraId="7C15B74A"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0.099</w:t>
            </w:r>
          </w:p>
        </w:tc>
        <w:tc>
          <w:tcPr>
            <w:tcW w:w="576" w:type="dxa"/>
            <w:noWrap/>
            <w:hideMark/>
          </w:tcPr>
          <w:p w14:paraId="68259501"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0.475</w:t>
            </w:r>
          </w:p>
        </w:tc>
        <w:tc>
          <w:tcPr>
            <w:tcW w:w="576" w:type="dxa"/>
            <w:noWrap/>
            <w:hideMark/>
          </w:tcPr>
          <w:p w14:paraId="04D242C6"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-0.101</w:t>
            </w:r>
          </w:p>
        </w:tc>
        <w:tc>
          <w:tcPr>
            <w:tcW w:w="576" w:type="dxa"/>
            <w:noWrap/>
            <w:hideMark/>
          </w:tcPr>
          <w:p w14:paraId="11585FA1"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0.257</w:t>
            </w:r>
          </w:p>
        </w:tc>
        <w:tc>
          <w:tcPr>
            <w:tcW w:w="576" w:type="dxa"/>
            <w:noWrap/>
            <w:hideMark/>
          </w:tcPr>
          <w:p w14:paraId="065951B9"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-0.051</w:t>
            </w:r>
          </w:p>
        </w:tc>
        <w:tc>
          <w:tcPr>
            <w:tcW w:w="747" w:type="dxa"/>
            <w:noWrap/>
            <w:hideMark/>
          </w:tcPr>
          <w:p w14:paraId="2BA0DC7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-0.022</w:t>
            </w:r>
          </w:p>
        </w:tc>
      </w:tr>
      <w:tr w:rsidR="007803C2" w:rsidRPr="007803C2" w14:paraId="25E60A88" w14:textId="77777777" w:rsidTr="007803C2">
        <w:trPr>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1C93F83C"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EoM</w:t>
            </w:r>
          </w:p>
        </w:tc>
        <w:tc>
          <w:tcPr>
            <w:tcW w:w="576" w:type="dxa"/>
            <w:noWrap/>
            <w:hideMark/>
          </w:tcPr>
          <w:p w14:paraId="73A6CB85"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-0.066</w:t>
            </w:r>
          </w:p>
        </w:tc>
        <w:tc>
          <w:tcPr>
            <w:tcW w:w="576" w:type="dxa"/>
            <w:noWrap/>
            <w:hideMark/>
          </w:tcPr>
          <w:p w14:paraId="60DA9038"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0.042</w:t>
            </w:r>
          </w:p>
        </w:tc>
        <w:tc>
          <w:tcPr>
            <w:tcW w:w="576" w:type="dxa"/>
            <w:noWrap/>
            <w:hideMark/>
          </w:tcPr>
          <w:p w14:paraId="3BDBAB8E"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-0.031</w:t>
            </w:r>
          </w:p>
        </w:tc>
        <w:tc>
          <w:tcPr>
            <w:tcW w:w="576" w:type="dxa"/>
            <w:noWrap/>
            <w:hideMark/>
          </w:tcPr>
          <w:p w14:paraId="7551400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0.041</w:t>
            </w:r>
          </w:p>
        </w:tc>
        <w:tc>
          <w:tcPr>
            <w:tcW w:w="576" w:type="dxa"/>
            <w:noWrap/>
            <w:hideMark/>
          </w:tcPr>
          <w:p w14:paraId="491307EA"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0.050</w:t>
            </w:r>
          </w:p>
        </w:tc>
        <w:tc>
          <w:tcPr>
            <w:tcW w:w="576" w:type="dxa"/>
            <w:noWrap/>
            <w:hideMark/>
          </w:tcPr>
          <w:p w14:paraId="7A238A1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-0.055</w:t>
            </w:r>
          </w:p>
        </w:tc>
        <w:tc>
          <w:tcPr>
            <w:tcW w:w="576" w:type="dxa"/>
            <w:noWrap/>
            <w:hideMark/>
          </w:tcPr>
          <w:p w14:paraId="4074F496"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-0.016</w:t>
            </w:r>
          </w:p>
        </w:tc>
        <w:tc>
          <w:tcPr>
            <w:tcW w:w="576" w:type="dxa"/>
            <w:noWrap/>
            <w:hideMark/>
          </w:tcPr>
          <w:p w14:paraId="61D7F7B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3547A796"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0.232</w:t>
            </w:r>
          </w:p>
        </w:tc>
        <w:tc>
          <w:tcPr>
            <w:tcW w:w="576" w:type="dxa"/>
            <w:noWrap/>
            <w:hideMark/>
          </w:tcPr>
          <w:p w14:paraId="18F4F97D"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0.022</w:t>
            </w:r>
          </w:p>
        </w:tc>
        <w:tc>
          <w:tcPr>
            <w:tcW w:w="576" w:type="dxa"/>
            <w:noWrap/>
            <w:hideMark/>
          </w:tcPr>
          <w:p w14:paraId="0913FBA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0.048</w:t>
            </w:r>
          </w:p>
        </w:tc>
        <w:tc>
          <w:tcPr>
            <w:tcW w:w="576" w:type="dxa"/>
            <w:noWrap/>
            <w:hideMark/>
          </w:tcPr>
          <w:p w14:paraId="5EA9842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0.072</w:t>
            </w:r>
          </w:p>
        </w:tc>
        <w:tc>
          <w:tcPr>
            <w:tcW w:w="576" w:type="dxa"/>
            <w:noWrap/>
            <w:hideMark/>
          </w:tcPr>
          <w:p w14:paraId="283F307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0.038</w:t>
            </w:r>
          </w:p>
        </w:tc>
        <w:tc>
          <w:tcPr>
            <w:tcW w:w="576" w:type="dxa"/>
            <w:noWrap/>
            <w:hideMark/>
          </w:tcPr>
          <w:p w14:paraId="1B32575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0.026</w:t>
            </w:r>
          </w:p>
        </w:tc>
        <w:tc>
          <w:tcPr>
            <w:tcW w:w="576" w:type="dxa"/>
            <w:noWrap/>
            <w:hideMark/>
          </w:tcPr>
          <w:p w14:paraId="754C5FFE"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0.037</w:t>
            </w:r>
          </w:p>
        </w:tc>
        <w:tc>
          <w:tcPr>
            <w:tcW w:w="576" w:type="dxa"/>
            <w:noWrap/>
            <w:hideMark/>
          </w:tcPr>
          <w:p w14:paraId="0E0B7B81"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0.051</w:t>
            </w:r>
          </w:p>
        </w:tc>
        <w:tc>
          <w:tcPr>
            <w:tcW w:w="576" w:type="dxa"/>
            <w:noWrap/>
            <w:hideMark/>
          </w:tcPr>
          <w:p w14:paraId="698DAA7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0.125</w:t>
            </w:r>
          </w:p>
        </w:tc>
        <w:tc>
          <w:tcPr>
            <w:tcW w:w="576" w:type="dxa"/>
            <w:noWrap/>
            <w:hideMark/>
          </w:tcPr>
          <w:p w14:paraId="7AD0EC85"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-0.123</w:t>
            </w:r>
          </w:p>
        </w:tc>
        <w:tc>
          <w:tcPr>
            <w:tcW w:w="576" w:type="dxa"/>
            <w:noWrap/>
            <w:hideMark/>
          </w:tcPr>
          <w:p w14:paraId="3C0E95FD"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0.112</w:t>
            </w:r>
          </w:p>
        </w:tc>
        <w:tc>
          <w:tcPr>
            <w:tcW w:w="576" w:type="dxa"/>
            <w:noWrap/>
            <w:hideMark/>
          </w:tcPr>
          <w:p w14:paraId="169CE58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-0.064</w:t>
            </w:r>
          </w:p>
        </w:tc>
        <w:tc>
          <w:tcPr>
            <w:tcW w:w="747" w:type="dxa"/>
            <w:noWrap/>
            <w:hideMark/>
          </w:tcPr>
          <w:p w14:paraId="1C1D2A2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0.003</w:t>
            </w:r>
          </w:p>
        </w:tc>
      </w:tr>
      <w:tr w:rsidR="007803C2" w:rsidRPr="007803C2" w14:paraId="30B26629" w14:textId="77777777" w:rsidTr="007803C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052ED562"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FI</w:t>
            </w:r>
          </w:p>
        </w:tc>
        <w:tc>
          <w:tcPr>
            <w:tcW w:w="576" w:type="dxa"/>
            <w:noWrap/>
            <w:hideMark/>
          </w:tcPr>
          <w:p w14:paraId="70BCB92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0.374</w:t>
            </w:r>
          </w:p>
        </w:tc>
        <w:tc>
          <w:tcPr>
            <w:tcW w:w="576" w:type="dxa"/>
            <w:noWrap/>
            <w:hideMark/>
          </w:tcPr>
          <w:p w14:paraId="131757D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0.022</w:t>
            </w:r>
          </w:p>
        </w:tc>
        <w:tc>
          <w:tcPr>
            <w:tcW w:w="576" w:type="dxa"/>
            <w:noWrap/>
            <w:hideMark/>
          </w:tcPr>
          <w:p w14:paraId="0190E08B"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0.303</w:t>
            </w:r>
          </w:p>
        </w:tc>
        <w:tc>
          <w:tcPr>
            <w:tcW w:w="576" w:type="dxa"/>
            <w:noWrap/>
            <w:hideMark/>
          </w:tcPr>
          <w:p w14:paraId="2E02F26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0.150</w:t>
            </w:r>
          </w:p>
        </w:tc>
        <w:tc>
          <w:tcPr>
            <w:tcW w:w="576" w:type="dxa"/>
            <w:noWrap/>
            <w:hideMark/>
          </w:tcPr>
          <w:p w14:paraId="42199B2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0.130</w:t>
            </w:r>
          </w:p>
        </w:tc>
        <w:tc>
          <w:tcPr>
            <w:tcW w:w="576" w:type="dxa"/>
            <w:noWrap/>
            <w:hideMark/>
          </w:tcPr>
          <w:p w14:paraId="6B620EA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-0.033</w:t>
            </w:r>
          </w:p>
        </w:tc>
        <w:tc>
          <w:tcPr>
            <w:tcW w:w="576" w:type="dxa"/>
            <w:noWrap/>
            <w:hideMark/>
          </w:tcPr>
          <w:p w14:paraId="2BDA13C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0.087</w:t>
            </w:r>
          </w:p>
        </w:tc>
        <w:tc>
          <w:tcPr>
            <w:tcW w:w="576" w:type="dxa"/>
            <w:noWrap/>
            <w:hideMark/>
          </w:tcPr>
          <w:p w14:paraId="6834DEB4"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0.232</w:t>
            </w:r>
          </w:p>
        </w:tc>
        <w:tc>
          <w:tcPr>
            <w:tcW w:w="576" w:type="dxa"/>
            <w:noWrap/>
            <w:hideMark/>
          </w:tcPr>
          <w:p w14:paraId="4F508871"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5F8F23DA"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-0.029</w:t>
            </w:r>
          </w:p>
        </w:tc>
        <w:tc>
          <w:tcPr>
            <w:tcW w:w="576" w:type="dxa"/>
            <w:noWrap/>
            <w:hideMark/>
          </w:tcPr>
          <w:p w14:paraId="115F4301"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-0.167</w:t>
            </w:r>
          </w:p>
        </w:tc>
        <w:tc>
          <w:tcPr>
            <w:tcW w:w="576" w:type="dxa"/>
            <w:noWrap/>
            <w:hideMark/>
          </w:tcPr>
          <w:p w14:paraId="0E9A4AEB"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-0.026</w:t>
            </w:r>
          </w:p>
        </w:tc>
        <w:tc>
          <w:tcPr>
            <w:tcW w:w="576" w:type="dxa"/>
            <w:noWrap/>
            <w:hideMark/>
          </w:tcPr>
          <w:p w14:paraId="5038CCC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0.142</w:t>
            </w:r>
          </w:p>
        </w:tc>
        <w:tc>
          <w:tcPr>
            <w:tcW w:w="576" w:type="dxa"/>
            <w:noWrap/>
            <w:hideMark/>
          </w:tcPr>
          <w:p w14:paraId="2E1492A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0.099</w:t>
            </w:r>
          </w:p>
        </w:tc>
        <w:tc>
          <w:tcPr>
            <w:tcW w:w="576" w:type="dxa"/>
            <w:noWrap/>
            <w:hideMark/>
          </w:tcPr>
          <w:p w14:paraId="664A2E5C"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0.299</w:t>
            </w:r>
          </w:p>
        </w:tc>
        <w:tc>
          <w:tcPr>
            <w:tcW w:w="576" w:type="dxa"/>
            <w:noWrap/>
            <w:hideMark/>
          </w:tcPr>
          <w:p w14:paraId="46E173A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0.022</w:t>
            </w:r>
          </w:p>
        </w:tc>
        <w:tc>
          <w:tcPr>
            <w:tcW w:w="576" w:type="dxa"/>
            <w:noWrap/>
            <w:hideMark/>
          </w:tcPr>
          <w:p w14:paraId="521E037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0.199</w:t>
            </w:r>
          </w:p>
        </w:tc>
        <w:tc>
          <w:tcPr>
            <w:tcW w:w="576" w:type="dxa"/>
            <w:noWrap/>
            <w:hideMark/>
          </w:tcPr>
          <w:p w14:paraId="6478B2F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0.079</w:t>
            </w:r>
          </w:p>
        </w:tc>
        <w:tc>
          <w:tcPr>
            <w:tcW w:w="576" w:type="dxa"/>
            <w:noWrap/>
            <w:hideMark/>
          </w:tcPr>
          <w:p w14:paraId="05779949"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0.235</w:t>
            </w:r>
          </w:p>
        </w:tc>
        <w:tc>
          <w:tcPr>
            <w:tcW w:w="576" w:type="dxa"/>
            <w:noWrap/>
            <w:hideMark/>
          </w:tcPr>
          <w:p w14:paraId="58404548"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-0.010</w:t>
            </w:r>
          </w:p>
        </w:tc>
        <w:tc>
          <w:tcPr>
            <w:tcW w:w="747" w:type="dxa"/>
            <w:noWrap/>
            <w:hideMark/>
          </w:tcPr>
          <w:p w14:paraId="34AECB1A"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-0.007</w:t>
            </w:r>
          </w:p>
        </w:tc>
      </w:tr>
      <w:tr w:rsidR="007803C2" w:rsidRPr="007803C2" w14:paraId="51C1F61E" w14:textId="77777777" w:rsidTr="007803C2">
        <w:trPr>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4705F1D6"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OBV</w:t>
            </w:r>
          </w:p>
        </w:tc>
        <w:tc>
          <w:tcPr>
            <w:tcW w:w="576" w:type="dxa"/>
            <w:noWrap/>
            <w:hideMark/>
          </w:tcPr>
          <w:p w14:paraId="4A1B6865"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0.051</w:t>
            </w:r>
          </w:p>
        </w:tc>
        <w:tc>
          <w:tcPr>
            <w:tcW w:w="576" w:type="dxa"/>
            <w:noWrap/>
            <w:hideMark/>
          </w:tcPr>
          <w:p w14:paraId="1880D9BD"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0.705</w:t>
            </w:r>
          </w:p>
        </w:tc>
        <w:tc>
          <w:tcPr>
            <w:tcW w:w="576" w:type="dxa"/>
            <w:noWrap/>
            <w:hideMark/>
          </w:tcPr>
          <w:p w14:paraId="222DE27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0.038</w:t>
            </w:r>
          </w:p>
        </w:tc>
        <w:tc>
          <w:tcPr>
            <w:tcW w:w="576" w:type="dxa"/>
            <w:noWrap/>
            <w:hideMark/>
          </w:tcPr>
          <w:p w14:paraId="555652B6"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0.090</w:t>
            </w:r>
          </w:p>
        </w:tc>
        <w:tc>
          <w:tcPr>
            <w:tcW w:w="576" w:type="dxa"/>
            <w:noWrap/>
            <w:hideMark/>
          </w:tcPr>
          <w:p w14:paraId="6BAFFBA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0.008</w:t>
            </w:r>
          </w:p>
        </w:tc>
        <w:tc>
          <w:tcPr>
            <w:tcW w:w="576" w:type="dxa"/>
            <w:noWrap/>
            <w:hideMark/>
          </w:tcPr>
          <w:p w14:paraId="59558F2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0.647</w:t>
            </w:r>
          </w:p>
        </w:tc>
        <w:tc>
          <w:tcPr>
            <w:tcW w:w="576" w:type="dxa"/>
            <w:noWrap/>
            <w:hideMark/>
          </w:tcPr>
          <w:p w14:paraId="4261BD95"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0.061</w:t>
            </w:r>
          </w:p>
        </w:tc>
        <w:tc>
          <w:tcPr>
            <w:tcW w:w="576" w:type="dxa"/>
            <w:noWrap/>
            <w:hideMark/>
          </w:tcPr>
          <w:p w14:paraId="3AB2E4F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0.022</w:t>
            </w:r>
          </w:p>
        </w:tc>
        <w:tc>
          <w:tcPr>
            <w:tcW w:w="576" w:type="dxa"/>
            <w:noWrap/>
            <w:hideMark/>
          </w:tcPr>
          <w:p w14:paraId="7C07419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-0.029</w:t>
            </w:r>
          </w:p>
        </w:tc>
        <w:tc>
          <w:tcPr>
            <w:tcW w:w="576" w:type="dxa"/>
            <w:noWrap/>
            <w:hideMark/>
          </w:tcPr>
          <w:p w14:paraId="3D6BC726"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6AC3C45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-0.077</w:t>
            </w:r>
          </w:p>
        </w:tc>
        <w:tc>
          <w:tcPr>
            <w:tcW w:w="576" w:type="dxa"/>
            <w:noWrap/>
            <w:hideMark/>
          </w:tcPr>
          <w:p w14:paraId="7350E92A"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0.587</w:t>
            </w:r>
          </w:p>
        </w:tc>
        <w:tc>
          <w:tcPr>
            <w:tcW w:w="576" w:type="dxa"/>
            <w:noWrap/>
            <w:hideMark/>
          </w:tcPr>
          <w:p w14:paraId="020DF81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0.062</w:t>
            </w:r>
          </w:p>
        </w:tc>
        <w:tc>
          <w:tcPr>
            <w:tcW w:w="576" w:type="dxa"/>
            <w:noWrap/>
            <w:hideMark/>
          </w:tcPr>
          <w:p w14:paraId="6CF3E36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0.052</w:t>
            </w:r>
          </w:p>
        </w:tc>
        <w:tc>
          <w:tcPr>
            <w:tcW w:w="576" w:type="dxa"/>
            <w:noWrap/>
            <w:hideMark/>
          </w:tcPr>
          <w:p w14:paraId="6368883E"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0.041</w:t>
            </w:r>
          </w:p>
        </w:tc>
        <w:tc>
          <w:tcPr>
            <w:tcW w:w="576" w:type="dxa"/>
            <w:noWrap/>
            <w:hideMark/>
          </w:tcPr>
          <w:p w14:paraId="3C3F938E"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0.036</w:t>
            </w:r>
          </w:p>
        </w:tc>
        <w:tc>
          <w:tcPr>
            <w:tcW w:w="576" w:type="dxa"/>
            <w:noWrap/>
            <w:hideMark/>
          </w:tcPr>
          <w:p w14:paraId="6E0C910A"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0.078</w:t>
            </w:r>
          </w:p>
        </w:tc>
        <w:tc>
          <w:tcPr>
            <w:tcW w:w="576" w:type="dxa"/>
            <w:noWrap/>
            <w:hideMark/>
          </w:tcPr>
          <w:p w14:paraId="73252065"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-0.109</w:t>
            </w:r>
          </w:p>
        </w:tc>
        <w:tc>
          <w:tcPr>
            <w:tcW w:w="576" w:type="dxa"/>
            <w:noWrap/>
            <w:hideMark/>
          </w:tcPr>
          <w:p w14:paraId="7258B4F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-0.079</w:t>
            </w:r>
          </w:p>
        </w:tc>
        <w:tc>
          <w:tcPr>
            <w:tcW w:w="576" w:type="dxa"/>
            <w:noWrap/>
            <w:hideMark/>
          </w:tcPr>
          <w:p w14:paraId="5022F4FE"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0.080</w:t>
            </w:r>
          </w:p>
        </w:tc>
        <w:tc>
          <w:tcPr>
            <w:tcW w:w="747" w:type="dxa"/>
            <w:noWrap/>
            <w:hideMark/>
          </w:tcPr>
          <w:p w14:paraId="681D93F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-0.017</w:t>
            </w:r>
          </w:p>
        </w:tc>
      </w:tr>
      <w:tr w:rsidR="007803C2" w:rsidRPr="007803C2" w14:paraId="28E18D4E" w14:textId="77777777" w:rsidTr="007803C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190BCE1E"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UI</w:t>
            </w:r>
          </w:p>
        </w:tc>
        <w:tc>
          <w:tcPr>
            <w:tcW w:w="576" w:type="dxa"/>
            <w:noWrap/>
            <w:hideMark/>
          </w:tcPr>
          <w:p w14:paraId="74EF19FB"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-0.487</w:t>
            </w:r>
          </w:p>
        </w:tc>
        <w:tc>
          <w:tcPr>
            <w:tcW w:w="576" w:type="dxa"/>
            <w:noWrap/>
            <w:hideMark/>
          </w:tcPr>
          <w:p w14:paraId="13C49E29"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-0.052</w:t>
            </w:r>
          </w:p>
        </w:tc>
        <w:tc>
          <w:tcPr>
            <w:tcW w:w="576" w:type="dxa"/>
            <w:noWrap/>
            <w:hideMark/>
          </w:tcPr>
          <w:p w14:paraId="78F434A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-0.731</w:t>
            </w:r>
          </w:p>
        </w:tc>
        <w:tc>
          <w:tcPr>
            <w:tcW w:w="576" w:type="dxa"/>
            <w:noWrap/>
            <w:hideMark/>
          </w:tcPr>
          <w:p w14:paraId="4B93E4FF"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-0.598</w:t>
            </w:r>
          </w:p>
        </w:tc>
        <w:tc>
          <w:tcPr>
            <w:tcW w:w="576" w:type="dxa"/>
            <w:noWrap/>
            <w:hideMark/>
          </w:tcPr>
          <w:p w14:paraId="03C4E2A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-0.313</w:t>
            </w:r>
          </w:p>
        </w:tc>
        <w:tc>
          <w:tcPr>
            <w:tcW w:w="576" w:type="dxa"/>
            <w:noWrap/>
            <w:hideMark/>
          </w:tcPr>
          <w:p w14:paraId="3338F119"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-0.058</w:t>
            </w:r>
          </w:p>
        </w:tc>
        <w:tc>
          <w:tcPr>
            <w:tcW w:w="576" w:type="dxa"/>
            <w:noWrap/>
            <w:hideMark/>
          </w:tcPr>
          <w:p w14:paraId="2A86154A"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-0.373</w:t>
            </w:r>
          </w:p>
        </w:tc>
        <w:tc>
          <w:tcPr>
            <w:tcW w:w="576" w:type="dxa"/>
            <w:noWrap/>
            <w:hideMark/>
          </w:tcPr>
          <w:p w14:paraId="74EB7D1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0.048</w:t>
            </w:r>
          </w:p>
        </w:tc>
        <w:tc>
          <w:tcPr>
            <w:tcW w:w="576" w:type="dxa"/>
            <w:noWrap/>
            <w:hideMark/>
          </w:tcPr>
          <w:p w14:paraId="092BBB7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-0.167</w:t>
            </w:r>
          </w:p>
        </w:tc>
        <w:tc>
          <w:tcPr>
            <w:tcW w:w="576" w:type="dxa"/>
            <w:noWrap/>
            <w:hideMark/>
          </w:tcPr>
          <w:p w14:paraId="6DC2CC4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-0.077</w:t>
            </w:r>
          </w:p>
        </w:tc>
        <w:tc>
          <w:tcPr>
            <w:tcW w:w="576" w:type="dxa"/>
            <w:noWrap/>
            <w:hideMark/>
          </w:tcPr>
          <w:p w14:paraId="6523545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1766C54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0.183</w:t>
            </w:r>
          </w:p>
        </w:tc>
        <w:tc>
          <w:tcPr>
            <w:tcW w:w="576" w:type="dxa"/>
            <w:noWrap/>
            <w:hideMark/>
          </w:tcPr>
          <w:p w14:paraId="5CABE9F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-0.425</w:t>
            </w:r>
          </w:p>
        </w:tc>
        <w:tc>
          <w:tcPr>
            <w:tcW w:w="576" w:type="dxa"/>
            <w:noWrap/>
            <w:hideMark/>
          </w:tcPr>
          <w:p w14:paraId="4A3AD3FC"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-0.229</w:t>
            </w:r>
          </w:p>
        </w:tc>
        <w:tc>
          <w:tcPr>
            <w:tcW w:w="576" w:type="dxa"/>
            <w:noWrap/>
            <w:hideMark/>
          </w:tcPr>
          <w:p w14:paraId="4DE35A0A"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-0.461</w:t>
            </w:r>
          </w:p>
        </w:tc>
        <w:tc>
          <w:tcPr>
            <w:tcW w:w="576" w:type="dxa"/>
            <w:noWrap/>
            <w:hideMark/>
          </w:tcPr>
          <w:p w14:paraId="2602164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0.022</w:t>
            </w:r>
          </w:p>
        </w:tc>
        <w:tc>
          <w:tcPr>
            <w:tcW w:w="576" w:type="dxa"/>
            <w:noWrap/>
            <w:hideMark/>
          </w:tcPr>
          <w:p w14:paraId="391CE00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-0.391</w:t>
            </w:r>
          </w:p>
        </w:tc>
        <w:tc>
          <w:tcPr>
            <w:tcW w:w="576" w:type="dxa"/>
            <w:noWrap/>
            <w:hideMark/>
          </w:tcPr>
          <w:p w14:paraId="23CA742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-0.020</w:t>
            </w:r>
          </w:p>
        </w:tc>
        <w:tc>
          <w:tcPr>
            <w:tcW w:w="576" w:type="dxa"/>
            <w:noWrap/>
            <w:hideMark/>
          </w:tcPr>
          <w:p w14:paraId="28D61A2A"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-0.202</w:t>
            </w:r>
          </w:p>
        </w:tc>
        <w:tc>
          <w:tcPr>
            <w:tcW w:w="576" w:type="dxa"/>
            <w:noWrap/>
            <w:hideMark/>
          </w:tcPr>
          <w:p w14:paraId="38B6809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0.189</w:t>
            </w:r>
          </w:p>
        </w:tc>
        <w:tc>
          <w:tcPr>
            <w:tcW w:w="747" w:type="dxa"/>
            <w:noWrap/>
            <w:hideMark/>
          </w:tcPr>
          <w:p w14:paraId="4C71128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0.022</w:t>
            </w:r>
          </w:p>
        </w:tc>
      </w:tr>
      <w:tr w:rsidR="007803C2" w:rsidRPr="007803C2" w14:paraId="05937DED" w14:textId="77777777" w:rsidTr="007803C2">
        <w:trPr>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6FF6BA42"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ATR</w:t>
            </w:r>
          </w:p>
        </w:tc>
        <w:tc>
          <w:tcPr>
            <w:tcW w:w="576" w:type="dxa"/>
            <w:noWrap/>
            <w:hideMark/>
          </w:tcPr>
          <w:p w14:paraId="67545668"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-0.075</w:t>
            </w:r>
          </w:p>
        </w:tc>
        <w:tc>
          <w:tcPr>
            <w:tcW w:w="576" w:type="dxa"/>
            <w:noWrap/>
            <w:hideMark/>
          </w:tcPr>
          <w:p w14:paraId="2983CB4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0.811</w:t>
            </w:r>
          </w:p>
        </w:tc>
        <w:tc>
          <w:tcPr>
            <w:tcW w:w="576" w:type="dxa"/>
            <w:noWrap/>
            <w:hideMark/>
          </w:tcPr>
          <w:p w14:paraId="401ACB39"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-0.149</w:t>
            </w:r>
          </w:p>
        </w:tc>
        <w:tc>
          <w:tcPr>
            <w:tcW w:w="576" w:type="dxa"/>
            <w:noWrap/>
            <w:hideMark/>
          </w:tcPr>
          <w:p w14:paraId="5EF30E6A"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-0.075</w:t>
            </w:r>
          </w:p>
        </w:tc>
        <w:tc>
          <w:tcPr>
            <w:tcW w:w="576" w:type="dxa"/>
            <w:noWrap/>
            <w:hideMark/>
          </w:tcPr>
          <w:p w14:paraId="2D7CE801"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-0.080</w:t>
            </w:r>
          </w:p>
        </w:tc>
        <w:tc>
          <w:tcPr>
            <w:tcW w:w="576" w:type="dxa"/>
            <w:noWrap/>
            <w:hideMark/>
          </w:tcPr>
          <w:p w14:paraId="2BDD2CA1"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0.493</w:t>
            </w:r>
          </w:p>
        </w:tc>
        <w:tc>
          <w:tcPr>
            <w:tcW w:w="576" w:type="dxa"/>
            <w:noWrap/>
            <w:hideMark/>
          </w:tcPr>
          <w:p w14:paraId="5F05F42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0.000</w:t>
            </w:r>
          </w:p>
        </w:tc>
        <w:tc>
          <w:tcPr>
            <w:tcW w:w="576" w:type="dxa"/>
            <w:noWrap/>
            <w:hideMark/>
          </w:tcPr>
          <w:p w14:paraId="027469F1"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0.072</w:t>
            </w:r>
          </w:p>
        </w:tc>
        <w:tc>
          <w:tcPr>
            <w:tcW w:w="576" w:type="dxa"/>
            <w:noWrap/>
            <w:hideMark/>
          </w:tcPr>
          <w:p w14:paraId="4710F9F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-0.026</w:t>
            </w:r>
          </w:p>
        </w:tc>
        <w:tc>
          <w:tcPr>
            <w:tcW w:w="576" w:type="dxa"/>
            <w:noWrap/>
            <w:hideMark/>
          </w:tcPr>
          <w:p w14:paraId="7153955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0.587</w:t>
            </w:r>
          </w:p>
        </w:tc>
        <w:tc>
          <w:tcPr>
            <w:tcW w:w="576" w:type="dxa"/>
            <w:noWrap/>
            <w:hideMark/>
          </w:tcPr>
          <w:p w14:paraId="2E95E69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0.183</w:t>
            </w:r>
          </w:p>
        </w:tc>
        <w:tc>
          <w:tcPr>
            <w:tcW w:w="576" w:type="dxa"/>
            <w:noWrap/>
            <w:hideMark/>
          </w:tcPr>
          <w:p w14:paraId="47BB94D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024A6E4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-0.057</w:t>
            </w:r>
          </w:p>
        </w:tc>
        <w:tc>
          <w:tcPr>
            <w:tcW w:w="576" w:type="dxa"/>
            <w:noWrap/>
            <w:hideMark/>
          </w:tcPr>
          <w:p w14:paraId="7C754FAA"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-0.032</w:t>
            </w:r>
          </w:p>
        </w:tc>
        <w:tc>
          <w:tcPr>
            <w:tcW w:w="576" w:type="dxa"/>
            <w:noWrap/>
            <w:hideMark/>
          </w:tcPr>
          <w:p w14:paraId="3B7E1D9A"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-0.004</w:t>
            </w:r>
          </w:p>
        </w:tc>
        <w:tc>
          <w:tcPr>
            <w:tcW w:w="576" w:type="dxa"/>
            <w:noWrap/>
            <w:hideMark/>
          </w:tcPr>
          <w:p w14:paraId="70427CA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0.000</w:t>
            </w:r>
          </w:p>
        </w:tc>
        <w:tc>
          <w:tcPr>
            <w:tcW w:w="576" w:type="dxa"/>
            <w:noWrap/>
            <w:hideMark/>
          </w:tcPr>
          <w:p w14:paraId="41B4049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-0.025</w:t>
            </w:r>
          </w:p>
        </w:tc>
        <w:tc>
          <w:tcPr>
            <w:tcW w:w="576" w:type="dxa"/>
            <w:noWrap/>
            <w:hideMark/>
          </w:tcPr>
          <w:p w14:paraId="3221792A"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-0.087</w:t>
            </w:r>
          </w:p>
        </w:tc>
        <w:tc>
          <w:tcPr>
            <w:tcW w:w="576" w:type="dxa"/>
            <w:noWrap/>
            <w:hideMark/>
          </w:tcPr>
          <w:p w14:paraId="4932055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-0.061</w:t>
            </w:r>
          </w:p>
        </w:tc>
        <w:tc>
          <w:tcPr>
            <w:tcW w:w="576" w:type="dxa"/>
            <w:noWrap/>
            <w:hideMark/>
          </w:tcPr>
          <w:p w14:paraId="1F03C69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0.169</w:t>
            </w:r>
          </w:p>
        </w:tc>
        <w:tc>
          <w:tcPr>
            <w:tcW w:w="747" w:type="dxa"/>
            <w:noWrap/>
            <w:hideMark/>
          </w:tcPr>
          <w:p w14:paraId="6EE5EBC9"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-0.004</w:t>
            </w:r>
          </w:p>
        </w:tc>
      </w:tr>
      <w:tr w:rsidR="007803C2" w:rsidRPr="007803C2" w14:paraId="51887F18" w14:textId="77777777" w:rsidTr="007803C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0652A2FA"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BB</w:t>
            </w:r>
          </w:p>
        </w:tc>
        <w:tc>
          <w:tcPr>
            <w:tcW w:w="576" w:type="dxa"/>
            <w:noWrap/>
            <w:hideMark/>
          </w:tcPr>
          <w:p w14:paraId="2B42F4F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0.269</w:t>
            </w:r>
          </w:p>
        </w:tc>
        <w:tc>
          <w:tcPr>
            <w:tcW w:w="576" w:type="dxa"/>
            <w:noWrap/>
            <w:hideMark/>
          </w:tcPr>
          <w:p w14:paraId="42BB63CB"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0.007</w:t>
            </w:r>
          </w:p>
        </w:tc>
        <w:tc>
          <w:tcPr>
            <w:tcW w:w="576" w:type="dxa"/>
            <w:noWrap/>
            <w:hideMark/>
          </w:tcPr>
          <w:p w14:paraId="29F03CF6"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0.339</w:t>
            </w:r>
          </w:p>
        </w:tc>
        <w:tc>
          <w:tcPr>
            <w:tcW w:w="576" w:type="dxa"/>
            <w:noWrap/>
            <w:hideMark/>
          </w:tcPr>
          <w:p w14:paraId="005F7786"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0.868</w:t>
            </w:r>
          </w:p>
        </w:tc>
        <w:tc>
          <w:tcPr>
            <w:tcW w:w="576" w:type="dxa"/>
            <w:noWrap/>
            <w:hideMark/>
          </w:tcPr>
          <w:p w14:paraId="6978EE19"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0.700</w:t>
            </w:r>
          </w:p>
        </w:tc>
        <w:tc>
          <w:tcPr>
            <w:tcW w:w="576" w:type="dxa"/>
            <w:noWrap/>
            <w:hideMark/>
          </w:tcPr>
          <w:p w14:paraId="5F532B8B"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0.027</w:t>
            </w:r>
          </w:p>
        </w:tc>
        <w:tc>
          <w:tcPr>
            <w:tcW w:w="576" w:type="dxa"/>
            <w:noWrap/>
            <w:hideMark/>
          </w:tcPr>
          <w:p w14:paraId="14BA626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0.537</w:t>
            </w:r>
          </w:p>
        </w:tc>
        <w:tc>
          <w:tcPr>
            <w:tcW w:w="576" w:type="dxa"/>
            <w:noWrap/>
            <w:hideMark/>
          </w:tcPr>
          <w:p w14:paraId="4D5D699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0.038</w:t>
            </w:r>
          </w:p>
        </w:tc>
        <w:tc>
          <w:tcPr>
            <w:tcW w:w="576" w:type="dxa"/>
            <w:noWrap/>
            <w:hideMark/>
          </w:tcPr>
          <w:p w14:paraId="13A7FEA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0.142</w:t>
            </w:r>
          </w:p>
        </w:tc>
        <w:tc>
          <w:tcPr>
            <w:tcW w:w="576" w:type="dxa"/>
            <w:noWrap/>
            <w:hideMark/>
          </w:tcPr>
          <w:p w14:paraId="2EE1F74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0.062</w:t>
            </w:r>
          </w:p>
        </w:tc>
        <w:tc>
          <w:tcPr>
            <w:tcW w:w="576" w:type="dxa"/>
            <w:noWrap/>
            <w:hideMark/>
          </w:tcPr>
          <w:p w14:paraId="2DD77299"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-0.425</w:t>
            </w:r>
          </w:p>
        </w:tc>
        <w:tc>
          <w:tcPr>
            <w:tcW w:w="576" w:type="dxa"/>
            <w:noWrap/>
            <w:hideMark/>
          </w:tcPr>
          <w:p w14:paraId="3D54265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-0.057</w:t>
            </w:r>
          </w:p>
        </w:tc>
        <w:tc>
          <w:tcPr>
            <w:tcW w:w="576" w:type="dxa"/>
            <w:noWrap/>
            <w:hideMark/>
          </w:tcPr>
          <w:p w14:paraId="604F610B"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604ADEDA"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0.850</w:t>
            </w:r>
          </w:p>
        </w:tc>
        <w:tc>
          <w:tcPr>
            <w:tcW w:w="576" w:type="dxa"/>
            <w:noWrap/>
            <w:hideMark/>
          </w:tcPr>
          <w:p w14:paraId="335434B4"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0.789</w:t>
            </w:r>
          </w:p>
        </w:tc>
        <w:tc>
          <w:tcPr>
            <w:tcW w:w="576" w:type="dxa"/>
            <w:noWrap/>
            <w:hideMark/>
          </w:tcPr>
          <w:p w14:paraId="4076994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0.074</w:t>
            </w:r>
          </w:p>
        </w:tc>
        <w:tc>
          <w:tcPr>
            <w:tcW w:w="576" w:type="dxa"/>
            <w:noWrap/>
            <w:hideMark/>
          </w:tcPr>
          <w:p w14:paraId="20E257D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0.925</w:t>
            </w:r>
          </w:p>
        </w:tc>
        <w:tc>
          <w:tcPr>
            <w:tcW w:w="576" w:type="dxa"/>
            <w:noWrap/>
            <w:hideMark/>
          </w:tcPr>
          <w:p w14:paraId="265084EF"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-0.133</w:t>
            </w:r>
          </w:p>
        </w:tc>
        <w:tc>
          <w:tcPr>
            <w:tcW w:w="576" w:type="dxa"/>
            <w:noWrap/>
            <w:hideMark/>
          </w:tcPr>
          <w:p w14:paraId="7A0896A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0.419</w:t>
            </w:r>
          </w:p>
        </w:tc>
        <w:tc>
          <w:tcPr>
            <w:tcW w:w="576" w:type="dxa"/>
            <w:noWrap/>
            <w:hideMark/>
          </w:tcPr>
          <w:p w14:paraId="36881F4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-0.065</w:t>
            </w:r>
          </w:p>
        </w:tc>
        <w:tc>
          <w:tcPr>
            <w:tcW w:w="747" w:type="dxa"/>
            <w:noWrap/>
            <w:hideMark/>
          </w:tcPr>
          <w:p w14:paraId="1F24602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-0.027</w:t>
            </w:r>
          </w:p>
        </w:tc>
      </w:tr>
      <w:tr w:rsidR="007803C2" w:rsidRPr="007803C2" w14:paraId="3EAFC801" w14:textId="77777777" w:rsidTr="007803C2">
        <w:trPr>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7C80A2E4"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DC</w:t>
            </w:r>
          </w:p>
        </w:tc>
        <w:tc>
          <w:tcPr>
            <w:tcW w:w="576" w:type="dxa"/>
            <w:noWrap/>
            <w:hideMark/>
          </w:tcPr>
          <w:p w14:paraId="6DF60999"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0.171</w:t>
            </w:r>
          </w:p>
        </w:tc>
        <w:tc>
          <w:tcPr>
            <w:tcW w:w="576" w:type="dxa"/>
            <w:noWrap/>
            <w:hideMark/>
          </w:tcPr>
          <w:p w14:paraId="12DB2DB1"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-0.008</w:t>
            </w:r>
          </w:p>
        </w:tc>
        <w:tc>
          <w:tcPr>
            <w:tcW w:w="576" w:type="dxa"/>
            <w:noWrap/>
            <w:hideMark/>
          </w:tcPr>
          <w:p w14:paraId="7D74A38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0.168</w:t>
            </w:r>
          </w:p>
        </w:tc>
        <w:tc>
          <w:tcPr>
            <w:tcW w:w="576" w:type="dxa"/>
            <w:noWrap/>
            <w:hideMark/>
          </w:tcPr>
          <w:p w14:paraId="7EB390FE"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0.741</w:t>
            </w:r>
          </w:p>
        </w:tc>
        <w:tc>
          <w:tcPr>
            <w:tcW w:w="576" w:type="dxa"/>
            <w:noWrap/>
            <w:hideMark/>
          </w:tcPr>
          <w:p w14:paraId="49CE5DC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0.604</w:t>
            </w:r>
          </w:p>
        </w:tc>
        <w:tc>
          <w:tcPr>
            <w:tcW w:w="576" w:type="dxa"/>
            <w:noWrap/>
            <w:hideMark/>
          </w:tcPr>
          <w:p w14:paraId="0CF07EBA"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0.024</w:t>
            </w:r>
          </w:p>
        </w:tc>
        <w:tc>
          <w:tcPr>
            <w:tcW w:w="576" w:type="dxa"/>
            <w:noWrap/>
            <w:hideMark/>
          </w:tcPr>
          <w:p w14:paraId="013A5A79"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0.482</w:t>
            </w:r>
          </w:p>
        </w:tc>
        <w:tc>
          <w:tcPr>
            <w:tcW w:w="576" w:type="dxa"/>
            <w:noWrap/>
            <w:hideMark/>
          </w:tcPr>
          <w:p w14:paraId="36AD909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0.026</w:t>
            </w:r>
          </w:p>
        </w:tc>
        <w:tc>
          <w:tcPr>
            <w:tcW w:w="576" w:type="dxa"/>
            <w:noWrap/>
            <w:hideMark/>
          </w:tcPr>
          <w:p w14:paraId="3B902F38"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0.099</w:t>
            </w:r>
          </w:p>
        </w:tc>
        <w:tc>
          <w:tcPr>
            <w:tcW w:w="576" w:type="dxa"/>
            <w:noWrap/>
            <w:hideMark/>
          </w:tcPr>
          <w:p w14:paraId="2570582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0.052</w:t>
            </w:r>
          </w:p>
        </w:tc>
        <w:tc>
          <w:tcPr>
            <w:tcW w:w="576" w:type="dxa"/>
            <w:noWrap/>
            <w:hideMark/>
          </w:tcPr>
          <w:p w14:paraId="61F29DB8"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-0.229</w:t>
            </w:r>
          </w:p>
        </w:tc>
        <w:tc>
          <w:tcPr>
            <w:tcW w:w="576" w:type="dxa"/>
            <w:noWrap/>
            <w:hideMark/>
          </w:tcPr>
          <w:p w14:paraId="3399759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-0.032</w:t>
            </w:r>
          </w:p>
        </w:tc>
        <w:tc>
          <w:tcPr>
            <w:tcW w:w="576" w:type="dxa"/>
            <w:noWrap/>
            <w:hideMark/>
          </w:tcPr>
          <w:p w14:paraId="2141AC61"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0.850</w:t>
            </w:r>
          </w:p>
        </w:tc>
        <w:tc>
          <w:tcPr>
            <w:tcW w:w="576" w:type="dxa"/>
            <w:noWrap/>
            <w:hideMark/>
          </w:tcPr>
          <w:p w14:paraId="6F7EBC6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6C0DEFD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0.659</w:t>
            </w:r>
          </w:p>
        </w:tc>
        <w:tc>
          <w:tcPr>
            <w:tcW w:w="576" w:type="dxa"/>
            <w:noWrap/>
            <w:hideMark/>
          </w:tcPr>
          <w:p w14:paraId="6DB5F446"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0.051</w:t>
            </w:r>
          </w:p>
        </w:tc>
        <w:tc>
          <w:tcPr>
            <w:tcW w:w="576" w:type="dxa"/>
            <w:noWrap/>
            <w:hideMark/>
          </w:tcPr>
          <w:p w14:paraId="7869090D"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0.732</w:t>
            </w:r>
          </w:p>
        </w:tc>
        <w:tc>
          <w:tcPr>
            <w:tcW w:w="576" w:type="dxa"/>
            <w:noWrap/>
            <w:hideMark/>
          </w:tcPr>
          <w:p w14:paraId="708D400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-0.122</w:t>
            </w:r>
          </w:p>
        </w:tc>
        <w:tc>
          <w:tcPr>
            <w:tcW w:w="576" w:type="dxa"/>
            <w:noWrap/>
            <w:hideMark/>
          </w:tcPr>
          <w:p w14:paraId="75DDC2E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0.383</w:t>
            </w:r>
          </w:p>
        </w:tc>
        <w:tc>
          <w:tcPr>
            <w:tcW w:w="576" w:type="dxa"/>
            <w:noWrap/>
            <w:hideMark/>
          </w:tcPr>
          <w:p w14:paraId="5789FB18"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-0.022</w:t>
            </w:r>
          </w:p>
        </w:tc>
        <w:tc>
          <w:tcPr>
            <w:tcW w:w="747" w:type="dxa"/>
            <w:noWrap/>
            <w:hideMark/>
          </w:tcPr>
          <w:p w14:paraId="63729AF6"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-0.030</w:t>
            </w:r>
          </w:p>
        </w:tc>
      </w:tr>
      <w:tr w:rsidR="007803C2" w:rsidRPr="007803C2" w14:paraId="31413538" w14:textId="77777777" w:rsidTr="007803C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789892C5"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KC</w:t>
            </w:r>
          </w:p>
        </w:tc>
        <w:tc>
          <w:tcPr>
            <w:tcW w:w="576" w:type="dxa"/>
            <w:noWrap/>
            <w:hideMark/>
          </w:tcPr>
          <w:p w14:paraId="1043898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0.346</w:t>
            </w:r>
          </w:p>
        </w:tc>
        <w:tc>
          <w:tcPr>
            <w:tcW w:w="576" w:type="dxa"/>
            <w:noWrap/>
            <w:hideMark/>
          </w:tcPr>
          <w:p w14:paraId="0A00B4FA"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0.072</w:t>
            </w:r>
          </w:p>
        </w:tc>
        <w:tc>
          <w:tcPr>
            <w:tcW w:w="576" w:type="dxa"/>
            <w:noWrap/>
            <w:hideMark/>
          </w:tcPr>
          <w:p w14:paraId="582B8AA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0.470</w:t>
            </w:r>
          </w:p>
        </w:tc>
        <w:tc>
          <w:tcPr>
            <w:tcW w:w="576" w:type="dxa"/>
            <w:noWrap/>
            <w:hideMark/>
          </w:tcPr>
          <w:p w14:paraId="1971F19F"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0.823</w:t>
            </w:r>
          </w:p>
        </w:tc>
        <w:tc>
          <w:tcPr>
            <w:tcW w:w="576" w:type="dxa"/>
            <w:noWrap/>
            <w:hideMark/>
          </w:tcPr>
          <w:p w14:paraId="434F1DE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0.592</w:t>
            </w:r>
          </w:p>
        </w:tc>
        <w:tc>
          <w:tcPr>
            <w:tcW w:w="576" w:type="dxa"/>
            <w:noWrap/>
            <w:hideMark/>
          </w:tcPr>
          <w:p w14:paraId="4D3B0926"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0.071</w:t>
            </w:r>
          </w:p>
        </w:tc>
        <w:tc>
          <w:tcPr>
            <w:tcW w:w="576" w:type="dxa"/>
            <w:noWrap/>
            <w:hideMark/>
          </w:tcPr>
          <w:p w14:paraId="6CDAD5A9"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0.519</w:t>
            </w:r>
          </w:p>
        </w:tc>
        <w:tc>
          <w:tcPr>
            <w:tcW w:w="576" w:type="dxa"/>
            <w:noWrap/>
            <w:hideMark/>
          </w:tcPr>
          <w:p w14:paraId="2243B2F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0.037</w:t>
            </w:r>
          </w:p>
        </w:tc>
        <w:tc>
          <w:tcPr>
            <w:tcW w:w="576" w:type="dxa"/>
            <w:noWrap/>
            <w:hideMark/>
          </w:tcPr>
          <w:p w14:paraId="1A34E62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0.299</w:t>
            </w:r>
          </w:p>
        </w:tc>
        <w:tc>
          <w:tcPr>
            <w:tcW w:w="576" w:type="dxa"/>
            <w:noWrap/>
            <w:hideMark/>
          </w:tcPr>
          <w:p w14:paraId="7A6F144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0.041</w:t>
            </w:r>
          </w:p>
        </w:tc>
        <w:tc>
          <w:tcPr>
            <w:tcW w:w="576" w:type="dxa"/>
            <w:noWrap/>
            <w:hideMark/>
          </w:tcPr>
          <w:p w14:paraId="1269D00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-0.461</w:t>
            </w:r>
          </w:p>
        </w:tc>
        <w:tc>
          <w:tcPr>
            <w:tcW w:w="576" w:type="dxa"/>
            <w:noWrap/>
            <w:hideMark/>
          </w:tcPr>
          <w:p w14:paraId="005E1CC6"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-0.004</w:t>
            </w:r>
          </w:p>
        </w:tc>
        <w:tc>
          <w:tcPr>
            <w:tcW w:w="576" w:type="dxa"/>
            <w:noWrap/>
            <w:hideMark/>
          </w:tcPr>
          <w:p w14:paraId="358279F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0.789</w:t>
            </w:r>
          </w:p>
        </w:tc>
        <w:tc>
          <w:tcPr>
            <w:tcW w:w="576" w:type="dxa"/>
            <w:noWrap/>
            <w:hideMark/>
          </w:tcPr>
          <w:p w14:paraId="698D2496"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0.659</w:t>
            </w:r>
          </w:p>
        </w:tc>
        <w:tc>
          <w:tcPr>
            <w:tcW w:w="576" w:type="dxa"/>
            <w:noWrap/>
            <w:hideMark/>
          </w:tcPr>
          <w:p w14:paraId="66C17764"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270E1C8F"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0.095</w:t>
            </w:r>
          </w:p>
        </w:tc>
        <w:tc>
          <w:tcPr>
            <w:tcW w:w="576" w:type="dxa"/>
            <w:noWrap/>
            <w:hideMark/>
          </w:tcPr>
          <w:p w14:paraId="636A5CA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0.785</w:t>
            </w:r>
          </w:p>
        </w:tc>
        <w:tc>
          <w:tcPr>
            <w:tcW w:w="576" w:type="dxa"/>
            <w:noWrap/>
            <w:hideMark/>
          </w:tcPr>
          <w:p w14:paraId="0270A60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-0.100</w:t>
            </w:r>
          </w:p>
        </w:tc>
        <w:tc>
          <w:tcPr>
            <w:tcW w:w="576" w:type="dxa"/>
            <w:noWrap/>
            <w:hideMark/>
          </w:tcPr>
          <w:p w14:paraId="369DC84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0.387</w:t>
            </w:r>
          </w:p>
        </w:tc>
        <w:tc>
          <w:tcPr>
            <w:tcW w:w="576" w:type="dxa"/>
            <w:noWrap/>
            <w:hideMark/>
          </w:tcPr>
          <w:p w14:paraId="5E187FE4"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-0.021</w:t>
            </w:r>
          </w:p>
        </w:tc>
        <w:tc>
          <w:tcPr>
            <w:tcW w:w="747" w:type="dxa"/>
            <w:noWrap/>
            <w:hideMark/>
          </w:tcPr>
          <w:p w14:paraId="6CEF3E98"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-0.025</w:t>
            </w:r>
          </w:p>
        </w:tc>
      </w:tr>
      <w:tr w:rsidR="007803C2" w:rsidRPr="007803C2" w14:paraId="45BBDF06" w14:textId="77777777" w:rsidTr="007803C2">
        <w:trPr>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2DA383AE"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ADX</w:t>
            </w:r>
          </w:p>
        </w:tc>
        <w:tc>
          <w:tcPr>
            <w:tcW w:w="576" w:type="dxa"/>
            <w:noWrap/>
            <w:hideMark/>
          </w:tcPr>
          <w:p w14:paraId="74FF77F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0.038</w:t>
            </w:r>
          </w:p>
        </w:tc>
        <w:tc>
          <w:tcPr>
            <w:tcW w:w="576" w:type="dxa"/>
            <w:noWrap/>
            <w:hideMark/>
          </w:tcPr>
          <w:p w14:paraId="07AAED38"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-0.015</w:t>
            </w:r>
          </w:p>
        </w:tc>
        <w:tc>
          <w:tcPr>
            <w:tcW w:w="576" w:type="dxa"/>
            <w:noWrap/>
            <w:hideMark/>
          </w:tcPr>
          <w:p w14:paraId="435B3BC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0.180</w:t>
            </w:r>
          </w:p>
        </w:tc>
        <w:tc>
          <w:tcPr>
            <w:tcW w:w="576" w:type="dxa"/>
            <w:noWrap/>
            <w:hideMark/>
          </w:tcPr>
          <w:p w14:paraId="1E106715"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0.205</w:t>
            </w:r>
          </w:p>
        </w:tc>
        <w:tc>
          <w:tcPr>
            <w:tcW w:w="576" w:type="dxa"/>
            <w:noWrap/>
            <w:hideMark/>
          </w:tcPr>
          <w:p w14:paraId="764F4FCA"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0.132</w:t>
            </w:r>
          </w:p>
        </w:tc>
        <w:tc>
          <w:tcPr>
            <w:tcW w:w="576" w:type="dxa"/>
            <w:noWrap/>
            <w:hideMark/>
          </w:tcPr>
          <w:p w14:paraId="5BB4FD4E"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0.014</w:t>
            </w:r>
          </w:p>
        </w:tc>
        <w:tc>
          <w:tcPr>
            <w:tcW w:w="576" w:type="dxa"/>
            <w:noWrap/>
            <w:hideMark/>
          </w:tcPr>
          <w:p w14:paraId="49667C2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0.099</w:t>
            </w:r>
          </w:p>
        </w:tc>
        <w:tc>
          <w:tcPr>
            <w:tcW w:w="576" w:type="dxa"/>
            <w:noWrap/>
            <w:hideMark/>
          </w:tcPr>
          <w:p w14:paraId="7BB6477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0.051</w:t>
            </w:r>
          </w:p>
        </w:tc>
        <w:tc>
          <w:tcPr>
            <w:tcW w:w="576" w:type="dxa"/>
            <w:noWrap/>
            <w:hideMark/>
          </w:tcPr>
          <w:p w14:paraId="1AE1D71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0.022</w:t>
            </w:r>
          </w:p>
        </w:tc>
        <w:tc>
          <w:tcPr>
            <w:tcW w:w="576" w:type="dxa"/>
            <w:noWrap/>
            <w:hideMark/>
          </w:tcPr>
          <w:p w14:paraId="65053BE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0.036</w:t>
            </w:r>
          </w:p>
        </w:tc>
        <w:tc>
          <w:tcPr>
            <w:tcW w:w="576" w:type="dxa"/>
            <w:noWrap/>
            <w:hideMark/>
          </w:tcPr>
          <w:p w14:paraId="14D7459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0.022</w:t>
            </w:r>
          </w:p>
        </w:tc>
        <w:tc>
          <w:tcPr>
            <w:tcW w:w="576" w:type="dxa"/>
            <w:noWrap/>
            <w:hideMark/>
          </w:tcPr>
          <w:p w14:paraId="21956855"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0.000</w:t>
            </w:r>
          </w:p>
        </w:tc>
        <w:tc>
          <w:tcPr>
            <w:tcW w:w="576" w:type="dxa"/>
            <w:noWrap/>
            <w:hideMark/>
          </w:tcPr>
          <w:p w14:paraId="7BD03A6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0.074</w:t>
            </w:r>
          </w:p>
        </w:tc>
        <w:tc>
          <w:tcPr>
            <w:tcW w:w="576" w:type="dxa"/>
            <w:noWrap/>
            <w:hideMark/>
          </w:tcPr>
          <w:p w14:paraId="7E5C693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0.051</w:t>
            </w:r>
          </w:p>
        </w:tc>
        <w:tc>
          <w:tcPr>
            <w:tcW w:w="576" w:type="dxa"/>
            <w:noWrap/>
            <w:hideMark/>
          </w:tcPr>
          <w:p w14:paraId="3A3E267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0.095</w:t>
            </w:r>
          </w:p>
        </w:tc>
        <w:tc>
          <w:tcPr>
            <w:tcW w:w="576" w:type="dxa"/>
            <w:noWrap/>
            <w:hideMark/>
          </w:tcPr>
          <w:p w14:paraId="7D55C2C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5E1EEEB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0.062</w:t>
            </w:r>
          </w:p>
        </w:tc>
        <w:tc>
          <w:tcPr>
            <w:tcW w:w="576" w:type="dxa"/>
            <w:noWrap/>
            <w:hideMark/>
          </w:tcPr>
          <w:p w14:paraId="63B8BDD1"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0.009</w:t>
            </w:r>
          </w:p>
        </w:tc>
        <w:tc>
          <w:tcPr>
            <w:tcW w:w="576" w:type="dxa"/>
            <w:noWrap/>
            <w:hideMark/>
          </w:tcPr>
          <w:p w14:paraId="4156E4E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-0.004</w:t>
            </w:r>
          </w:p>
        </w:tc>
        <w:tc>
          <w:tcPr>
            <w:tcW w:w="576" w:type="dxa"/>
            <w:noWrap/>
            <w:hideMark/>
          </w:tcPr>
          <w:p w14:paraId="3D97391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0.205</w:t>
            </w:r>
          </w:p>
        </w:tc>
        <w:tc>
          <w:tcPr>
            <w:tcW w:w="747" w:type="dxa"/>
            <w:noWrap/>
            <w:hideMark/>
          </w:tcPr>
          <w:p w14:paraId="6D753D41"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-0.001</w:t>
            </w:r>
          </w:p>
        </w:tc>
      </w:tr>
      <w:tr w:rsidR="007803C2" w:rsidRPr="007803C2" w14:paraId="191EDF4E" w14:textId="77777777" w:rsidTr="007803C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5367BF1F"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CCI</w:t>
            </w:r>
          </w:p>
        </w:tc>
        <w:tc>
          <w:tcPr>
            <w:tcW w:w="576" w:type="dxa"/>
            <w:noWrap/>
            <w:hideMark/>
          </w:tcPr>
          <w:p w14:paraId="4E1BEF36"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0.268</w:t>
            </w:r>
          </w:p>
        </w:tc>
        <w:tc>
          <w:tcPr>
            <w:tcW w:w="576" w:type="dxa"/>
            <w:noWrap/>
            <w:hideMark/>
          </w:tcPr>
          <w:p w14:paraId="20B4DA7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0.060</w:t>
            </w:r>
          </w:p>
        </w:tc>
        <w:tc>
          <w:tcPr>
            <w:tcW w:w="576" w:type="dxa"/>
            <w:noWrap/>
            <w:hideMark/>
          </w:tcPr>
          <w:p w14:paraId="552EA82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0.324</w:t>
            </w:r>
          </w:p>
        </w:tc>
        <w:tc>
          <w:tcPr>
            <w:tcW w:w="576" w:type="dxa"/>
            <w:noWrap/>
            <w:hideMark/>
          </w:tcPr>
          <w:p w14:paraId="79F5C99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0.782</w:t>
            </w:r>
          </w:p>
        </w:tc>
        <w:tc>
          <w:tcPr>
            <w:tcW w:w="576" w:type="dxa"/>
            <w:noWrap/>
            <w:hideMark/>
          </w:tcPr>
          <w:p w14:paraId="6543957F"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0.648</w:t>
            </w:r>
          </w:p>
        </w:tc>
        <w:tc>
          <w:tcPr>
            <w:tcW w:w="576" w:type="dxa"/>
            <w:noWrap/>
            <w:hideMark/>
          </w:tcPr>
          <w:p w14:paraId="6CCB1BD9"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0.035</w:t>
            </w:r>
          </w:p>
        </w:tc>
        <w:tc>
          <w:tcPr>
            <w:tcW w:w="576" w:type="dxa"/>
            <w:noWrap/>
            <w:hideMark/>
          </w:tcPr>
          <w:p w14:paraId="46F8578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0.475</w:t>
            </w:r>
          </w:p>
        </w:tc>
        <w:tc>
          <w:tcPr>
            <w:tcW w:w="576" w:type="dxa"/>
            <w:noWrap/>
            <w:hideMark/>
          </w:tcPr>
          <w:p w14:paraId="4043C90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0.125</w:t>
            </w:r>
          </w:p>
        </w:tc>
        <w:tc>
          <w:tcPr>
            <w:tcW w:w="576" w:type="dxa"/>
            <w:noWrap/>
            <w:hideMark/>
          </w:tcPr>
          <w:p w14:paraId="03835D8C"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0.199</w:t>
            </w:r>
          </w:p>
        </w:tc>
        <w:tc>
          <w:tcPr>
            <w:tcW w:w="576" w:type="dxa"/>
            <w:noWrap/>
            <w:hideMark/>
          </w:tcPr>
          <w:p w14:paraId="61A87516"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0.078</w:t>
            </w:r>
          </w:p>
        </w:tc>
        <w:tc>
          <w:tcPr>
            <w:tcW w:w="576" w:type="dxa"/>
            <w:noWrap/>
            <w:hideMark/>
          </w:tcPr>
          <w:p w14:paraId="16A0B3CC"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-0.391</w:t>
            </w:r>
          </w:p>
        </w:tc>
        <w:tc>
          <w:tcPr>
            <w:tcW w:w="576" w:type="dxa"/>
            <w:noWrap/>
            <w:hideMark/>
          </w:tcPr>
          <w:p w14:paraId="2E1E54A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-0.025</w:t>
            </w:r>
          </w:p>
        </w:tc>
        <w:tc>
          <w:tcPr>
            <w:tcW w:w="576" w:type="dxa"/>
            <w:noWrap/>
            <w:hideMark/>
          </w:tcPr>
          <w:p w14:paraId="5CA35A3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0.925</w:t>
            </w:r>
          </w:p>
        </w:tc>
        <w:tc>
          <w:tcPr>
            <w:tcW w:w="576" w:type="dxa"/>
            <w:noWrap/>
            <w:hideMark/>
          </w:tcPr>
          <w:p w14:paraId="01C818D8"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0.732</w:t>
            </w:r>
          </w:p>
        </w:tc>
        <w:tc>
          <w:tcPr>
            <w:tcW w:w="576" w:type="dxa"/>
            <w:noWrap/>
            <w:hideMark/>
          </w:tcPr>
          <w:p w14:paraId="746DC06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0.785</w:t>
            </w:r>
          </w:p>
        </w:tc>
        <w:tc>
          <w:tcPr>
            <w:tcW w:w="576" w:type="dxa"/>
            <w:noWrap/>
            <w:hideMark/>
          </w:tcPr>
          <w:p w14:paraId="317C0B04"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0.062</w:t>
            </w:r>
          </w:p>
        </w:tc>
        <w:tc>
          <w:tcPr>
            <w:tcW w:w="576" w:type="dxa"/>
            <w:noWrap/>
            <w:hideMark/>
          </w:tcPr>
          <w:p w14:paraId="7EBF54C4"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0D23EBE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-0.121</w:t>
            </w:r>
          </w:p>
        </w:tc>
        <w:tc>
          <w:tcPr>
            <w:tcW w:w="576" w:type="dxa"/>
            <w:noWrap/>
            <w:hideMark/>
          </w:tcPr>
          <w:p w14:paraId="361CAFD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0.384</w:t>
            </w:r>
          </w:p>
        </w:tc>
        <w:tc>
          <w:tcPr>
            <w:tcW w:w="576" w:type="dxa"/>
            <w:noWrap/>
            <w:hideMark/>
          </w:tcPr>
          <w:p w14:paraId="05929F2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-0.066</w:t>
            </w:r>
          </w:p>
        </w:tc>
        <w:tc>
          <w:tcPr>
            <w:tcW w:w="747" w:type="dxa"/>
            <w:noWrap/>
            <w:hideMark/>
          </w:tcPr>
          <w:p w14:paraId="64F1538B"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-0.024</w:t>
            </w:r>
          </w:p>
        </w:tc>
      </w:tr>
      <w:tr w:rsidR="007803C2" w:rsidRPr="007803C2" w14:paraId="093DC87E" w14:textId="77777777" w:rsidTr="007803C2">
        <w:trPr>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506964B7"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DPO</w:t>
            </w:r>
          </w:p>
        </w:tc>
        <w:tc>
          <w:tcPr>
            <w:tcW w:w="576" w:type="dxa"/>
            <w:noWrap/>
            <w:hideMark/>
          </w:tcPr>
          <w:p w14:paraId="76498EDA"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0.192</w:t>
            </w:r>
          </w:p>
        </w:tc>
        <w:tc>
          <w:tcPr>
            <w:tcW w:w="576" w:type="dxa"/>
            <w:noWrap/>
            <w:hideMark/>
          </w:tcPr>
          <w:p w14:paraId="7EFA413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-0.018</w:t>
            </w:r>
          </w:p>
        </w:tc>
        <w:tc>
          <w:tcPr>
            <w:tcW w:w="576" w:type="dxa"/>
            <w:noWrap/>
            <w:hideMark/>
          </w:tcPr>
          <w:p w14:paraId="61A5F80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0.079</w:t>
            </w:r>
          </w:p>
        </w:tc>
        <w:tc>
          <w:tcPr>
            <w:tcW w:w="576" w:type="dxa"/>
            <w:noWrap/>
            <w:hideMark/>
          </w:tcPr>
          <w:p w14:paraId="372A402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-0.120</w:t>
            </w:r>
          </w:p>
        </w:tc>
        <w:tc>
          <w:tcPr>
            <w:tcW w:w="576" w:type="dxa"/>
            <w:noWrap/>
            <w:hideMark/>
          </w:tcPr>
          <w:p w14:paraId="6AEADBF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-0.097</w:t>
            </w:r>
          </w:p>
        </w:tc>
        <w:tc>
          <w:tcPr>
            <w:tcW w:w="576" w:type="dxa"/>
            <w:noWrap/>
            <w:hideMark/>
          </w:tcPr>
          <w:p w14:paraId="4F04C85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-0.076</w:t>
            </w:r>
          </w:p>
        </w:tc>
        <w:tc>
          <w:tcPr>
            <w:tcW w:w="576" w:type="dxa"/>
            <w:noWrap/>
            <w:hideMark/>
          </w:tcPr>
          <w:p w14:paraId="05860A46"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-0.101</w:t>
            </w:r>
          </w:p>
        </w:tc>
        <w:tc>
          <w:tcPr>
            <w:tcW w:w="576" w:type="dxa"/>
            <w:noWrap/>
            <w:hideMark/>
          </w:tcPr>
          <w:p w14:paraId="0244C50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-0.123</w:t>
            </w:r>
          </w:p>
        </w:tc>
        <w:tc>
          <w:tcPr>
            <w:tcW w:w="576" w:type="dxa"/>
            <w:noWrap/>
            <w:hideMark/>
          </w:tcPr>
          <w:p w14:paraId="234817E1"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0.079</w:t>
            </w:r>
          </w:p>
        </w:tc>
        <w:tc>
          <w:tcPr>
            <w:tcW w:w="576" w:type="dxa"/>
            <w:noWrap/>
            <w:hideMark/>
          </w:tcPr>
          <w:p w14:paraId="1FC8E74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-0.109</w:t>
            </w:r>
          </w:p>
        </w:tc>
        <w:tc>
          <w:tcPr>
            <w:tcW w:w="576" w:type="dxa"/>
            <w:noWrap/>
            <w:hideMark/>
          </w:tcPr>
          <w:p w14:paraId="795CBB9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-0.020</w:t>
            </w:r>
          </w:p>
        </w:tc>
        <w:tc>
          <w:tcPr>
            <w:tcW w:w="576" w:type="dxa"/>
            <w:noWrap/>
            <w:hideMark/>
          </w:tcPr>
          <w:p w14:paraId="7596AB2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-0.087</w:t>
            </w:r>
          </w:p>
        </w:tc>
        <w:tc>
          <w:tcPr>
            <w:tcW w:w="576" w:type="dxa"/>
            <w:noWrap/>
            <w:hideMark/>
          </w:tcPr>
          <w:p w14:paraId="3030389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-0.133</w:t>
            </w:r>
          </w:p>
        </w:tc>
        <w:tc>
          <w:tcPr>
            <w:tcW w:w="576" w:type="dxa"/>
            <w:noWrap/>
            <w:hideMark/>
          </w:tcPr>
          <w:p w14:paraId="44F85286"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-0.122</w:t>
            </w:r>
          </w:p>
        </w:tc>
        <w:tc>
          <w:tcPr>
            <w:tcW w:w="576" w:type="dxa"/>
            <w:noWrap/>
            <w:hideMark/>
          </w:tcPr>
          <w:p w14:paraId="0582ABB6"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-0.100</w:t>
            </w:r>
          </w:p>
        </w:tc>
        <w:tc>
          <w:tcPr>
            <w:tcW w:w="576" w:type="dxa"/>
            <w:noWrap/>
            <w:hideMark/>
          </w:tcPr>
          <w:p w14:paraId="01020E1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0.009</w:t>
            </w:r>
          </w:p>
        </w:tc>
        <w:tc>
          <w:tcPr>
            <w:tcW w:w="576" w:type="dxa"/>
            <w:noWrap/>
            <w:hideMark/>
          </w:tcPr>
          <w:p w14:paraId="46E3E2F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-0.121</w:t>
            </w:r>
          </w:p>
        </w:tc>
        <w:tc>
          <w:tcPr>
            <w:tcW w:w="576" w:type="dxa"/>
            <w:noWrap/>
            <w:hideMark/>
          </w:tcPr>
          <w:p w14:paraId="2F882B8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15FAA5A6"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-0.193</w:t>
            </w:r>
          </w:p>
        </w:tc>
        <w:tc>
          <w:tcPr>
            <w:tcW w:w="576" w:type="dxa"/>
            <w:noWrap/>
            <w:hideMark/>
          </w:tcPr>
          <w:p w14:paraId="4BB18F58"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-0.006</w:t>
            </w:r>
          </w:p>
        </w:tc>
        <w:tc>
          <w:tcPr>
            <w:tcW w:w="747" w:type="dxa"/>
            <w:noWrap/>
            <w:hideMark/>
          </w:tcPr>
          <w:p w14:paraId="75D50C1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0.000</w:t>
            </w:r>
          </w:p>
        </w:tc>
      </w:tr>
      <w:tr w:rsidR="007803C2" w:rsidRPr="007803C2" w14:paraId="09872AF3" w14:textId="77777777" w:rsidTr="007803C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22414040"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MACD</w:t>
            </w:r>
          </w:p>
        </w:tc>
        <w:tc>
          <w:tcPr>
            <w:tcW w:w="576" w:type="dxa"/>
            <w:noWrap/>
            <w:hideMark/>
          </w:tcPr>
          <w:p w14:paraId="3C4A8CC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0.363</w:t>
            </w:r>
          </w:p>
        </w:tc>
        <w:tc>
          <w:tcPr>
            <w:tcW w:w="576" w:type="dxa"/>
            <w:noWrap/>
            <w:hideMark/>
          </w:tcPr>
          <w:p w14:paraId="13066FC1"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-0.049</w:t>
            </w:r>
          </w:p>
        </w:tc>
        <w:tc>
          <w:tcPr>
            <w:tcW w:w="576" w:type="dxa"/>
            <w:noWrap/>
            <w:hideMark/>
          </w:tcPr>
          <w:p w14:paraId="78F9F5F5"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0.098</w:t>
            </w:r>
          </w:p>
        </w:tc>
        <w:tc>
          <w:tcPr>
            <w:tcW w:w="576" w:type="dxa"/>
            <w:noWrap/>
            <w:hideMark/>
          </w:tcPr>
          <w:p w14:paraId="285DB6B6"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0.357</w:t>
            </w:r>
          </w:p>
        </w:tc>
        <w:tc>
          <w:tcPr>
            <w:tcW w:w="576" w:type="dxa"/>
            <w:noWrap/>
            <w:hideMark/>
          </w:tcPr>
          <w:p w14:paraId="2E371D9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0.459</w:t>
            </w:r>
          </w:p>
        </w:tc>
        <w:tc>
          <w:tcPr>
            <w:tcW w:w="576" w:type="dxa"/>
            <w:noWrap/>
            <w:hideMark/>
          </w:tcPr>
          <w:p w14:paraId="1376E98C"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-0.071</w:t>
            </w:r>
          </w:p>
        </w:tc>
        <w:tc>
          <w:tcPr>
            <w:tcW w:w="576" w:type="dxa"/>
            <w:noWrap/>
            <w:hideMark/>
          </w:tcPr>
          <w:p w14:paraId="53EA6278"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0.257</w:t>
            </w:r>
          </w:p>
        </w:tc>
        <w:tc>
          <w:tcPr>
            <w:tcW w:w="576" w:type="dxa"/>
            <w:noWrap/>
            <w:hideMark/>
          </w:tcPr>
          <w:p w14:paraId="61D081CA"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0.112</w:t>
            </w:r>
          </w:p>
        </w:tc>
        <w:tc>
          <w:tcPr>
            <w:tcW w:w="576" w:type="dxa"/>
            <w:noWrap/>
            <w:hideMark/>
          </w:tcPr>
          <w:p w14:paraId="1710075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0.235</w:t>
            </w:r>
          </w:p>
        </w:tc>
        <w:tc>
          <w:tcPr>
            <w:tcW w:w="576" w:type="dxa"/>
            <w:noWrap/>
            <w:hideMark/>
          </w:tcPr>
          <w:p w14:paraId="5CF5553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-0.079</w:t>
            </w:r>
          </w:p>
        </w:tc>
        <w:tc>
          <w:tcPr>
            <w:tcW w:w="576" w:type="dxa"/>
            <w:noWrap/>
            <w:hideMark/>
          </w:tcPr>
          <w:p w14:paraId="4AD3E27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-0.202</w:t>
            </w:r>
          </w:p>
        </w:tc>
        <w:tc>
          <w:tcPr>
            <w:tcW w:w="576" w:type="dxa"/>
            <w:noWrap/>
            <w:hideMark/>
          </w:tcPr>
          <w:p w14:paraId="3DA30EB9"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-0.061</w:t>
            </w:r>
          </w:p>
        </w:tc>
        <w:tc>
          <w:tcPr>
            <w:tcW w:w="576" w:type="dxa"/>
            <w:noWrap/>
            <w:hideMark/>
          </w:tcPr>
          <w:p w14:paraId="3378AAD8"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0.419</w:t>
            </w:r>
          </w:p>
        </w:tc>
        <w:tc>
          <w:tcPr>
            <w:tcW w:w="576" w:type="dxa"/>
            <w:noWrap/>
            <w:hideMark/>
          </w:tcPr>
          <w:p w14:paraId="373EFFE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0.383</w:t>
            </w:r>
          </w:p>
        </w:tc>
        <w:tc>
          <w:tcPr>
            <w:tcW w:w="576" w:type="dxa"/>
            <w:noWrap/>
            <w:hideMark/>
          </w:tcPr>
          <w:p w14:paraId="06ED10A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0.387</w:t>
            </w:r>
          </w:p>
        </w:tc>
        <w:tc>
          <w:tcPr>
            <w:tcW w:w="576" w:type="dxa"/>
            <w:noWrap/>
            <w:hideMark/>
          </w:tcPr>
          <w:p w14:paraId="4FA56DB3"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-0.004</w:t>
            </w:r>
          </w:p>
        </w:tc>
        <w:tc>
          <w:tcPr>
            <w:tcW w:w="576" w:type="dxa"/>
            <w:noWrap/>
            <w:hideMark/>
          </w:tcPr>
          <w:p w14:paraId="186E565A"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0.384</w:t>
            </w:r>
          </w:p>
        </w:tc>
        <w:tc>
          <w:tcPr>
            <w:tcW w:w="576" w:type="dxa"/>
            <w:noWrap/>
            <w:hideMark/>
          </w:tcPr>
          <w:p w14:paraId="5BF38AD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-0.193</w:t>
            </w:r>
          </w:p>
        </w:tc>
        <w:tc>
          <w:tcPr>
            <w:tcW w:w="576" w:type="dxa"/>
            <w:noWrap/>
            <w:hideMark/>
          </w:tcPr>
          <w:p w14:paraId="29234E2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576" w:type="dxa"/>
            <w:noWrap/>
            <w:hideMark/>
          </w:tcPr>
          <w:p w14:paraId="4A78F58B"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-0.087</w:t>
            </w:r>
          </w:p>
        </w:tc>
        <w:tc>
          <w:tcPr>
            <w:tcW w:w="747" w:type="dxa"/>
            <w:noWrap/>
            <w:hideMark/>
          </w:tcPr>
          <w:p w14:paraId="1D70C01F"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-0.018</w:t>
            </w:r>
          </w:p>
        </w:tc>
      </w:tr>
      <w:tr w:rsidR="007803C2" w:rsidRPr="007803C2" w14:paraId="1A3D9CAA" w14:textId="77777777" w:rsidTr="007803C2">
        <w:trPr>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21875CE8" w14:textId="77777777"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MI</w:t>
            </w:r>
          </w:p>
        </w:tc>
        <w:tc>
          <w:tcPr>
            <w:tcW w:w="576" w:type="dxa"/>
            <w:noWrap/>
            <w:hideMark/>
          </w:tcPr>
          <w:p w14:paraId="610405B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-0.051</w:t>
            </w:r>
          </w:p>
        </w:tc>
        <w:tc>
          <w:tcPr>
            <w:tcW w:w="576" w:type="dxa"/>
            <w:noWrap/>
            <w:hideMark/>
          </w:tcPr>
          <w:p w14:paraId="725B809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0.050</w:t>
            </w:r>
          </w:p>
        </w:tc>
        <w:tc>
          <w:tcPr>
            <w:tcW w:w="576" w:type="dxa"/>
            <w:noWrap/>
            <w:hideMark/>
          </w:tcPr>
          <w:p w14:paraId="3B5FFAAA"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0.040</w:t>
            </w:r>
          </w:p>
        </w:tc>
        <w:tc>
          <w:tcPr>
            <w:tcW w:w="576" w:type="dxa"/>
            <w:noWrap/>
            <w:hideMark/>
          </w:tcPr>
          <w:p w14:paraId="6C202A6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-0.020</w:t>
            </w:r>
          </w:p>
        </w:tc>
        <w:tc>
          <w:tcPr>
            <w:tcW w:w="576" w:type="dxa"/>
            <w:noWrap/>
            <w:hideMark/>
          </w:tcPr>
          <w:p w14:paraId="290727FB"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-0.046</w:t>
            </w:r>
          </w:p>
        </w:tc>
        <w:tc>
          <w:tcPr>
            <w:tcW w:w="576" w:type="dxa"/>
            <w:noWrap/>
            <w:hideMark/>
          </w:tcPr>
          <w:p w14:paraId="12958028"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0.010</w:t>
            </w:r>
          </w:p>
        </w:tc>
        <w:tc>
          <w:tcPr>
            <w:tcW w:w="576" w:type="dxa"/>
            <w:noWrap/>
            <w:hideMark/>
          </w:tcPr>
          <w:p w14:paraId="0C624C4F"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-0.051</w:t>
            </w:r>
          </w:p>
        </w:tc>
        <w:tc>
          <w:tcPr>
            <w:tcW w:w="576" w:type="dxa"/>
            <w:noWrap/>
            <w:hideMark/>
          </w:tcPr>
          <w:p w14:paraId="32163B0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-0.064</w:t>
            </w:r>
          </w:p>
        </w:tc>
        <w:tc>
          <w:tcPr>
            <w:tcW w:w="576" w:type="dxa"/>
            <w:noWrap/>
            <w:hideMark/>
          </w:tcPr>
          <w:p w14:paraId="19E27A12"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-0.010</w:t>
            </w:r>
          </w:p>
        </w:tc>
        <w:tc>
          <w:tcPr>
            <w:tcW w:w="576" w:type="dxa"/>
            <w:noWrap/>
            <w:hideMark/>
          </w:tcPr>
          <w:p w14:paraId="2071BCD0"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0.080</w:t>
            </w:r>
          </w:p>
        </w:tc>
        <w:tc>
          <w:tcPr>
            <w:tcW w:w="576" w:type="dxa"/>
            <w:noWrap/>
            <w:hideMark/>
          </w:tcPr>
          <w:p w14:paraId="46653AD9"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0.189</w:t>
            </w:r>
          </w:p>
        </w:tc>
        <w:tc>
          <w:tcPr>
            <w:tcW w:w="576" w:type="dxa"/>
            <w:noWrap/>
            <w:hideMark/>
          </w:tcPr>
          <w:p w14:paraId="348F7505"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0.169</w:t>
            </w:r>
          </w:p>
        </w:tc>
        <w:tc>
          <w:tcPr>
            <w:tcW w:w="576" w:type="dxa"/>
            <w:noWrap/>
            <w:hideMark/>
          </w:tcPr>
          <w:p w14:paraId="7E8900A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-0.065</w:t>
            </w:r>
          </w:p>
        </w:tc>
        <w:tc>
          <w:tcPr>
            <w:tcW w:w="576" w:type="dxa"/>
            <w:noWrap/>
            <w:hideMark/>
          </w:tcPr>
          <w:p w14:paraId="68EAFD9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-0.022</w:t>
            </w:r>
          </w:p>
        </w:tc>
        <w:tc>
          <w:tcPr>
            <w:tcW w:w="576" w:type="dxa"/>
            <w:noWrap/>
            <w:hideMark/>
          </w:tcPr>
          <w:p w14:paraId="1A0EFAC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-0.021</w:t>
            </w:r>
          </w:p>
        </w:tc>
        <w:tc>
          <w:tcPr>
            <w:tcW w:w="576" w:type="dxa"/>
            <w:noWrap/>
            <w:hideMark/>
          </w:tcPr>
          <w:p w14:paraId="4BB82A6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0.205</w:t>
            </w:r>
          </w:p>
        </w:tc>
        <w:tc>
          <w:tcPr>
            <w:tcW w:w="576" w:type="dxa"/>
            <w:noWrap/>
            <w:hideMark/>
          </w:tcPr>
          <w:p w14:paraId="733F26B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-0.066</w:t>
            </w:r>
          </w:p>
        </w:tc>
        <w:tc>
          <w:tcPr>
            <w:tcW w:w="576" w:type="dxa"/>
            <w:noWrap/>
            <w:hideMark/>
          </w:tcPr>
          <w:p w14:paraId="58BCA234"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-0.006</w:t>
            </w:r>
          </w:p>
        </w:tc>
        <w:tc>
          <w:tcPr>
            <w:tcW w:w="576" w:type="dxa"/>
            <w:noWrap/>
            <w:hideMark/>
          </w:tcPr>
          <w:p w14:paraId="57A7846C"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-0.087</w:t>
            </w:r>
          </w:p>
        </w:tc>
        <w:tc>
          <w:tcPr>
            <w:tcW w:w="576" w:type="dxa"/>
            <w:noWrap/>
            <w:hideMark/>
          </w:tcPr>
          <w:p w14:paraId="509013C7"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c>
          <w:tcPr>
            <w:tcW w:w="747" w:type="dxa"/>
            <w:noWrap/>
            <w:hideMark/>
          </w:tcPr>
          <w:p w14:paraId="42538C63" w14:textId="77777777" w:rsidR="007803C2" w:rsidRPr="007803C2" w:rsidRDefault="007803C2" w:rsidP="007803C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0.006</w:t>
            </w:r>
          </w:p>
        </w:tc>
      </w:tr>
      <w:tr w:rsidR="007803C2" w:rsidRPr="007803C2" w14:paraId="37A57D2D" w14:textId="77777777" w:rsidTr="007803C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83" w:type="dxa"/>
            <w:noWrap/>
            <w:hideMark/>
          </w:tcPr>
          <w:p w14:paraId="48AFF269" w14:textId="6B3C4CE3" w:rsidR="007803C2" w:rsidRPr="007803C2" w:rsidRDefault="007803C2" w:rsidP="007803C2">
            <w:pPr>
              <w:ind w:firstLine="0"/>
              <w:jc w:val="center"/>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Forward Returns</w:t>
            </w:r>
          </w:p>
        </w:tc>
        <w:tc>
          <w:tcPr>
            <w:tcW w:w="576" w:type="dxa"/>
            <w:noWrap/>
            <w:hideMark/>
          </w:tcPr>
          <w:p w14:paraId="20F37904"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-0.017</w:t>
            </w:r>
          </w:p>
        </w:tc>
        <w:tc>
          <w:tcPr>
            <w:tcW w:w="576" w:type="dxa"/>
            <w:noWrap/>
            <w:hideMark/>
          </w:tcPr>
          <w:p w14:paraId="3776643F"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-0.017</w:t>
            </w:r>
          </w:p>
        </w:tc>
        <w:tc>
          <w:tcPr>
            <w:tcW w:w="576" w:type="dxa"/>
            <w:noWrap/>
            <w:hideMark/>
          </w:tcPr>
          <w:p w14:paraId="53F09DE7"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-0.018</w:t>
            </w:r>
          </w:p>
        </w:tc>
        <w:tc>
          <w:tcPr>
            <w:tcW w:w="576" w:type="dxa"/>
            <w:noWrap/>
            <w:hideMark/>
          </w:tcPr>
          <w:p w14:paraId="50E678AA"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-0.029</w:t>
            </w:r>
          </w:p>
        </w:tc>
        <w:tc>
          <w:tcPr>
            <w:tcW w:w="576" w:type="dxa"/>
            <w:noWrap/>
            <w:hideMark/>
          </w:tcPr>
          <w:p w14:paraId="34AFF21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-0.023</w:t>
            </w:r>
          </w:p>
        </w:tc>
        <w:tc>
          <w:tcPr>
            <w:tcW w:w="576" w:type="dxa"/>
            <w:noWrap/>
            <w:hideMark/>
          </w:tcPr>
          <w:p w14:paraId="5CE83300"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-0.019</w:t>
            </w:r>
          </w:p>
        </w:tc>
        <w:tc>
          <w:tcPr>
            <w:tcW w:w="576" w:type="dxa"/>
            <w:noWrap/>
            <w:hideMark/>
          </w:tcPr>
          <w:p w14:paraId="52F9797D"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-0.022</w:t>
            </w:r>
          </w:p>
        </w:tc>
        <w:tc>
          <w:tcPr>
            <w:tcW w:w="576" w:type="dxa"/>
            <w:noWrap/>
            <w:hideMark/>
          </w:tcPr>
          <w:p w14:paraId="47B69F3B"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0.003</w:t>
            </w:r>
          </w:p>
        </w:tc>
        <w:tc>
          <w:tcPr>
            <w:tcW w:w="576" w:type="dxa"/>
            <w:noWrap/>
            <w:hideMark/>
          </w:tcPr>
          <w:p w14:paraId="440766B6"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-0.007</w:t>
            </w:r>
          </w:p>
        </w:tc>
        <w:tc>
          <w:tcPr>
            <w:tcW w:w="576" w:type="dxa"/>
            <w:noWrap/>
            <w:hideMark/>
          </w:tcPr>
          <w:p w14:paraId="6AFC2A8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-0.017</w:t>
            </w:r>
          </w:p>
        </w:tc>
        <w:tc>
          <w:tcPr>
            <w:tcW w:w="576" w:type="dxa"/>
            <w:noWrap/>
            <w:hideMark/>
          </w:tcPr>
          <w:p w14:paraId="66F7A79F"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0.022</w:t>
            </w:r>
          </w:p>
        </w:tc>
        <w:tc>
          <w:tcPr>
            <w:tcW w:w="576" w:type="dxa"/>
            <w:noWrap/>
            <w:hideMark/>
          </w:tcPr>
          <w:p w14:paraId="45E67C44"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-0.004</w:t>
            </w:r>
          </w:p>
        </w:tc>
        <w:tc>
          <w:tcPr>
            <w:tcW w:w="576" w:type="dxa"/>
            <w:noWrap/>
            <w:hideMark/>
          </w:tcPr>
          <w:p w14:paraId="363A200F"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-0.027</w:t>
            </w:r>
          </w:p>
        </w:tc>
        <w:tc>
          <w:tcPr>
            <w:tcW w:w="576" w:type="dxa"/>
            <w:noWrap/>
            <w:hideMark/>
          </w:tcPr>
          <w:p w14:paraId="6EECB3BE"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-0.030</w:t>
            </w:r>
          </w:p>
        </w:tc>
        <w:tc>
          <w:tcPr>
            <w:tcW w:w="576" w:type="dxa"/>
            <w:noWrap/>
            <w:hideMark/>
          </w:tcPr>
          <w:p w14:paraId="09B86721"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-0.025</w:t>
            </w:r>
          </w:p>
        </w:tc>
        <w:tc>
          <w:tcPr>
            <w:tcW w:w="576" w:type="dxa"/>
            <w:noWrap/>
            <w:hideMark/>
          </w:tcPr>
          <w:p w14:paraId="02590E12"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-0.001</w:t>
            </w:r>
          </w:p>
        </w:tc>
        <w:tc>
          <w:tcPr>
            <w:tcW w:w="576" w:type="dxa"/>
            <w:noWrap/>
            <w:hideMark/>
          </w:tcPr>
          <w:p w14:paraId="2D7D7B0B"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-0.024</w:t>
            </w:r>
          </w:p>
        </w:tc>
        <w:tc>
          <w:tcPr>
            <w:tcW w:w="576" w:type="dxa"/>
            <w:noWrap/>
            <w:hideMark/>
          </w:tcPr>
          <w:p w14:paraId="41E618CF"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0.000</w:t>
            </w:r>
          </w:p>
        </w:tc>
        <w:tc>
          <w:tcPr>
            <w:tcW w:w="576" w:type="dxa"/>
            <w:noWrap/>
            <w:hideMark/>
          </w:tcPr>
          <w:p w14:paraId="33529671"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-0.018</w:t>
            </w:r>
          </w:p>
        </w:tc>
        <w:tc>
          <w:tcPr>
            <w:tcW w:w="576" w:type="dxa"/>
            <w:noWrap/>
            <w:hideMark/>
          </w:tcPr>
          <w:p w14:paraId="02622D58"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0.006</w:t>
            </w:r>
          </w:p>
        </w:tc>
        <w:tc>
          <w:tcPr>
            <w:tcW w:w="747" w:type="dxa"/>
            <w:noWrap/>
            <w:hideMark/>
          </w:tcPr>
          <w:p w14:paraId="0B72369B" w14:textId="77777777" w:rsidR="007803C2" w:rsidRPr="007803C2" w:rsidRDefault="007803C2" w:rsidP="007803C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2"/>
                <w:szCs w:val="12"/>
                <w:lang w:eastAsia="zh-CN"/>
              </w:rPr>
            </w:pPr>
            <w:r w:rsidRPr="007803C2">
              <w:rPr>
                <w:rFonts w:ascii="Calibri" w:eastAsia="Times New Roman" w:hAnsi="Calibri" w:cs="Calibri"/>
                <w:color w:val="000000"/>
                <w:kern w:val="0"/>
                <w:sz w:val="12"/>
                <w:szCs w:val="12"/>
                <w:lang w:eastAsia="zh-CN"/>
              </w:rPr>
              <w:t>1.000</w:t>
            </w:r>
          </w:p>
        </w:tc>
      </w:tr>
    </w:tbl>
    <w:p w14:paraId="05657E3C" w14:textId="7A4E3A11" w:rsidR="007803C2" w:rsidRDefault="007803C2" w:rsidP="007803C2">
      <w:pPr>
        <w:pStyle w:val="AppendixTable"/>
      </w:pPr>
      <w:r w:rsidRPr="007803C2">
        <w:t>Correlation Matrix of Considered</w:t>
      </w:r>
      <w:r>
        <w:t xml:space="preserve"> Factors</w:t>
      </w:r>
    </w:p>
    <w:p w14:paraId="2F9B38D3" w14:textId="77777777" w:rsidR="002F6440" w:rsidRDefault="007803C2">
      <w:pPr>
        <w:sectPr w:rsidR="002F6440" w:rsidSect="002F6440">
          <w:footnotePr>
            <w:pos w:val="beneathText"/>
          </w:footnotePr>
          <w:pgSz w:w="15840" w:h="12240" w:orient="landscape"/>
          <w:pgMar w:top="1440" w:right="1440" w:bottom="1440" w:left="1440" w:header="720" w:footer="720" w:gutter="0"/>
          <w:pgNumType w:start="0"/>
          <w:cols w:space="720"/>
          <w:titlePg/>
          <w:docGrid w:linePitch="360"/>
          <w15:footnoteColumns w:val="1"/>
        </w:sectPr>
      </w:pPr>
      <w:r>
        <w:br w:type="page"/>
      </w:r>
    </w:p>
    <w:p w14:paraId="2616A63F" w14:textId="67151A34" w:rsidR="007803C2" w:rsidRDefault="007803C2"/>
    <w:tbl>
      <w:tblPr>
        <w:tblStyle w:val="APAReport"/>
        <w:tblW w:w="12649" w:type="dxa"/>
        <w:jc w:val="center"/>
        <w:tblLook w:val="04A0" w:firstRow="1" w:lastRow="0" w:firstColumn="1" w:lastColumn="0" w:noHBand="0" w:noVBand="1"/>
      </w:tblPr>
      <w:tblGrid>
        <w:gridCol w:w="3289"/>
        <w:gridCol w:w="3185"/>
        <w:gridCol w:w="2736"/>
        <w:gridCol w:w="3439"/>
      </w:tblGrid>
      <w:tr w:rsidR="007803C2" w:rsidRPr="007803C2" w14:paraId="09490E99" w14:textId="77777777" w:rsidTr="00AE614F">
        <w:trPr>
          <w:cnfStyle w:val="100000000000" w:firstRow="1" w:lastRow="0" w:firstColumn="0" w:lastColumn="0" w:oddVBand="0" w:evenVBand="0" w:oddHBand="0" w:evenHBand="0" w:firstRowFirstColumn="0" w:firstRowLastColumn="0" w:lastRowFirstColumn="0" w:lastRowLastColumn="0"/>
          <w:trHeight w:val="332"/>
          <w:jc w:val="center"/>
        </w:trPr>
        <w:tc>
          <w:tcPr>
            <w:tcW w:w="3289" w:type="dxa"/>
            <w:noWrap/>
            <w:vAlign w:val="center"/>
            <w:hideMark/>
          </w:tcPr>
          <w:p w14:paraId="7390D396" w14:textId="77777777" w:rsidR="007803C2" w:rsidRPr="007803C2" w:rsidRDefault="007803C2" w:rsidP="00AE614F">
            <w:pPr>
              <w:jc w:val="center"/>
              <w:rPr>
                <w:lang w:eastAsia="zh-CN"/>
              </w:rPr>
            </w:pPr>
            <w:r w:rsidRPr="007803C2">
              <w:rPr>
                <w:lang w:eastAsia="zh-CN"/>
              </w:rPr>
              <w:t>Combo</w:t>
            </w:r>
          </w:p>
        </w:tc>
        <w:tc>
          <w:tcPr>
            <w:tcW w:w="3185" w:type="dxa"/>
            <w:noWrap/>
            <w:vAlign w:val="center"/>
            <w:hideMark/>
          </w:tcPr>
          <w:p w14:paraId="161227D7" w14:textId="2173E82C" w:rsidR="007803C2" w:rsidRPr="007803C2" w:rsidRDefault="007803C2" w:rsidP="00AE614F">
            <w:pPr>
              <w:jc w:val="center"/>
              <w:rPr>
                <w:lang w:eastAsia="zh-CN"/>
              </w:rPr>
            </w:pPr>
            <w:r w:rsidRPr="007803C2">
              <w:rPr>
                <w:lang w:eastAsia="zh-CN"/>
              </w:rPr>
              <w:t>Average</w:t>
            </w:r>
            <w:r w:rsidR="00AE614F">
              <w:rPr>
                <w:lang w:eastAsia="zh-CN"/>
              </w:rPr>
              <w:t xml:space="preserve"> </w:t>
            </w:r>
            <w:r w:rsidRPr="007803C2">
              <w:rPr>
                <w:lang w:eastAsia="zh-CN"/>
              </w:rPr>
              <w:t>Inter</w:t>
            </w:r>
            <w:r w:rsidR="00AE614F">
              <w:rPr>
                <w:lang w:eastAsia="zh-CN"/>
              </w:rPr>
              <w:t>-</w:t>
            </w:r>
            <w:r w:rsidRPr="007803C2">
              <w:rPr>
                <w:lang w:eastAsia="zh-CN"/>
              </w:rPr>
              <w:t>Factor</w:t>
            </w:r>
            <w:r w:rsidR="00AE614F">
              <w:rPr>
                <w:lang w:eastAsia="zh-CN"/>
              </w:rPr>
              <w:t xml:space="preserve"> </w:t>
            </w:r>
            <w:r w:rsidRPr="007803C2">
              <w:rPr>
                <w:lang w:eastAsia="zh-CN"/>
              </w:rPr>
              <w:t>Corr</w:t>
            </w:r>
            <w:r w:rsidR="00AE614F">
              <w:rPr>
                <w:lang w:eastAsia="zh-CN"/>
              </w:rPr>
              <w:t>elation</w:t>
            </w:r>
          </w:p>
        </w:tc>
        <w:tc>
          <w:tcPr>
            <w:tcW w:w="2736" w:type="dxa"/>
            <w:noWrap/>
            <w:vAlign w:val="center"/>
            <w:hideMark/>
          </w:tcPr>
          <w:p w14:paraId="518F30CE" w14:textId="787BD881" w:rsidR="007803C2" w:rsidRPr="007803C2" w:rsidRDefault="007803C2" w:rsidP="00AE614F">
            <w:pPr>
              <w:jc w:val="center"/>
              <w:rPr>
                <w:lang w:eastAsia="zh-CN"/>
              </w:rPr>
            </w:pPr>
            <w:r w:rsidRPr="007803C2">
              <w:rPr>
                <w:lang w:eastAsia="zh-CN"/>
              </w:rPr>
              <w:t>Max</w:t>
            </w:r>
            <w:r w:rsidR="00AE614F">
              <w:rPr>
                <w:lang w:eastAsia="zh-CN"/>
              </w:rPr>
              <w:t xml:space="preserve"> </w:t>
            </w:r>
            <w:r w:rsidRPr="007803C2">
              <w:rPr>
                <w:lang w:eastAsia="zh-CN"/>
              </w:rPr>
              <w:t>Inter</w:t>
            </w:r>
            <w:r w:rsidR="00AE614F">
              <w:rPr>
                <w:lang w:eastAsia="zh-CN"/>
              </w:rPr>
              <w:t>-</w:t>
            </w:r>
            <w:r w:rsidRPr="007803C2">
              <w:rPr>
                <w:lang w:eastAsia="zh-CN"/>
              </w:rPr>
              <w:t>Factor</w:t>
            </w:r>
            <w:r w:rsidR="00AE614F">
              <w:rPr>
                <w:lang w:eastAsia="zh-CN"/>
              </w:rPr>
              <w:t xml:space="preserve"> </w:t>
            </w:r>
            <w:r w:rsidRPr="007803C2">
              <w:rPr>
                <w:lang w:eastAsia="zh-CN"/>
              </w:rPr>
              <w:t>Corr</w:t>
            </w:r>
            <w:r w:rsidR="00AE614F">
              <w:rPr>
                <w:lang w:eastAsia="zh-CN"/>
              </w:rPr>
              <w:t>elation</w:t>
            </w:r>
          </w:p>
        </w:tc>
        <w:tc>
          <w:tcPr>
            <w:tcW w:w="3439" w:type="dxa"/>
            <w:noWrap/>
            <w:vAlign w:val="center"/>
            <w:hideMark/>
          </w:tcPr>
          <w:p w14:paraId="7D503689" w14:textId="67E703BE" w:rsidR="007803C2" w:rsidRPr="007803C2" w:rsidRDefault="007803C2" w:rsidP="00AE614F">
            <w:pPr>
              <w:jc w:val="center"/>
              <w:rPr>
                <w:lang w:eastAsia="zh-CN"/>
              </w:rPr>
            </w:pPr>
            <w:r w:rsidRPr="007803C2">
              <w:rPr>
                <w:lang w:eastAsia="zh-CN"/>
              </w:rPr>
              <w:t>Average</w:t>
            </w:r>
            <w:r w:rsidR="00AE614F">
              <w:rPr>
                <w:lang w:eastAsia="zh-CN"/>
              </w:rPr>
              <w:t xml:space="preserve"> </w:t>
            </w:r>
            <w:r w:rsidRPr="007803C2">
              <w:rPr>
                <w:lang w:eastAsia="zh-CN"/>
              </w:rPr>
              <w:t>Factor</w:t>
            </w:r>
            <w:r w:rsidR="00AE614F">
              <w:rPr>
                <w:lang w:eastAsia="zh-CN"/>
              </w:rPr>
              <w:t>-</w:t>
            </w:r>
            <w:r w:rsidRPr="007803C2">
              <w:rPr>
                <w:lang w:eastAsia="zh-CN"/>
              </w:rPr>
              <w:t>Return</w:t>
            </w:r>
            <w:r w:rsidR="00AE614F">
              <w:rPr>
                <w:lang w:eastAsia="zh-CN"/>
              </w:rPr>
              <w:t xml:space="preserve"> </w:t>
            </w:r>
            <w:r w:rsidRPr="007803C2">
              <w:rPr>
                <w:lang w:eastAsia="zh-CN"/>
              </w:rPr>
              <w:t>Corr</w:t>
            </w:r>
            <w:r w:rsidR="00AE614F">
              <w:rPr>
                <w:lang w:eastAsia="zh-CN"/>
              </w:rPr>
              <w:t>elation</w:t>
            </w:r>
          </w:p>
        </w:tc>
      </w:tr>
      <w:tr w:rsidR="007803C2" w:rsidRPr="007803C2" w14:paraId="003724F5" w14:textId="77777777" w:rsidTr="00AE614F">
        <w:trPr>
          <w:trHeight w:val="332"/>
          <w:jc w:val="center"/>
        </w:trPr>
        <w:tc>
          <w:tcPr>
            <w:tcW w:w="3289" w:type="dxa"/>
            <w:noWrap/>
            <w:vAlign w:val="center"/>
            <w:hideMark/>
          </w:tcPr>
          <w:p w14:paraId="52C1BB8D" w14:textId="77777777" w:rsidR="007803C2" w:rsidRPr="007803C2" w:rsidRDefault="007803C2" w:rsidP="00AE614F">
            <w:pPr>
              <w:jc w:val="center"/>
              <w:rPr>
                <w:lang w:eastAsia="zh-CN"/>
              </w:rPr>
            </w:pPr>
            <w:r w:rsidRPr="007803C2">
              <w:rPr>
                <w:lang w:eastAsia="zh-CN"/>
              </w:rPr>
              <w:t>['KAMA', 'FI', 'DC', 'MI']</w:t>
            </w:r>
          </w:p>
        </w:tc>
        <w:tc>
          <w:tcPr>
            <w:tcW w:w="3185" w:type="dxa"/>
            <w:noWrap/>
            <w:vAlign w:val="center"/>
            <w:hideMark/>
          </w:tcPr>
          <w:p w14:paraId="6D45045C" w14:textId="77777777" w:rsidR="007803C2" w:rsidRPr="007803C2" w:rsidRDefault="007803C2" w:rsidP="00AE614F">
            <w:pPr>
              <w:jc w:val="center"/>
              <w:rPr>
                <w:lang w:eastAsia="zh-CN"/>
              </w:rPr>
            </w:pPr>
            <w:r w:rsidRPr="007803C2">
              <w:rPr>
                <w:lang w:eastAsia="zh-CN"/>
              </w:rPr>
              <w:t>0.03510</w:t>
            </w:r>
          </w:p>
        </w:tc>
        <w:tc>
          <w:tcPr>
            <w:tcW w:w="2736" w:type="dxa"/>
            <w:noWrap/>
            <w:vAlign w:val="center"/>
            <w:hideMark/>
          </w:tcPr>
          <w:p w14:paraId="0BC52C18" w14:textId="77777777" w:rsidR="007803C2" w:rsidRPr="007803C2" w:rsidRDefault="007803C2" w:rsidP="00AE614F">
            <w:pPr>
              <w:jc w:val="center"/>
              <w:rPr>
                <w:lang w:eastAsia="zh-CN"/>
              </w:rPr>
            </w:pPr>
            <w:r w:rsidRPr="007803C2">
              <w:rPr>
                <w:lang w:eastAsia="zh-CN"/>
              </w:rPr>
              <w:t>0.09873</w:t>
            </w:r>
          </w:p>
        </w:tc>
        <w:tc>
          <w:tcPr>
            <w:tcW w:w="3439" w:type="dxa"/>
            <w:noWrap/>
            <w:vAlign w:val="center"/>
            <w:hideMark/>
          </w:tcPr>
          <w:p w14:paraId="26395323" w14:textId="77777777" w:rsidR="007803C2" w:rsidRPr="007803C2" w:rsidRDefault="007803C2" w:rsidP="00AE614F">
            <w:pPr>
              <w:jc w:val="center"/>
              <w:rPr>
                <w:lang w:eastAsia="zh-CN"/>
              </w:rPr>
            </w:pPr>
            <w:r w:rsidRPr="007803C2">
              <w:rPr>
                <w:lang w:eastAsia="zh-CN"/>
              </w:rPr>
              <w:t>0.01507</w:t>
            </w:r>
          </w:p>
        </w:tc>
      </w:tr>
      <w:tr w:rsidR="007803C2" w:rsidRPr="007803C2" w14:paraId="32B2B6B0" w14:textId="77777777" w:rsidTr="00AE614F">
        <w:trPr>
          <w:trHeight w:val="332"/>
          <w:jc w:val="center"/>
        </w:trPr>
        <w:tc>
          <w:tcPr>
            <w:tcW w:w="3289" w:type="dxa"/>
            <w:noWrap/>
            <w:vAlign w:val="center"/>
            <w:hideMark/>
          </w:tcPr>
          <w:p w14:paraId="5E918A2B" w14:textId="77777777" w:rsidR="007803C2" w:rsidRPr="007803C2" w:rsidRDefault="007803C2" w:rsidP="00AE614F">
            <w:pPr>
              <w:jc w:val="center"/>
              <w:rPr>
                <w:lang w:eastAsia="zh-CN"/>
              </w:rPr>
            </w:pPr>
            <w:r w:rsidRPr="007803C2">
              <w:rPr>
                <w:lang w:eastAsia="zh-CN"/>
              </w:rPr>
              <w:t>['KAMA', 'FI', 'BB', 'MI']</w:t>
            </w:r>
          </w:p>
        </w:tc>
        <w:tc>
          <w:tcPr>
            <w:tcW w:w="3185" w:type="dxa"/>
            <w:noWrap/>
            <w:vAlign w:val="center"/>
            <w:hideMark/>
          </w:tcPr>
          <w:p w14:paraId="106E722F" w14:textId="77777777" w:rsidR="007803C2" w:rsidRPr="007803C2" w:rsidRDefault="007803C2" w:rsidP="00AE614F">
            <w:pPr>
              <w:jc w:val="center"/>
              <w:rPr>
                <w:lang w:eastAsia="zh-CN"/>
              </w:rPr>
            </w:pPr>
            <w:r w:rsidRPr="007803C2">
              <w:rPr>
                <w:lang w:eastAsia="zh-CN"/>
              </w:rPr>
              <w:t>0.04915</w:t>
            </w:r>
          </w:p>
        </w:tc>
        <w:tc>
          <w:tcPr>
            <w:tcW w:w="2736" w:type="dxa"/>
            <w:noWrap/>
            <w:vAlign w:val="center"/>
            <w:hideMark/>
          </w:tcPr>
          <w:p w14:paraId="781F3FC6" w14:textId="77777777" w:rsidR="007803C2" w:rsidRPr="007803C2" w:rsidRDefault="007803C2" w:rsidP="00AE614F">
            <w:pPr>
              <w:jc w:val="center"/>
              <w:rPr>
                <w:lang w:eastAsia="zh-CN"/>
              </w:rPr>
            </w:pPr>
            <w:r w:rsidRPr="007803C2">
              <w:rPr>
                <w:lang w:eastAsia="zh-CN"/>
              </w:rPr>
              <w:t>0.14203</w:t>
            </w:r>
          </w:p>
        </w:tc>
        <w:tc>
          <w:tcPr>
            <w:tcW w:w="3439" w:type="dxa"/>
            <w:noWrap/>
            <w:vAlign w:val="center"/>
            <w:hideMark/>
          </w:tcPr>
          <w:p w14:paraId="61DE92CD" w14:textId="77777777" w:rsidR="007803C2" w:rsidRPr="007803C2" w:rsidRDefault="007803C2" w:rsidP="00AE614F">
            <w:pPr>
              <w:jc w:val="center"/>
              <w:rPr>
                <w:lang w:eastAsia="zh-CN"/>
              </w:rPr>
            </w:pPr>
            <w:r w:rsidRPr="007803C2">
              <w:rPr>
                <w:lang w:eastAsia="zh-CN"/>
              </w:rPr>
              <w:t>0.01428</w:t>
            </w:r>
          </w:p>
        </w:tc>
      </w:tr>
      <w:tr w:rsidR="007803C2" w:rsidRPr="007803C2" w14:paraId="127D6A36" w14:textId="77777777" w:rsidTr="00AE614F">
        <w:trPr>
          <w:trHeight w:val="332"/>
          <w:jc w:val="center"/>
        </w:trPr>
        <w:tc>
          <w:tcPr>
            <w:tcW w:w="3289" w:type="dxa"/>
            <w:noWrap/>
            <w:vAlign w:val="center"/>
            <w:hideMark/>
          </w:tcPr>
          <w:p w14:paraId="0D174D37" w14:textId="77777777" w:rsidR="007803C2" w:rsidRPr="007803C2" w:rsidRDefault="007803C2" w:rsidP="00AE614F">
            <w:pPr>
              <w:jc w:val="center"/>
              <w:rPr>
                <w:lang w:eastAsia="zh-CN"/>
              </w:rPr>
            </w:pPr>
            <w:r w:rsidRPr="007803C2">
              <w:rPr>
                <w:lang w:eastAsia="zh-CN"/>
              </w:rPr>
              <w:t>['KAMA', '</w:t>
            </w:r>
            <w:proofErr w:type="spellStart"/>
            <w:r w:rsidRPr="007803C2">
              <w:rPr>
                <w:lang w:eastAsia="zh-CN"/>
              </w:rPr>
              <w:t>EoM</w:t>
            </w:r>
            <w:proofErr w:type="spellEnd"/>
            <w:r w:rsidRPr="007803C2">
              <w:rPr>
                <w:lang w:eastAsia="zh-CN"/>
              </w:rPr>
              <w:t>', 'DC', 'MI']</w:t>
            </w:r>
          </w:p>
        </w:tc>
        <w:tc>
          <w:tcPr>
            <w:tcW w:w="3185" w:type="dxa"/>
            <w:noWrap/>
            <w:vAlign w:val="center"/>
            <w:hideMark/>
          </w:tcPr>
          <w:p w14:paraId="51F9F133" w14:textId="77777777" w:rsidR="007803C2" w:rsidRPr="007803C2" w:rsidRDefault="007803C2" w:rsidP="00AE614F">
            <w:pPr>
              <w:jc w:val="center"/>
              <w:rPr>
                <w:lang w:eastAsia="zh-CN"/>
              </w:rPr>
            </w:pPr>
            <w:r w:rsidRPr="007803C2">
              <w:rPr>
                <w:lang w:eastAsia="zh-CN"/>
              </w:rPr>
              <w:t>0.03535</w:t>
            </w:r>
          </w:p>
        </w:tc>
        <w:tc>
          <w:tcPr>
            <w:tcW w:w="2736" w:type="dxa"/>
            <w:noWrap/>
            <w:vAlign w:val="center"/>
            <w:hideMark/>
          </w:tcPr>
          <w:p w14:paraId="7CA71088" w14:textId="77777777" w:rsidR="007803C2" w:rsidRPr="007803C2" w:rsidRDefault="007803C2" w:rsidP="00AE614F">
            <w:pPr>
              <w:jc w:val="center"/>
              <w:rPr>
                <w:lang w:eastAsia="zh-CN"/>
              </w:rPr>
            </w:pPr>
            <w:r w:rsidRPr="007803C2">
              <w:rPr>
                <w:lang w:eastAsia="zh-CN"/>
              </w:rPr>
              <w:t>0.06384</w:t>
            </w:r>
          </w:p>
        </w:tc>
        <w:tc>
          <w:tcPr>
            <w:tcW w:w="3439" w:type="dxa"/>
            <w:noWrap/>
            <w:vAlign w:val="center"/>
            <w:hideMark/>
          </w:tcPr>
          <w:p w14:paraId="30323DE6" w14:textId="77777777" w:rsidR="007803C2" w:rsidRPr="007803C2" w:rsidRDefault="007803C2" w:rsidP="00AE614F">
            <w:pPr>
              <w:jc w:val="center"/>
              <w:rPr>
                <w:lang w:eastAsia="zh-CN"/>
              </w:rPr>
            </w:pPr>
            <w:r w:rsidRPr="007803C2">
              <w:rPr>
                <w:lang w:eastAsia="zh-CN"/>
              </w:rPr>
              <w:t>0.01405</w:t>
            </w:r>
          </w:p>
        </w:tc>
      </w:tr>
      <w:tr w:rsidR="007803C2" w:rsidRPr="007803C2" w14:paraId="4F0C669B" w14:textId="77777777" w:rsidTr="00AE614F">
        <w:trPr>
          <w:trHeight w:val="332"/>
          <w:jc w:val="center"/>
        </w:trPr>
        <w:tc>
          <w:tcPr>
            <w:tcW w:w="3289" w:type="dxa"/>
            <w:noWrap/>
            <w:vAlign w:val="center"/>
            <w:hideMark/>
          </w:tcPr>
          <w:p w14:paraId="7060624C" w14:textId="77777777" w:rsidR="007803C2" w:rsidRPr="007803C2" w:rsidRDefault="007803C2" w:rsidP="00AE614F">
            <w:pPr>
              <w:jc w:val="center"/>
              <w:rPr>
                <w:lang w:eastAsia="zh-CN"/>
              </w:rPr>
            </w:pPr>
            <w:r w:rsidRPr="007803C2">
              <w:rPr>
                <w:lang w:eastAsia="zh-CN"/>
              </w:rPr>
              <w:t>['KAMA', 'FI', 'DC', 'ADX']</w:t>
            </w:r>
          </w:p>
        </w:tc>
        <w:tc>
          <w:tcPr>
            <w:tcW w:w="3185" w:type="dxa"/>
            <w:noWrap/>
            <w:vAlign w:val="center"/>
            <w:hideMark/>
          </w:tcPr>
          <w:p w14:paraId="3CA7DECB" w14:textId="77777777" w:rsidR="007803C2" w:rsidRPr="007803C2" w:rsidRDefault="007803C2" w:rsidP="00AE614F">
            <w:pPr>
              <w:jc w:val="center"/>
              <w:rPr>
                <w:lang w:eastAsia="zh-CN"/>
              </w:rPr>
            </w:pPr>
            <w:r w:rsidRPr="007803C2">
              <w:rPr>
                <w:lang w:eastAsia="zh-CN"/>
              </w:rPr>
              <w:t>0.03623</w:t>
            </w:r>
          </w:p>
        </w:tc>
        <w:tc>
          <w:tcPr>
            <w:tcW w:w="2736" w:type="dxa"/>
            <w:noWrap/>
            <w:vAlign w:val="center"/>
            <w:hideMark/>
          </w:tcPr>
          <w:p w14:paraId="0F1ADBDA" w14:textId="77777777" w:rsidR="007803C2" w:rsidRPr="007803C2" w:rsidRDefault="007803C2" w:rsidP="00AE614F">
            <w:pPr>
              <w:jc w:val="center"/>
              <w:rPr>
                <w:lang w:eastAsia="zh-CN"/>
              </w:rPr>
            </w:pPr>
            <w:r w:rsidRPr="007803C2">
              <w:rPr>
                <w:lang w:eastAsia="zh-CN"/>
              </w:rPr>
              <w:t>0.09873</w:t>
            </w:r>
          </w:p>
        </w:tc>
        <w:tc>
          <w:tcPr>
            <w:tcW w:w="3439" w:type="dxa"/>
            <w:noWrap/>
            <w:vAlign w:val="center"/>
            <w:hideMark/>
          </w:tcPr>
          <w:p w14:paraId="14710653" w14:textId="77777777" w:rsidR="007803C2" w:rsidRPr="007803C2" w:rsidRDefault="007803C2" w:rsidP="00AE614F">
            <w:pPr>
              <w:jc w:val="center"/>
              <w:rPr>
                <w:lang w:eastAsia="zh-CN"/>
              </w:rPr>
            </w:pPr>
            <w:r w:rsidRPr="007803C2">
              <w:rPr>
                <w:lang w:eastAsia="zh-CN"/>
              </w:rPr>
              <w:t>0.01375</w:t>
            </w:r>
          </w:p>
        </w:tc>
      </w:tr>
      <w:tr w:rsidR="007803C2" w:rsidRPr="007803C2" w14:paraId="23FCF0F0" w14:textId="77777777" w:rsidTr="00AE614F">
        <w:trPr>
          <w:trHeight w:val="332"/>
          <w:jc w:val="center"/>
        </w:trPr>
        <w:tc>
          <w:tcPr>
            <w:tcW w:w="3289" w:type="dxa"/>
            <w:noWrap/>
            <w:vAlign w:val="center"/>
            <w:hideMark/>
          </w:tcPr>
          <w:p w14:paraId="29C93AF3" w14:textId="77777777" w:rsidR="007803C2" w:rsidRPr="007803C2" w:rsidRDefault="007803C2" w:rsidP="00AE614F">
            <w:pPr>
              <w:jc w:val="center"/>
              <w:rPr>
                <w:lang w:eastAsia="zh-CN"/>
              </w:rPr>
            </w:pPr>
            <w:r w:rsidRPr="007803C2">
              <w:rPr>
                <w:lang w:eastAsia="zh-CN"/>
              </w:rPr>
              <w:t>['KAMA', '</w:t>
            </w:r>
            <w:proofErr w:type="spellStart"/>
            <w:r w:rsidRPr="007803C2">
              <w:rPr>
                <w:lang w:eastAsia="zh-CN"/>
              </w:rPr>
              <w:t>EoM</w:t>
            </w:r>
            <w:proofErr w:type="spellEnd"/>
            <w:r w:rsidRPr="007803C2">
              <w:rPr>
                <w:lang w:eastAsia="zh-CN"/>
              </w:rPr>
              <w:t>', 'BB', 'MI']</w:t>
            </w:r>
          </w:p>
        </w:tc>
        <w:tc>
          <w:tcPr>
            <w:tcW w:w="3185" w:type="dxa"/>
            <w:noWrap/>
            <w:vAlign w:val="center"/>
            <w:hideMark/>
          </w:tcPr>
          <w:p w14:paraId="27E752AC" w14:textId="77777777" w:rsidR="007803C2" w:rsidRPr="007803C2" w:rsidRDefault="007803C2" w:rsidP="00AE614F">
            <w:pPr>
              <w:jc w:val="center"/>
              <w:rPr>
                <w:lang w:eastAsia="zh-CN"/>
              </w:rPr>
            </w:pPr>
            <w:r w:rsidRPr="007803C2">
              <w:rPr>
                <w:lang w:eastAsia="zh-CN"/>
              </w:rPr>
              <w:t>0.04419</w:t>
            </w:r>
          </w:p>
        </w:tc>
        <w:tc>
          <w:tcPr>
            <w:tcW w:w="2736" w:type="dxa"/>
            <w:noWrap/>
            <w:vAlign w:val="center"/>
            <w:hideMark/>
          </w:tcPr>
          <w:p w14:paraId="705B5484" w14:textId="77777777" w:rsidR="007803C2" w:rsidRPr="007803C2" w:rsidRDefault="007803C2" w:rsidP="00AE614F">
            <w:pPr>
              <w:jc w:val="center"/>
              <w:rPr>
                <w:lang w:eastAsia="zh-CN"/>
              </w:rPr>
            </w:pPr>
            <w:r w:rsidRPr="007803C2">
              <w:rPr>
                <w:lang w:eastAsia="zh-CN"/>
              </w:rPr>
              <w:t>0.06452</w:t>
            </w:r>
          </w:p>
        </w:tc>
        <w:tc>
          <w:tcPr>
            <w:tcW w:w="3439" w:type="dxa"/>
            <w:noWrap/>
            <w:vAlign w:val="center"/>
            <w:hideMark/>
          </w:tcPr>
          <w:p w14:paraId="7AC64974" w14:textId="77777777" w:rsidR="007803C2" w:rsidRPr="007803C2" w:rsidRDefault="007803C2" w:rsidP="00AE614F">
            <w:pPr>
              <w:jc w:val="center"/>
              <w:rPr>
                <w:lang w:eastAsia="zh-CN"/>
              </w:rPr>
            </w:pPr>
            <w:r w:rsidRPr="007803C2">
              <w:rPr>
                <w:lang w:eastAsia="zh-CN"/>
              </w:rPr>
              <w:t>0.01326</w:t>
            </w:r>
          </w:p>
        </w:tc>
      </w:tr>
      <w:tr w:rsidR="007803C2" w:rsidRPr="007803C2" w14:paraId="37F50CDE" w14:textId="77777777" w:rsidTr="00AE614F">
        <w:trPr>
          <w:trHeight w:val="332"/>
          <w:jc w:val="center"/>
        </w:trPr>
        <w:tc>
          <w:tcPr>
            <w:tcW w:w="3289" w:type="dxa"/>
            <w:noWrap/>
            <w:vAlign w:val="center"/>
            <w:hideMark/>
          </w:tcPr>
          <w:p w14:paraId="39B3DC2A" w14:textId="77777777" w:rsidR="007803C2" w:rsidRPr="007803C2" w:rsidRDefault="007803C2" w:rsidP="00AE614F">
            <w:pPr>
              <w:jc w:val="center"/>
              <w:rPr>
                <w:lang w:eastAsia="zh-CN"/>
              </w:rPr>
            </w:pPr>
            <w:r w:rsidRPr="007803C2">
              <w:rPr>
                <w:lang w:eastAsia="zh-CN"/>
              </w:rPr>
              <w:t>['KAMA', 'FI', 'BB', 'ADX']</w:t>
            </w:r>
          </w:p>
        </w:tc>
        <w:tc>
          <w:tcPr>
            <w:tcW w:w="3185" w:type="dxa"/>
            <w:noWrap/>
            <w:vAlign w:val="center"/>
            <w:hideMark/>
          </w:tcPr>
          <w:p w14:paraId="4411FAD8" w14:textId="77777777" w:rsidR="007803C2" w:rsidRPr="007803C2" w:rsidRDefault="007803C2" w:rsidP="00AE614F">
            <w:pPr>
              <w:jc w:val="center"/>
              <w:rPr>
                <w:lang w:eastAsia="zh-CN"/>
              </w:rPr>
            </w:pPr>
            <w:r w:rsidRPr="007803C2">
              <w:rPr>
                <w:lang w:eastAsia="zh-CN"/>
              </w:rPr>
              <w:t>0.04697</w:t>
            </w:r>
          </w:p>
        </w:tc>
        <w:tc>
          <w:tcPr>
            <w:tcW w:w="2736" w:type="dxa"/>
            <w:noWrap/>
            <w:vAlign w:val="center"/>
            <w:hideMark/>
          </w:tcPr>
          <w:p w14:paraId="00D1042B" w14:textId="77777777" w:rsidR="007803C2" w:rsidRPr="007803C2" w:rsidRDefault="007803C2" w:rsidP="00AE614F">
            <w:pPr>
              <w:jc w:val="center"/>
              <w:rPr>
                <w:lang w:eastAsia="zh-CN"/>
              </w:rPr>
            </w:pPr>
            <w:r w:rsidRPr="007803C2">
              <w:rPr>
                <w:lang w:eastAsia="zh-CN"/>
              </w:rPr>
              <w:t>0.14203</w:t>
            </w:r>
          </w:p>
        </w:tc>
        <w:tc>
          <w:tcPr>
            <w:tcW w:w="3439" w:type="dxa"/>
            <w:noWrap/>
            <w:vAlign w:val="center"/>
            <w:hideMark/>
          </w:tcPr>
          <w:p w14:paraId="6D9994F9" w14:textId="77777777" w:rsidR="007803C2" w:rsidRPr="007803C2" w:rsidRDefault="007803C2" w:rsidP="00AE614F">
            <w:pPr>
              <w:jc w:val="center"/>
              <w:rPr>
                <w:lang w:eastAsia="zh-CN"/>
              </w:rPr>
            </w:pPr>
            <w:r w:rsidRPr="007803C2">
              <w:rPr>
                <w:lang w:eastAsia="zh-CN"/>
              </w:rPr>
              <w:t>0.01297</w:t>
            </w:r>
          </w:p>
        </w:tc>
      </w:tr>
      <w:tr w:rsidR="007803C2" w:rsidRPr="007803C2" w14:paraId="34216963" w14:textId="77777777" w:rsidTr="00AE614F">
        <w:trPr>
          <w:trHeight w:val="332"/>
          <w:jc w:val="center"/>
        </w:trPr>
        <w:tc>
          <w:tcPr>
            <w:tcW w:w="3289" w:type="dxa"/>
            <w:noWrap/>
            <w:vAlign w:val="center"/>
            <w:hideMark/>
          </w:tcPr>
          <w:p w14:paraId="4EFB8221" w14:textId="77777777" w:rsidR="007803C2" w:rsidRPr="007803C2" w:rsidRDefault="007803C2" w:rsidP="00AE614F">
            <w:pPr>
              <w:jc w:val="center"/>
              <w:rPr>
                <w:lang w:eastAsia="zh-CN"/>
              </w:rPr>
            </w:pPr>
            <w:r w:rsidRPr="007803C2">
              <w:rPr>
                <w:lang w:eastAsia="zh-CN"/>
              </w:rPr>
              <w:t>['KAMA', '</w:t>
            </w:r>
            <w:proofErr w:type="spellStart"/>
            <w:r w:rsidRPr="007803C2">
              <w:rPr>
                <w:lang w:eastAsia="zh-CN"/>
              </w:rPr>
              <w:t>EoM</w:t>
            </w:r>
            <w:proofErr w:type="spellEnd"/>
            <w:r w:rsidRPr="007803C2">
              <w:rPr>
                <w:lang w:eastAsia="zh-CN"/>
              </w:rPr>
              <w:t>', 'KC', 'MI']</w:t>
            </w:r>
          </w:p>
        </w:tc>
        <w:tc>
          <w:tcPr>
            <w:tcW w:w="3185" w:type="dxa"/>
            <w:noWrap/>
            <w:vAlign w:val="center"/>
            <w:hideMark/>
          </w:tcPr>
          <w:p w14:paraId="21BC11E5" w14:textId="77777777" w:rsidR="007803C2" w:rsidRPr="007803C2" w:rsidRDefault="007803C2" w:rsidP="00AE614F">
            <w:pPr>
              <w:jc w:val="center"/>
              <w:rPr>
                <w:lang w:eastAsia="zh-CN"/>
              </w:rPr>
            </w:pPr>
            <w:r w:rsidRPr="007803C2">
              <w:rPr>
                <w:lang w:eastAsia="zh-CN"/>
              </w:rPr>
              <w:t>0.04755</w:t>
            </w:r>
          </w:p>
        </w:tc>
        <w:tc>
          <w:tcPr>
            <w:tcW w:w="2736" w:type="dxa"/>
            <w:noWrap/>
            <w:vAlign w:val="center"/>
            <w:hideMark/>
          </w:tcPr>
          <w:p w14:paraId="470732DE" w14:textId="77777777" w:rsidR="007803C2" w:rsidRPr="007803C2" w:rsidRDefault="007803C2" w:rsidP="00AE614F">
            <w:pPr>
              <w:jc w:val="center"/>
              <w:rPr>
                <w:lang w:eastAsia="zh-CN"/>
              </w:rPr>
            </w:pPr>
            <w:r w:rsidRPr="007803C2">
              <w:rPr>
                <w:lang w:eastAsia="zh-CN"/>
              </w:rPr>
              <w:t>0.07219</w:t>
            </w:r>
          </w:p>
        </w:tc>
        <w:tc>
          <w:tcPr>
            <w:tcW w:w="3439" w:type="dxa"/>
            <w:noWrap/>
            <w:vAlign w:val="center"/>
            <w:hideMark/>
          </w:tcPr>
          <w:p w14:paraId="7A373CB8" w14:textId="77777777" w:rsidR="007803C2" w:rsidRPr="007803C2" w:rsidRDefault="007803C2" w:rsidP="00AE614F">
            <w:pPr>
              <w:jc w:val="center"/>
              <w:rPr>
                <w:lang w:eastAsia="zh-CN"/>
              </w:rPr>
            </w:pPr>
            <w:r w:rsidRPr="007803C2">
              <w:rPr>
                <w:lang w:eastAsia="zh-CN"/>
              </w:rPr>
              <w:t>0.01296</w:t>
            </w:r>
          </w:p>
        </w:tc>
      </w:tr>
      <w:tr w:rsidR="007803C2" w:rsidRPr="007803C2" w14:paraId="57B43786" w14:textId="77777777" w:rsidTr="00AE614F">
        <w:trPr>
          <w:trHeight w:val="332"/>
          <w:jc w:val="center"/>
        </w:trPr>
        <w:tc>
          <w:tcPr>
            <w:tcW w:w="3289" w:type="dxa"/>
            <w:noWrap/>
            <w:vAlign w:val="center"/>
            <w:hideMark/>
          </w:tcPr>
          <w:p w14:paraId="00D4CF43" w14:textId="77777777" w:rsidR="007803C2" w:rsidRPr="007803C2" w:rsidRDefault="007803C2" w:rsidP="00AE614F">
            <w:pPr>
              <w:jc w:val="center"/>
              <w:rPr>
                <w:lang w:eastAsia="zh-CN"/>
              </w:rPr>
            </w:pPr>
            <w:r w:rsidRPr="007803C2">
              <w:rPr>
                <w:lang w:eastAsia="zh-CN"/>
              </w:rPr>
              <w:t>['KAMA', '</w:t>
            </w:r>
            <w:proofErr w:type="spellStart"/>
            <w:r w:rsidRPr="007803C2">
              <w:rPr>
                <w:lang w:eastAsia="zh-CN"/>
              </w:rPr>
              <w:t>EoM</w:t>
            </w:r>
            <w:proofErr w:type="spellEnd"/>
            <w:r w:rsidRPr="007803C2">
              <w:rPr>
                <w:lang w:eastAsia="zh-CN"/>
              </w:rPr>
              <w:t>', 'DC', 'ADX']</w:t>
            </w:r>
          </w:p>
        </w:tc>
        <w:tc>
          <w:tcPr>
            <w:tcW w:w="3185" w:type="dxa"/>
            <w:noWrap/>
            <w:vAlign w:val="center"/>
            <w:hideMark/>
          </w:tcPr>
          <w:p w14:paraId="7F1FFE13" w14:textId="77777777" w:rsidR="007803C2" w:rsidRPr="007803C2" w:rsidRDefault="007803C2" w:rsidP="00AE614F">
            <w:pPr>
              <w:jc w:val="center"/>
              <w:rPr>
                <w:lang w:eastAsia="zh-CN"/>
              </w:rPr>
            </w:pPr>
            <w:r w:rsidRPr="007803C2">
              <w:rPr>
                <w:lang w:eastAsia="zh-CN"/>
              </w:rPr>
              <w:t>0.03231</w:t>
            </w:r>
          </w:p>
        </w:tc>
        <w:tc>
          <w:tcPr>
            <w:tcW w:w="2736" w:type="dxa"/>
            <w:noWrap/>
            <w:vAlign w:val="center"/>
            <w:hideMark/>
          </w:tcPr>
          <w:p w14:paraId="09631CB6" w14:textId="77777777" w:rsidR="007803C2" w:rsidRPr="007803C2" w:rsidRDefault="007803C2" w:rsidP="00AE614F">
            <w:pPr>
              <w:jc w:val="center"/>
              <w:rPr>
                <w:lang w:eastAsia="zh-CN"/>
              </w:rPr>
            </w:pPr>
            <w:r w:rsidRPr="007803C2">
              <w:rPr>
                <w:lang w:eastAsia="zh-CN"/>
              </w:rPr>
              <w:t>0.05136</w:t>
            </w:r>
          </w:p>
        </w:tc>
        <w:tc>
          <w:tcPr>
            <w:tcW w:w="3439" w:type="dxa"/>
            <w:noWrap/>
            <w:vAlign w:val="center"/>
            <w:hideMark/>
          </w:tcPr>
          <w:p w14:paraId="3A51303C" w14:textId="77777777" w:rsidR="007803C2" w:rsidRPr="007803C2" w:rsidRDefault="007803C2" w:rsidP="00AE614F">
            <w:pPr>
              <w:jc w:val="center"/>
              <w:rPr>
                <w:lang w:eastAsia="zh-CN"/>
              </w:rPr>
            </w:pPr>
            <w:r w:rsidRPr="007803C2">
              <w:rPr>
                <w:lang w:eastAsia="zh-CN"/>
              </w:rPr>
              <w:t>0.01273</w:t>
            </w:r>
          </w:p>
        </w:tc>
      </w:tr>
      <w:tr w:rsidR="007803C2" w:rsidRPr="007803C2" w14:paraId="39C5CA06" w14:textId="77777777" w:rsidTr="00AE614F">
        <w:trPr>
          <w:trHeight w:val="332"/>
          <w:jc w:val="center"/>
        </w:trPr>
        <w:tc>
          <w:tcPr>
            <w:tcW w:w="3289" w:type="dxa"/>
            <w:noWrap/>
            <w:vAlign w:val="center"/>
            <w:hideMark/>
          </w:tcPr>
          <w:p w14:paraId="37C305B1" w14:textId="77777777" w:rsidR="007803C2" w:rsidRPr="007803C2" w:rsidRDefault="007803C2" w:rsidP="00AE614F">
            <w:pPr>
              <w:jc w:val="center"/>
              <w:rPr>
                <w:lang w:eastAsia="zh-CN"/>
              </w:rPr>
            </w:pPr>
            <w:r w:rsidRPr="007803C2">
              <w:rPr>
                <w:lang w:eastAsia="zh-CN"/>
              </w:rPr>
              <w:t>['KAMA', '</w:t>
            </w:r>
            <w:proofErr w:type="spellStart"/>
            <w:r w:rsidRPr="007803C2">
              <w:rPr>
                <w:lang w:eastAsia="zh-CN"/>
              </w:rPr>
              <w:t>EoM</w:t>
            </w:r>
            <w:proofErr w:type="spellEnd"/>
            <w:r w:rsidRPr="007803C2">
              <w:rPr>
                <w:lang w:eastAsia="zh-CN"/>
              </w:rPr>
              <w:t>', 'BB', 'ADX']</w:t>
            </w:r>
          </w:p>
        </w:tc>
        <w:tc>
          <w:tcPr>
            <w:tcW w:w="3185" w:type="dxa"/>
            <w:noWrap/>
            <w:vAlign w:val="center"/>
            <w:hideMark/>
          </w:tcPr>
          <w:p w14:paraId="4FBE345C" w14:textId="77777777" w:rsidR="007803C2" w:rsidRPr="007803C2" w:rsidRDefault="007803C2" w:rsidP="00AE614F">
            <w:pPr>
              <w:jc w:val="center"/>
              <w:rPr>
                <w:lang w:eastAsia="zh-CN"/>
              </w:rPr>
            </w:pPr>
            <w:r w:rsidRPr="007803C2">
              <w:rPr>
                <w:lang w:eastAsia="zh-CN"/>
              </w:rPr>
              <w:t>0.03784</w:t>
            </w:r>
          </w:p>
        </w:tc>
        <w:tc>
          <w:tcPr>
            <w:tcW w:w="2736" w:type="dxa"/>
            <w:noWrap/>
            <w:vAlign w:val="center"/>
            <w:hideMark/>
          </w:tcPr>
          <w:p w14:paraId="4EEB9E30" w14:textId="77777777" w:rsidR="007803C2" w:rsidRPr="007803C2" w:rsidRDefault="007803C2" w:rsidP="00AE614F">
            <w:pPr>
              <w:jc w:val="center"/>
              <w:rPr>
                <w:lang w:eastAsia="zh-CN"/>
              </w:rPr>
            </w:pPr>
            <w:r w:rsidRPr="007803C2">
              <w:rPr>
                <w:lang w:eastAsia="zh-CN"/>
              </w:rPr>
              <w:t>0.07404</w:t>
            </w:r>
          </w:p>
        </w:tc>
        <w:tc>
          <w:tcPr>
            <w:tcW w:w="3439" w:type="dxa"/>
            <w:noWrap/>
            <w:vAlign w:val="center"/>
            <w:hideMark/>
          </w:tcPr>
          <w:p w14:paraId="40207F70" w14:textId="77777777" w:rsidR="007803C2" w:rsidRPr="007803C2" w:rsidRDefault="007803C2" w:rsidP="00AE614F">
            <w:pPr>
              <w:jc w:val="center"/>
              <w:rPr>
                <w:lang w:eastAsia="zh-CN"/>
              </w:rPr>
            </w:pPr>
            <w:r w:rsidRPr="007803C2">
              <w:rPr>
                <w:lang w:eastAsia="zh-CN"/>
              </w:rPr>
              <w:t>0.01195</w:t>
            </w:r>
          </w:p>
        </w:tc>
      </w:tr>
      <w:tr w:rsidR="007803C2" w:rsidRPr="007803C2" w14:paraId="05830F44" w14:textId="77777777" w:rsidTr="00AE614F">
        <w:trPr>
          <w:trHeight w:val="332"/>
          <w:jc w:val="center"/>
        </w:trPr>
        <w:tc>
          <w:tcPr>
            <w:tcW w:w="3289" w:type="dxa"/>
            <w:noWrap/>
            <w:vAlign w:val="center"/>
            <w:hideMark/>
          </w:tcPr>
          <w:p w14:paraId="73E415F4" w14:textId="77777777" w:rsidR="007803C2" w:rsidRPr="007803C2" w:rsidRDefault="007803C2" w:rsidP="00AE614F">
            <w:pPr>
              <w:jc w:val="center"/>
              <w:rPr>
                <w:lang w:eastAsia="zh-CN"/>
              </w:rPr>
            </w:pPr>
            <w:r w:rsidRPr="007803C2">
              <w:rPr>
                <w:lang w:eastAsia="zh-CN"/>
              </w:rPr>
              <w:t>['KAMA', '</w:t>
            </w:r>
            <w:proofErr w:type="spellStart"/>
            <w:r w:rsidRPr="007803C2">
              <w:rPr>
                <w:lang w:eastAsia="zh-CN"/>
              </w:rPr>
              <w:t>EoM</w:t>
            </w:r>
            <w:proofErr w:type="spellEnd"/>
            <w:r w:rsidRPr="007803C2">
              <w:rPr>
                <w:lang w:eastAsia="zh-CN"/>
              </w:rPr>
              <w:t>', 'UI', 'ADX']</w:t>
            </w:r>
          </w:p>
        </w:tc>
        <w:tc>
          <w:tcPr>
            <w:tcW w:w="3185" w:type="dxa"/>
            <w:noWrap/>
            <w:vAlign w:val="center"/>
            <w:hideMark/>
          </w:tcPr>
          <w:p w14:paraId="102B2050" w14:textId="77777777" w:rsidR="007803C2" w:rsidRPr="007803C2" w:rsidRDefault="007803C2" w:rsidP="00AE614F">
            <w:pPr>
              <w:jc w:val="center"/>
              <w:rPr>
                <w:lang w:eastAsia="zh-CN"/>
              </w:rPr>
            </w:pPr>
            <w:r w:rsidRPr="007803C2">
              <w:rPr>
                <w:lang w:eastAsia="zh-CN"/>
              </w:rPr>
              <w:t>0.03838</w:t>
            </w:r>
          </w:p>
        </w:tc>
        <w:tc>
          <w:tcPr>
            <w:tcW w:w="2736" w:type="dxa"/>
            <w:noWrap/>
            <w:vAlign w:val="center"/>
            <w:hideMark/>
          </w:tcPr>
          <w:p w14:paraId="61835B7A" w14:textId="77777777" w:rsidR="007803C2" w:rsidRPr="007803C2" w:rsidRDefault="007803C2" w:rsidP="00AE614F">
            <w:pPr>
              <w:jc w:val="center"/>
              <w:rPr>
                <w:lang w:eastAsia="zh-CN"/>
              </w:rPr>
            </w:pPr>
            <w:r w:rsidRPr="007803C2">
              <w:rPr>
                <w:lang w:eastAsia="zh-CN"/>
              </w:rPr>
              <w:t>0.05190</w:t>
            </w:r>
          </w:p>
        </w:tc>
        <w:tc>
          <w:tcPr>
            <w:tcW w:w="3439" w:type="dxa"/>
            <w:noWrap/>
            <w:vAlign w:val="center"/>
            <w:hideMark/>
          </w:tcPr>
          <w:p w14:paraId="07593CED" w14:textId="77777777" w:rsidR="007803C2" w:rsidRPr="007803C2" w:rsidRDefault="007803C2" w:rsidP="00AE614F">
            <w:pPr>
              <w:jc w:val="center"/>
              <w:rPr>
                <w:lang w:eastAsia="zh-CN"/>
              </w:rPr>
            </w:pPr>
            <w:r w:rsidRPr="007803C2">
              <w:rPr>
                <w:lang w:eastAsia="zh-CN"/>
              </w:rPr>
              <w:t>0.01070</w:t>
            </w:r>
          </w:p>
        </w:tc>
      </w:tr>
    </w:tbl>
    <w:p w14:paraId="674D6118" w14:textId="1364FE35" w:rsidR="007803C2" w:rsidRPr="00EF6842" w:rsidRDefault="00AE614F" w:rsidP="00A811CE">
      <w:pPr>
        <w:pStyle w:val="AppendixTable"/>
      </w:pPr>
      <w:r>
        <w:t>Factor Correlation Combination Analysi</w:t>
      </w:r>
      <w:r w:rsidR="002F6440">
        <w:t>s</w:t>
      </w:r>
    </w:p>
    <w:sectPr w:rsidR="007803C2" w:rsidRPr="00EF6842" w:rsidSect="002F6440">
      <w:footnotePr>
        <w:pos w:val="beneathText"/>
      </w:footnotePr>
      <w:pgSz w:w="15840" w:h="12240" w:orient="landscape"/>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BE879" w14:textId="77777777" w:rsidR="0013761A" w:rsidRDefault="0013761A">
      <w:pPr>
        <w:spacing w:line="240" w:lineRule="auto"/>
      </w:pPr>
      <w:r>
        <w:separator/>
      </w:r>
    </w:p>
    <w:p w14:paraId="1F724226" w14:textId="77777777" w:rsidR="0013761A" w:rsidRDefault="0013761A"/>
  </w:endnote>
  <w:endnote w:type="continuationSeparator" w:id="0">
    <w:p w14:paraId="79C04A73" w14:textId="77777777" w:rsidR="0013761A" w:rsidRDefault="0013761A">
      <w:pPr>
        <w:spacing w:line="240" w:lineRule="auto"/>
      </w:pPr>
      <w:r>
        <w:continuationSeparator/>
      </w:r>
    </w:p>
    <w:p w14:paraId="60F50A32" w14:textId="77777777" w:rsidR="0013761A" w:rsidRDefault="001376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269A4" w14:textId="77777777" w:rsidR="0013761A" w:rsidRDefault="0013761A">
      <w:pPr>
        <w:spacing w:line="240" w:lineRule="auto"/>
      </w:pPr>
      <w:r>
        <w:separator/>
      </w:r>
    </w:p>
    <w:p w14:paraId="25DB6F0E" w14:textId="77777777" w:rsidR="0013761A" w:rsidRDefault="0013761A"/>
  </w:footnote>
  <w:footnote w:type="continuationSeparator" w:id="0">
    <w:p w14:paraId="2D555C7F" w14:textId="77777777" w:rsidR="0013761A" w:rsidRDefault="0013761A">
      <w:pPr>
        <w:spacing w:line="240" w:lineRule="auto"/>
      </w:pPr>
      <w:r>
        <w:continuationSeparator/>
      </w:r>
    </w:p>
    <w:p w14:paraId="3ECA4848" w14:textId="77777777" w:rsidR="0013761A" w:rsidRDefault="0013761A"/>
  </w:footnote>
  <w:footnote w:id="1">
    <w:p w14:paraId="39A8F82F" w14:textId="65A939B6" w:rsidR="007803C2" w:rsidRDefault="007803C2">
      <w:pPr>
        <w:pStyle w:val="FootnoteText"/>
      </w:pPr>
      <w:r>
        <w:rPr>
          <w:rStyle w:val="FootnoteReference"/>
        </w:rPr>
        <w:footnoteRef/>
      </w:r>
      <w:r>
        <w:t xml:space="preserve"> As of November 24, 2020</w:t>
      </w:r>
    </w:p>
  </w:footnote>
  <w:footnote w:id="2">
    <w:p w14:paraId="384145F1" w14:textId="639E2DFF" w:rsidR="007803C2" w:rsidRDefault="007803C2">
      <w:pPr>
        <w:pStyle w:val="FootnoteText"/>
      </w:pPr>
      <w:r>
        <w:rPr>
          <w:rStyle w:val="FootnoteReference"/>
        </w:rPr>
        <w:footnoteRef/>
      </w:r>
      <w:r>
        <w:t xml:space="preserve"> Calculation of factors utilize default parameters typically used. Accuracy of fit and performance of strategy will depend on these parameters to a certain degree but optimizing the parameters is out of the scope of this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1D578" w14:textId="086F19FE" w:rsidR="007803C2" w:rsidRDefault="007803C2">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0FE87" w14:textId="57476FBC" w:rsidR="007803C2" w:rsidRDefault="007803C2">
    <w:pPr>
      <w:pStyle w:val="Header"/>
      <w:rPr>
        <w:rStyle w:val="Strong"/>
      </w:rPr>
    </w:pPr>
    <w:r>
      <w:rPr>
        <w:rStyle w:val="Strong"/>
      </w:rPr>
      <w:ptab w:relativeTo="margin" w:alignment="right" w:leader="none"/>
    </w:r>
  </w:p>
  <w:p w14:paraId="6A96529D" w14:textId="77777777" w:rsidR="007803C2" w:rsidRDefault="007803C2">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BE19F5"/>
    <w:multiLevelType w:val="hybridMultilevel"/>
    <w:tmpl w:val="A022A2E4"/>
    <w:lvl w:ilvl="0" w:tplc="95FC88A6">
      <w:start w:val="1"/>
      <w:numFmt w:val="decimal"/>
      <w:pStyle w:val="tables"/>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F4172B"/>
    <w:multiLevelType w:val="hybridMultilevel"/>
    <w:tmpl w:val="48D4750E"/>
    <w:lvl w:ilvl="0" w:tplc="2A568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34C76E5"/>
    <w:multiLevelType w:val="hybridMultilevel"/>
    <w:tmpl w:val="18364CF0"/>
    <w:lvl w:ilvl="0" w:tplc="DD5CCED4">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094DC2"/>
    <w:multiLevelType w:val="hybridMultilevel"/>
    <w:tmpl w:val="FE28FB9C"/>
    <w:lvl w:ilvl="0" w:tplc="29AAE39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C36881"/>
    <w:multiLevelType w:val="hybridMultilevel"/>
    <w:tmpl w:val="5A48FAC2"/>
    <w:lvl w:ilvl="0" w:tplc="B7A01DA6">
      <w:start w:val="1"/>
      <w:numFmt w:val="decimal"/>
      <w:pStyle w:val="figure"/>
      <w:lvlText w:val="Figur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7857DA"/>
    <w:multiLevelType w:val="hybridMultilevel"/>
    <w:tmpl w:val="07163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1C7EA2"/>
    <w:multiLevelType w:val="hybridMultilevel"/>
    <w:tmpl w:val="D86AF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6067C37"/>
    <w:multiLevelType w:val="hybridMultilevel"/>
    <w:tmpl w:val="35542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F0D0F51"/>
    <w:multiLevelType w:val="hybridMultilevel"/>
    <w:tmpl w:val="9F3C2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2277FB"/>
    <w:multiLevelType w:val="hybridMultilevel"/>
    <w:tmpl w:val="E4589DE8"/>
    <w:lvl w:ilvl="0" w:tplc="50787266">
      <w:start w:val="1"/>
      <w:numFmt w:val="decimal"/>
      <w:pStyle w:val="AppendixTable"/>
      <w:lvlText w:val="Table A%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E63EC5"/>
    <w:multiLevelType w:val="hybridMultilevel"/>
    <w:tmpl w:val="7D083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5C4E31"/>
    <w:multiLevelType w:val="hybridMultilevel"/>
    <w:tmpl w:val="052E24BA"/>
    <w:lvl w:ilvl="0" w:tplc="844E4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670C69"/>
    <w:multiLevelType w:val="hybridMultilevel"/>
    <w:tmpl w:val="29609BF2"/>
    <w:lvl w:ilvl="0" w:tplc="178CD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2"/>
  </w:num>
  <w:num w:numId="13">
    <w:abstractNumId w:val="18"/>
  </w:num>
  <w:num w:numId="14">
    <w:abstractNumId w:val="16"/>
  </w:num>
  <w:num w:numId="15">
    <w:abstractNumId w:val="20"/>
  </w:num>
  <w:num w:numId="16">
    <w:abstractNumId w:val="26"/>
  </w:num>
  <w:num w:numId="17">
    <w:abstractNumId w:val="19"/>
  </w:num>
  <w:num w:numId="18">
    <w:abstractNumId w:val="15"/>
  </w:num>
  <w:num w:numId="19">
    <w:abstractNumId w:val="13"/>
  </w:num>
  <w:num w:numId="20">
    <w:abstractNumId w:val="21"/>
  </w:num>
  <w:num w:numId="21">
    <w:abstractNumId w:val="11"/>
  </w:num>
  <w:num w:numId="22">
    <w:abstractNumId w:val="10"/>
  </w:num>
  <w:num w:numId="23">
    <w:abstractNumId w:val="24"/>
  </w:num>
  <w:num w:numId="24">
    <w:abstractNumId w:val="12"/>
  </w:num>
  <w:num w:numId="25">
    <w:abstractNumId w:val="17"/>
  </w:num>
  <w:num w:numId="26">
    <w:abstractNumId w:val="10"/>
    <w:lvlOverride w:ilvl="0">
      <w:startOverride w:val="1"/>
    </w:lvlOverride>
  </w:num>
  <w:num w:numId="27">
    <w:abstractNumId w:val="14"/>
  </w:num>
  <w:num w:numId="28">
    <w:abstractNumId w:val="25"/>
  </w:num>
  <w:num w:numId="29">
    <w:abstractNumId w:val="10"/>
    <w:lvlOverride w:ilvl="0">
      <w:startOverride w:val="1"/>
    </w:lvlOverride>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0D"/>
    <w:rsid w:val="00020F84"/>
    <w:rsid w:val="00022D44"/>
    <w:rsid w:val="00033A7A"/>
    <w:rsid w:val="0004382A"/>
    <w:rsid w:val="000833C0"/>
    <w:rsid w:val="00085BF3"/>
    <w:rsid w:val="00094998"/>
    <w:rsid w:val="000A7142"/>
    <w:rsid w:val="000D3F41"/>
    <w:rsid w:val="000E690E"/>
    <w:rsid w:val="000F1BE4"/>
    <w:rsid w:val="00100901"/>
    <w:rsid w:val="00106C3F"/>
    <w:rsid w:val="0011350D"/>
    <w:rsid w:val="0013761A"/>
    <w:rsid w:val="00146010"/>
    <w:rsid w:val="00164771"/>
    <w:rsid w:val="001A1704"/>
    <w:rsid w:val="001E2B40"/>
    <w:rsid w:val="001F7285"/>
    <w:rsid w:val="0022137C"/>
    <w:rsid w:val="00221CBE"/>
    <w:rsid w:val="00242563"/>
    <w:rsid w:val="002A1058"/>
    <w:rsid w:val="002A1B70"/>
    <w:rsid w:val="002B2C1A"/>
    <w:rsid w:val="002B393A"/>
    <w:rsid w:val="002B39CF"/>
    <w:rsid w:val="002F6440"/>
    <w:rsid w:val="00355DCA"/>
    <w:rsid w:val="00413777"/>
    <w:rsid w:val="00437C40"/>
    <w:rsid w:val="0046000C"/>
    <w:rsid w:val="00470996"/>
    <w:rsid w:val="00474601"/>
    <w:rsid w:val="00483292"/>
    <w:rsid w:val="004A451D"/>
    <w:rsid w:val="004D3F2C"/>
    <w:rsid w:val="0050590A"/>
    <w:rsid w:val="00531FE2"/>
    <w:rsid w:val="00551A02"/>
    <w:rsid w:val="005534FA"/>
    <w:rsid w:val="005642F0"/>
    <w:rsid w:val="005954FE"/>
    <w:rsid w:val="005B0FA2"/>
    <w:rsid w:val="005B4796"/>
    <w:rsid w:val="005C016A"/>
    <w:rsid w:val="005D047B"/>
    <w:rsid w:val="005D3A03"/>
    <w:rsid w:val="005E4129"/>
    <w:rsid w:val="006173A6"/>
    <w:rsid w:val="006222F9"/>
    <w:rsid w:val="00642E07"/>
    <w:rsid w:val="006607E0"/>
    <w:rsid w:val="00663B2B"/>
    <w:rsid w:val="00672D6C"/>
    <w:rsid w:val="0067606D"/>
    <w:rsid w:val="0067625B"/>
    <w:rsid w:val="006A444C"/>
    <w:rsid w:val="006C2690"/>
    <w:rsid w:val="006E3067"/>
    <w:rsid w:val="006F195B"/>
    <w:rsid w:val="00717D34"/>
    <w:rsid w:val="007372FA"/>
    <w:rsid w:val="00753813"/>
    <w:rsid w:val="007803C2"/>
    <w:rsid w:val="007815FA"/>
    <w:rsid w:val="00782A9C"/>
    <w:rsid w:val="00793ECA"/>
    <w:rsid w:val="007A1A7B"/>
    <w:rsid w:val="007D579D"/>
    <w:rsid w:val="007F45D1"/>
    <w:rsid w:val="008002C0"/>
    <w:rsid w:val="008564CD"/>
    <w:rsid w:val="00861388"/>
    <w:rsid w:val="008719C2"/>
    <w:rsid w:val="00880F59"/>
    <w:rsid w:val="0089502D"/>
    <w:rsid w:val="00897A89"/>
    <w:rsid w:val="008C5323"/>
    <w:rsid w:val="008D5F40"/>
    <w:rsid w:val="00952D9E"/>
    <w:rsid w:val="0098615B"/>
    <w:rsid w:val="009873A2"/>
    <w:rsid w:val="0099076A"/>
    <w:rsid w:val="009A6A3B"/>
    <w:rsid w:val="009A738D"/>
    <w:rsid w:val="009B0C03"/>
    <w:rsid w:val="009D43A1"/>
    <w:rsid w:val="009D4ABE"/>
    <w:rsid w:val="009E3957"/>
    <w:rsid w:val="00A03DFE"/>
    <w:rsid w:val="00A04AFB"/>
    <w:rsid w:val="00A04D1F"/>
    <w:rsid w:val="00A43FE1"/>
    <w:rsid w:val="00A811CE"/>
    <w:rsid w:val="00A9169E"/>
    <w:rsid w:val="00A96746"/>
    <w:rsid w:val="00AB0A4F"/>
    <w:rsid w:val="00AB2472"/>
    <w:rsid w:val="00AC056A"/>
    <w:rsid w:val="00AD733A"/>
    <w:rsid w:val="00AE614F"/>
    <w:rsid w:val="00AF5609"/>
    <w:rsid w:val="00B02452"/>
    <w:rsid w:val="00B06182"/>
    <w:rsid w:val="00B328DA"/>
    <w:rsid w:val="00B6504C"/>
    <w:rsid w:val="00B701CB"/>
    <w:rsid w:val="00B823AA"/>
    <w:rsid w:val="00BA45DB"/>
    <w:rsid w:val="00BA6D29"/>
    <w:rsid w:val="00BC377D"/>
    <w:rsid w:val="00BD2114"/>
    <w:rsid w:val="00BD78A9"/>
    <w:rsid w:val="00BE42D1"/>
    <w:rsid w:val="00BE6915"/>
    <w:rsid w:val="00BF4184"/>
    <w:rsid w:val="00C0601E"/>
    <w:rsid w:val="00C31D30"/>
    <w:rsid w:val="00C51E66"/>
    <w:rsid w:val="00C63843"/>
    <w:rsid w:val="00C8545C"/>
    <w:rsid w:val="00C87A91"/>
    <w:rsid w:val="00C94159"/>
    <w:rsid w:val="00CB0FDA"/>
    <w:rsid w:val="00CD6E39"/>
    <w:rsid w:val="00CF6E91"/>
    <w:rsid w:val="00D50500"/>
    <w:rsid w:val="00D85B68"/>
    <w:rsid w:val="00DA5A72"/>
    <w:rsid w:val="00DE70D8"/>
    <w:rsid w:val="00DF383F"/>
    <w:rsid w:val="00E0166A"/>
    <w:rsid w:val="00E33FE6"/>
    <w:rsid w:val="00E475B7"/>
    <w:rsid w:val="00E6004D"/>
    <w:rsid w:val="00E81978"/>
    <w:rsid w:val="00E95E30"/>
    <w:rsid w:val="00ED2224"/>
    <w:rsid w:val="00ED4346"/>
    <w:rsid w:val="00EF002C"/>
    <w:rsid w:val="00EF6842"/>
    <w:rsid w:val="00F02D06"/>
    <w:rsid w:val="00F278B0"/>
    <w:rsid w:val="00F338E2"/>
    <w:rsid w:val="00F379B7"/>
    <w:rsid w:val="00F47930"/>
    <w:rsid w:val="00F525FA"/>
    <w:rsid w:val="00F65338"/>
    <w:rsid w:val="00F86B63"/>
    <w:rsid w:val="00F9536E"/>
    <w:rsid w:val="00FA3F73"/>
    <w:rsid w:val="00FB2CC2"/>
    <w:rsid w:val="00FE6E08"/>
    <w:rsid w:val="00FF2002"/>
    <w:rsid w:val="00FF5108"/>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56A92"/>
  <w15:chartTrackingRefBased/>
  <w15:docId w15:val="{58534E8E-CABB-48A5-B914-0BF8F105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E33FE6"/>
    <w:pPr>
      <w:keepNext/>
      <w:keepLines/>
      <w:ind w:firstLine="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4"/>
    <w:unhideWhenUsed/>
    <w:qFormat/>
    <w:rsid w:val="005D047B"/>
    <w:pPr>
      <w:keepNext/>
      <w:keepLines/>
      <w:ind w:firstLine="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4"/>
    <w:unhideWhenUsed/>
    <w:qFormat/>
    <w:rsid w:val="002B2C1A"/>
    <w:pPr>
      <w:keepNext/>
      <w:keepLines/>
      <w:ind w:firstLine="0"/>
      <w:outlineLvl w:val="2"/>
    </w:pPr>
    <w:rPr>
      <w:rFonts w:asciiTheme="majorHAnsi" w:eastAsiaTheme="majorEastAsia" w:hAnsiTheme="majorHAnsi" w:cstheme="majorBidi"/>
      <w:b/>
      <w:bCs/>
      <w:i/>
      <w:i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4"/>
    <w:rsid w:val="00E33FE6"/>
    <w:rPr>
      <w:rFonts w:asciiTheme="majorHAnsi" w:eastAsiaTheme="majorEastAsia" w:hAnsiTheme="majorHAnsi" w:cstheme="majorBidi"/>
      <w:b/>
      <w:bCs/>
      <w:kern w:val="24"/>
      <w:sz w:val="32"/>
      <w:szCs w:val="32"/>
    </w:rPr>
  </w:style>
  <w:style w:type="character" w:customStyle="1" w:styleId="Heading2Char">
    <w:name w:val="Heading 2 Char"/>
    <w:basedOn w:val="DefaultParagraphFont"/>
    <w:link w:val="Heading2"/>
    <w:uiPriority w:val="4"/>
    <w:rsid w:val="005D047B"/>
    <w:rPr>
      <w:rFonts w:asciiTheme="majorHAnsi" w:eastAsiaTheme="majorEastAsia" w:hAnsiTheme="majorHAnsi" w:cstheme="majorBidi"/>
      <w:b/>
      <w:bCs/>
      <w:kern w:val="24"/>
      <w:sz w:val="28"/>
    </w:rPr>
  </w:style>
  <w:style w:type="paragraph" w:styleId="Title">
    <w:name w:val="Title"/>
    <w:basedOn w:val="NoSpacing"/>
    <w:link w:val="TitleChar"/>
    <w:qFormat/>
    <w:rsid w:val="0011350D"/>
    <w:pPr>
      <w:pBdr>
        <w:bottom w:val="single" w:sz="6" w:space="4" w:color="7F7F7F" w:themeColor="text1" w:themeTint="80"/>
      </w:pBdr>
    </w:pPr>
    <w:rPr>
      <w:rFonts w:asciiTheme="majorHAnsi" w:eastAsiaTheme="majorEastAsia" w:hAnsiTheme="majorHAnsi" w:cstheme="majorBidi"/>
      <w:color w:val="595959" w:themeColor="text1" w:themeTint="A6"/>
      <w:sz w:val="108"/>
      <w:szCs w:val="108"/>
    </w:rPr>
  </w:style>
  <w:style w:type="character" w:customStyle="1" w:styleId="TitleChar">
    <w:name w:val="Title Char"/>
    <w:basedOn w:val="DefaultParagraphFont"/>
    <w:link w:val="Title"/>
    <w:rsid w:val="0011350D"/>
    <w:rPr>
      <w:rFonts w:asciiTheme="majorHAnsi" w:eastAsiaTheme="majorEastAsia" w:hAnsiTheme="majorHAnsi" w:cstheme="majorBidi"/>
      <w:color w:val="595959" w:themeColor="text1" w:themeTint="A6"/>
      <w:sz w:val="108"/>
      <w:szCs w:val="108"/>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2B2C1A"/>
    <w:rPr>
      <w:rFonts w:asciiTheme="majorHAnsi" w:eastAsiaTheme="majorEastAsia" w:hAnsiTheme="majorHAnsi" w:cstheme="majorBidi"/>
      <w:b/>
      <w:bCs/>
      <w:i/>
      <w:i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link w:val="TableFigureChar"/>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NoSpacingChar">
    <w:name w:val="No Spacing Char"/>
    <w:aliases w:val="No Indent Char"/>
    <w:basedOn w:val="DefaultParagraphFont"/>
    <w:link w:val="NoSpacing"/>
    <w:uiPriority w:val="1"/>
    <w:rsid w:val="0011350D"/>
  </w:style>
  <w:style w:type="paragraph" w:styleId="TOC1">
    <w:name w:val="toc 1"/>
    <w:basedOn w:val="Normal"/>
    <w:next w:val="Normal"/>
    <w:autoRedefine/>
    <w:uiPriority w:val="39"/>
    <w:unhideWhenUsed/>
    <w:rsid w:val="002A1058"/>
    <w:pPr>
      <w:tabs>
        <w:tab w:val="right" w:leader="dot" w:pos="9350"/>
      </w:tabs>
      <w:spacing w:after="100"/>
      <w:ind w:firstLine="0"/>
    </w:pPr>
    <w:rPr>
      <w:b/>
      <w:bCs/>
      <w:noProof/>
    </w:rPr>
  </w:style>
  <w:style w:type="paragraph" w:styleId="TOC2">
    <w:name w:val="toc 2"/>
    <w:basedOn w:val="Normal"/>
    <w:next w:val="Normal"/>
    <w:autoRedefine/>
    <w:uiPriority w:val="39"/>
    <w:unhideWhenUsed/>
    <w:rsid w:val="00221CBE"/>
    <w:pPr>
      <w:tabs>
        <w:tab w:val="right" w:leader="dot" w:pos="9350"/>
      </w:tabs>
      <w:spacing w:after="100"/>
    </w:pPr>
  </w:style>
  <w:style w:type="paragraph" w:styleId="TOC3">
    <w:name w:val="toc 3"/>
    <w:basedOn w:val="Normal"/>
    <w:next w:val="Normal"/>
    <w:autoRedefine/>
    <w:uiPriority w:val="39"/>
    <w:unhideWhenUsed/>
    <w:rsid w:val="00221CBE"/>
    <w:pPr>
      <w:spacing w:after="100"/>
      <w:ind w:left="480"/>
    </w:pPr>
  </w:style>
  <w:style w:type="character" w:styleId="Hyperlink">
    <w:name w:val="Hyperlink"/>
    <w:basedOn w:val="DefaultParagraphFont"/>
    <w:uiPriority w:val="99"/>
    <w:unhideWhenUsed/>
    <w:rsid w:val="00221CBE"/>
    <w:rPr>
      <w:color w:val="5F5F5F" w:themeColor="hyperlink"/>
      <w:u w:val="single"/>
    </w:rPr>
  </w:style>
  <w:style w:type="table" w:styleId="GridTable1Light">
    <w:name w:val="Grid Table 1 Light"/>
    <w:basedOn w:val="TableNormal"/>
    <w:uiPriority w:val="46"/>
    <w:rsid w:val="00AB247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782A9C"/>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782A9C"/>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7606D"/>
    <w:rPr>
      <w:color w:val="605E5C"/>
      <w:shd w:val="clear" w:color="auto" w:fill="E1DFDD"/>
    </w:rPr>
  </w:style>
  <w:style w:type="paragraph" w:customStyle="1" w:styleId="tables">
    <w:name w:val="tables"/>
    <w:basedOn w:val="TableFigure"/>
    <w:link w:val="tablesChar"/>
    <w:qFormat/>
    <w:rsid w:val="009D4ABE"/>
    <w:pPr>
      <w:numPr>
        <w:numId w:val="22"/>
      </w:numPr>
      <w:spacing w:before="120" w:after="360" w:line="276" w:lineRule="auto"/>
      <w:ind w:left="360" w:firstLine="0"/>
      <w:jc w:val="center"/>
    </w:pPr>
  </w:style>
  <w:style w:type="character" w:customStyle="1" w:styleId="TableFigureChar">
    <w:name w:val="Table/Figure Char"/>
    <w:basedOn w:val="DefaultParagraphFont"/>
    <w:link w:val="TableFigure"/>
    <w:uiPriority w:val="39"/>
    <w:rsid w:val="00F02D06"/>
    <w:rPr>
      <w:kern w:val="24"/>
    </w:rPr>
  </w:style>
  <w:style w:type="character" w:customStyle="1" w:styleId="tablesChar">
    <w:name w:val="tables Char"/>
    <w:basedOn w:val="TableFigureChar"/>
    <w:link w:val="tables"/>
    <w:rsid w:val="009D4ABE"/>
    <w:rPr>
      <w:kern w:val="24"/>
    </w:rPr>
  </w:style>
  <w:style w:type="paragraph" w:customStyle="1" w:styleId="figure">
    <w:name w:val="figure"/>
    <w:basedOn w:val="tables"/>
    <w:link w:val="figureChar"/>
    <w:qFormat/>
    <w:rsid w:val="000833C0"/>
    <w:pPr>
      <w:numPr>
        <w:numId w:val="27"/>
      </w:numPr>
    </w:pPr>
  </w:style>
  <w:style w:type="paragraph" w:customStyle="1" w:styleId="AppendixTable">
    <w:name w:val="Appendix Table"/>
    <w:basedOn w:val="tables"/>
    <w:link w:val="AppendixTableChar"/>
    <w:qFormat/>
    <w:rsid w:val="007803C2"/>
    <w:pPr>
      <w:numPr>
        <w:numId w:val="30"/>
      </w:numPr>
      <w:ind w:left="0" w:firstLine="0"/>
    </w:pPr>
  </w:style>
  <w:style w:type="character" w:customStyle="1" w:styleId="figureChar">
    <w:name w:val="figure Char"/>
    <w:basedOn w:val="tablesChar"/>
    <w:link w:val="figure"/>
    <w:rsid w:val="000833C0"/>
    <w:rPr>
      <w:kern w:val="24"/>
    </w:rPr>
  </w:style>
  <w:style w:type="table" w:styleId="PlainTable3">
    <w:name w:val="Plain Table 3"/>
    <w:basedOn w:val="TableNormal"/>
    <w:uiPriority w:val="43"/>
    <w:rsid w:val="007803C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endixTableChar">
    <w:name w:val="Appendix Table Char"/>
    <w:basedOn w:val="tablesChar"/>
    <w:link w:val="AppendixTable"/>
    <w:rsid w:val="007803C2"/>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41640">
      <w:bodyDiv w:val="1"/>
      <w:marLeft w:val="0"/>
      <w:marRight w:val="0"/>
      <w:marTop w:val="0"/>
      <w:marBottom w:val="0"/>
      <w:divBdr>
        <w:top w:val="none" w:sz="0" w:space="0" w:color="auto"/>
        <w:left w:val="none" w:sz="0" w:space="0" w:color="auto"/>
        <w:bottom w:val="none" w:sz="0" w:space="0" w:color="auto"/>
        <w:right w:val="none" w:sz="0" w:space="0" w:color="auto"/>
      </w:divBdr>
    </w:div>
    <w:div w:id="43524548">
      <w:bodyDiv w:val="1"/>
      <w:marLeft w:val="0"/>
      <w:marRight w:val="0"/>
      <w:marTop w:val="0"/>
      <w:marBottom w:val="0"/>
      <w:divBdr>
        <w:top w:val="none" w:sz="0" w:space="0" w:color="auto"/>
        <w:left w:val="none" w:sz="0" w:space="0" w:color="auto"/>
        <w:bottom w:val="none" w:sz="0" w:space="0" w:color="auto"/>
        <w:right w:val="none" w:sz="0" w:space="0" w:color="auto"/>
      </w:divBdr>
    </w:div>
    <w:div w:id="60759834">
      <w:bodyDiv w:val="1"/>
      <w:marLeft w:val="0"/>
      <w:marRight w:val="0"/>
      <w:marTop w:val="0"/>
      <w:marBottom w:val="0"/>
      <w:divBdr>
        <w:top w:val="none" w:sz="0" w:space="0" w:color="auto"/>
        <w:left w:val="none" w:sz="0" w:space="0" w:color="auto"/>
        <w:bottom w:val="none" w:sz="0" w:space="0" w:color="auto"/>
        <w:right w:val="none" w:sz="0" w:space="0" w:color="auto"/>
      </w:divBdr>
    </w:div>
    <w:div w:id="93333427">
      <w:bodyDiv w:val="1"/>
      <w:marLeft w:val="0"/>
      <w:marRight w:val="0"/>
      <w:marTop w:val="0"/>
      <w:marBottom w:val="0"/>
      <w:divBdr>
        <w:top w:val="none" w:sz="0" w:space="0" w:color="auto"/>
        <w:left w:val="none" w:sz="0" w:space="0" w:color="auto"/>
        <w:bottom w:val="none" w:sz="0" w:space="0" w:color="auto"/>
        <w:right w:val="none" w:sz="0" w:space="0" w:color="auto"/>
      </w:divBdr>
    </w:div>
    <w:div w:id="9536899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857337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8984198">
      <w:bodyDiv w:val="1"/>
      <w:marLeft w:val="0"/>
      <w:marRight w:val="0"/>
      <w:marTop w:val="0"/>
      <w:marBottom w:val="0"/>
      <w:divBdr>
        <w:top w:val="none" w:sz="0" w:space="0" w:color="auto"/>
        <w:left w:val="none" w:sz="0" w:space="0" w:color="auto"/>
        <w:bottom w:val="none" w:sz="0" w:space="0" w:color="auto"/>
        <w:right w:val="none" w:sz="0" w:space="0" w:color="auto"/>
      </w:divBdr>
    </w:div>
    <w:div w:id="22518396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4021391">
      <w:bodyDiv w:val="1"/>
      <w:marLeft w:val="0"/>
      <w:marRight w:val="0"/>
      <w:marTop w:val="0"/>
      <w:marBottom w:val="0"/>
      <w:divBdr>
        <w:top w:val="none" w:sz="0" w:space="0" w:color="auto"/>
        <w:left w:val="none" w:sz="0" w:space="0" w:color="auto"/>
        <w:bottom w:val="none" w:sz="0" w:space="0" w:color="auto"/>
        <w:right w:val="none" w:sz="0" w:space="0" w:color="auto"/>
      </w:divBdr>
    </w:div>
    <w:div w:id="29603775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197310">
      <w:bodyDiv w:val="1"/>
      <w:marLeft w:val="0"/>
      <w:marRight w:val="0"/>
      <w:marTop w:val="0"/>
      <w:marBottom w:val="0"/>
      <w:divBdr>
        <w:top w:val="none" w:sz="0" w:space="0" w:color="auto"/>
        <w:left w:val="none" w:sz="0" w:space="0" w:color="auto"/>
        <w:bottom w:val="none" w:sz="0" w:space="0" w:color="auto"/>
        <w:right w:val="none" w:sz="0" w:space="0" w:color="auto"/>
      </w:divBdr>
    </w:div>
    <w:div w:id="329408418">
      <w:bodyDiv w:val="1"/>
      <w:marLeft w:val="0"/>
      <w:marRight w:val="0"/>
      <w:marTop w:val="0"/>
      <w:marBottom w:val="0"/>
      <w:divBdr>
        <w:top w:val="none" w:sz="0" w:space="0" w:color="auto"/>
        <w:left w:val="none" w:sz="0" w:space="0" w:color="auto"/>
        <w:bottom w:val="none" w:sz="0" w:space="0" w:color="auto"/>
        <w:right w:val="none" w:sz="0" w:space="0" w:color="auto"/>
      </w:divBdr>
    </w:div>
    <w:div w:id="355428876">
      <w:bodyDiv w:val="1"/>
      <w:marLeft w:val="0"/>
      <w:marRight w:val="0"/>
      <w:marTop w:val="0"/>
      <w:marBottom w:val="0"/>
      <w:divBdr>
        <w:top w:val="none" w:sz="0" w:space="0" w:color="auto"/>
        <w:left w:val="none" w:sz="0" w:space="0" w:color="auto"/>
        <w:bottom w:val="none" w:sz="0" w:space="0" w:color="auto"/>
        <w:right w:val="none" w:sz="0" w:space="0" w:color="auto"/>
      </w:divBdr>
    </w:div>
    <w:div w:id="36243909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9353460">
      <w:bodyDiv w:val="1"/>
      <w:marLeft w:val="0"/>
      <w:marRight w:val="0"/>
      <w:marTop w:val="0"/>
      <w:marBottom w:val="0"/>
      <w:divBdr>
        <w:top w:val="none" w:sz="0" w:space="0" w:color="auto"/>
        <w:left w:val="none" w:sz="0" w:space="0" w:color="auto"/>
        <w:bottom w:val="none" w:sz="0" w:space="0" w:color="auto"/>
        <w:right w:val="none" w:sz="0" w:space="0" w:color="auto"/>
      </w:divBdr>
    </w:div>
    <w:div w:id="434591796">
      <w:bodyDiv w:val="1"/>
      <w:marLeft w:val="0"/>
      <w:marRight w:val="0"/>
      <w:marTop w:val="0"/>
      <w:marBottom w:val="0"/>
      <w:divBdr>
        <w:top w:val="none" w:sz="0" w:space="0" w:color="auto"/>
        <w:left w:val="none" w:sz="0" w:space="0" w:color="auto"/>
        <w:bottom w:val="none" w:sz="0" w:space="0" w:color="auto"/>
        <w:right w:val="none" w:sz="0" w:space="0" w:color="auto"/>
      </w:divBdr>
    </w:div>
    <w:div w:id="44107379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8906237">
      <w:bodyDiv w:val="1"/>
      <w:marLeft w:val="0"/>
      <w:marRight w:val="0"/>
      <w:marTop w:val="0"/>
      <w:marBottom w:val="0"/>
      <w:divBdr>
        <w:top w:val="none" w:sz="0" w:space="0" w:color="auto"/>
        <w:left w:val="none" w:sz="0" w:space="0" w:color="auto"/>
        <w:bottom w:val="none" w:sz="0" w:space="0" w:color="auto"/>
        <w:right w:val="none" w:sz="0" w:space="0" w:color="auto"/>
      </w:divBdr>
    </w:div>
    <w:div w:id="603265036">
      <w:bodyDiv w:val="1"/>
      <w:marLeft w:val="0"/>
      <w:marRight w:val="0"/>
      <w:marTop w:val="0"/>
      <w:marBottom w:val="0"/>
      <w:divBdr>
        <w:top w:val="none" w:sz="0" w:space="0" w:color="auto"/>
        <w:left w:val="none" w:sz="0" w:space="0" w:color="auto"/>
        <w:bottom w:val="none" w:sz="0" w:space="0" w:color="auto"/>
        <w:right w:val="none" w:sz="0" w:space="0" w:color="auto"/>
      </w:divBdr>
    </w:div>
    <w:div w:id="607470683">
      <w:bodyDiv w:val="1"/>
      <w:marLeft w:val="0"/>
      <w:marRight w:val="0"/>
      <w:marTop w:val="0"/>
      <w:marBottom w:val="0"/>
      <w:divBdr>
        <w:top w:val="none" w:sz="0" w:space="0" w:color="auto"/>
        <w:left w:val="none" w:sz="0" w:space="0" w:color="auto"/>
        <w:bottom w:val="none" w:sz="0" w:space="0" w:color="auto"/>
        <w:right w:val="none" w:sz="0" w:space="0" w:color="auto"/>
      </w:divBdr>
    </w:div>
    <w:div w:id="631910191">
      <w:bodyDiv w:val="1"/>
      <w:marLeft w:val="0"/>
      <w:marRight w:val="0"/>
      <w:marTop w:val="0"/>
      <w:marBottom w:val="0"/>
      <w:divBdr>
        <w:top w:val="none" w:sz="0" w:space="0" w:color="auto"/>
        <w:left w:val="none" w:sz="0" w:space="0" w:color="auto"/>
        <w:bottom w:val="none" w:sz="0" w:space="0" w:color="auto"/>
        <w:right w:val="none" w:sz="0" w:space="0" w:color="auto"/>
      </w:divBdr>
    </w:div>
    <w:div w:id="655570783">
      <w:bodyDiv w:val="1"/>
      <w:marLeft w:val="0"/>
      <w:marRight w:val="0"/>
      <w:marTop w:val="0"/>
      <w:marBottom w:val="0"/>
      <w:divBdr>
        <w:top w:val="none" w:sz="0" w:space="0" w:color="auto"/>
        <w:left w:val="none" w:sz="0" w:space="0" w:color="auto"/>
        <w:bottom w:val="none" w:sz="0" w:space="0" w:color="auto"/>
        <w:right w:val="none" w:sz="0" w:space="0" w:color="auto"/>
      </w:divBdr>
    </w:div>
    <w:div w:id="6561051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4793410">
      <w:bodyDiv w:val="1"/>
      <w:marLeft w:val="0"/>
      <w:marRight w:val="0"/>
      <w:marTop w:val="0"/>
      <w:marBottom w:val="0"/>
      <w:divBdr>
        <w:top w:val="none" w:sz="0" w:space="0" w:color="auto"/>
        <w:left w:val="none" w:sz="0" w:space="0" w:color="auto"/>
        <w:bottom w:val="none" w:sz="0" w:space="0" w:color="auto"/>
        <w:right w:val="none" w:sz="0" w:space="0" w:color="auto"/>
      </w:divBdr>
    </w:div>
    <w:div w:id="722217639">
      <w:bodyDiv w:val="1"/>
      <w:marLeft w:val="0"/>
      <w:marRight w:val="0"/>
      <w:marTop w:val="0"/>
      <w:marBottom w:val="0"/>
      <w:divBdr>
        <w:top w:val="none" w:sz="0" w:space="0" w:color="auto"/>
        <w:left w:val="none" w:sz="0" w:space="0" w:color="auto"/>
        <w:bottom w:val="none" w:sz="0" w:space="0" w:color="auto"/>
        <w:right w:val="none" w:sz="0" w:space="0" w:color="auto"/>
      </w:divBdr>
    </w:div>
    <w:div w:id="751658335">
      <w:bodyDiv w:val="1"/>
      <w:marLeft w:val="0"/>
      <w:marRight w:val="0"/>
      <w:marTop w:val="0"/>
      <w:marBottom w:val="0"/>
      <w:divBdr>
        <w:top w:val="none" w:sz="0" w:space="0" w:color="auto"/>
        <w:left w:val="none" w:sz="0" w:space="0" w:color="auto"/>
        <w:bottom w:val="none" w:sz="0" w:space="0" w:color="auto"/>
        <w:right w:val="none" w:sz="0" w:space="0" w:color="auto"/>
      </w:divBdr>
    </w:div>
    <w:div w:id="758991887">
      <w:bodyDiv w:val="1"/>
      <w:marLeft w:val="0"/>
      <w:marRight w:val="0"/>
      <w:marTop w:val="0"/>
      <w:marBottom w:val="0"/>
      <w:divBdr>
        <w:top w:val="none" w:sz="0" w:space="0" w:color="auto"/>
        <w:left w:val="none" w:sz="0" w:space="0" w:color="auto"/>
        <w:bottom w:val="none" w:sz="0" w:space="0" w:color="auto"/>
        <w:right w:val="none" w:sz="0" w:space="0" w:color="auto"/>
      </w:divBdr>
    </w:div>
    <w:div w:id="773407393">
      <w:bodyDiv w:val="1"/>
      <w:marLeft w:val="0"/>
      <w:marRight w:val="0"/>
      <w:marTop w:val="0"/>
      <w:marBottom w:val="0"/>
      <w:divBdr>
        <w:top w:val="none" w:sz="0" w:space="0" w:color="auto"/>
        <w:left w:val="none" w:sz="0" w:space="0" w:color="auto"/>
        <w:bottom w:val="none" w:sz="0" w:space="0" w:color="auto"/>
        <w:right w:val="none" w:sz="0" w:space="0" w:color="auto"/>
      </w:divBdr>
    </w:div>
    <w:div w:id="828911551">
      <w:bodyDiv w:val="1"/>
      <w:marLeft w:val="0"/>
      <w:marRight w:val="0"/>
      <w:marTop w:val="0"/>
      <w:marBottom w:val="0"/>
      <w:divBdr>
        <w:top w:val="none" w:sz="0" w:space="0" w:color="auto"/>
        <w:left w:val="none" w:sz="0" w:space="0" w:color="auto"/>
        <w:bottom w:val="none" w:sz="0" w:space="0" w:color="auto"/>
        <w:right w:val="none" w:sz="0" w:space="0" w:color="auto"/>
      </w:divBdr>
    </w:div>
    <w:div w:id="833256985">
      <w:bodyDiv w:val="1"/>
      <w:marLeft w:val="0"/>
      <w:marRight w:val="0"/>
      <w:marTop w:val="0"/>
      <w:marBottom w:val="0"/>
      <w:divBdr>
        <w:top w:val="none" w:sz="0" w:space="0" w:color="auto"/>
        <w:left w:val="none" w:sz="0" w:space="0" w:color="auto"/>
        <w:bottom w:val="none" w:sz="0" w:space="0" w:color="auto"/>
        <w:right w:val="none" w:sz="0" w:space="0" w:color="auto"/>
      </w:divBdr>
    </w:div>
    <w:div w:id="836961032">
      <w:bodyDiv w:val="1"/>
      <w:marLeft w:val="0"/>
      <w:marRight w:val="0"/>
      <w:marTop w:val="0"/>
      <w:marBottom w:val="0"/>
      <w:divBdr>
        <w:top w:val="none" w:sz="0" w:space="0" w:color="auto"/>
        <w:left w:val="none" w:sz="0" w:space="0" w:color="auto"/>
        <w:bottom w:val="none" w:sz="0" w:space="0" w:color="auto"/>
        <w:right w:val="none" w:sz="0" w:space="0" w:color="auto"/>
      </w:divBdr>
    </w:div>
    <w:div w:id="943733417">
      <w:bodyDiv w:val="1"/>
      <w:marLeft w:val="0"/>
      <w:marRight w:val="0"/>
      <w:marTop w:val="0"/>
      <w:marBottom w:val="0"/>
      <w:divBdr>
        <w:top w:val="none" w:sz="0" w:space="0" w:color="auto"/>
        <w:left w:val="none" w:sz="0" w:space="0" w:color="auto"/>
        <w:bottom w:val="none" w:sz="0" w:space="0" w:color="auto"/>
        <w:right w:val="none" w:sz="0" w:space="0" w:color="auto"/>
      </w:divBdr>
    </w:div>
    <w:div w:id="966819672">
      <w:bodyDiv w:val="1"/>
      <w:marLeft w:val="0"/>
      <w:marRight w:val="0"/>
      <w:marTop w:val="0"/>
      <w:marBottom w:val="0"/>
      <w:divBdr>
        <w:top w:val="none" w:sz="0" w:space="0" w:color="auto"/>
        <w:left w:val="none" w:sz="0" w:space="0" w:color="auto"/>
        <w:bottom w:val="none" w:sz="0" w:space="0" w:color="auto"/>
        <w:right w:val="none" w:sz="0" w:space="0" w:color="auto"/>
      </w:divBdr>
    </w:div>
    <w:div w:id="991330192">
      <w:bodyDiv w:val="1"/>
      <w:marLeft w:val="0"/>
      <w:marRight w:val="0"/>
      <w:marTop w:val="0"/>
      <w:marBottom w:val="0"/>
      <w:divBdr>
        <w:top w:val="none" w:sz="0" w:space="0" w:color="auto"/>
        <w:left w:val="none" w:sz="0" w:space="0" w:color="auto"/>
        <w:bottom w:val="none" w:sz="0" w:space="0" w:color="auto"/>
        <w:right w:val="none" w:sz="0" w:space="0" w:color="auto"/>
      </w:divBdr>
    </w:div>
    <w:div w:id="1002512824">
      <w:bodyDiv w:val="1"/>
      <w:marLeft w:val="0"/>
      <w:marRight w:val="0"/>
      <w:marTop w:val="0"/>
      <w:marBottom w:val="0"/>
      <w:divBdr>
        <w:top w:val="none" w:sz="0" w:space="0" w:color="auto"/>
        <w:left w:val="none" w:sz="0" w:space="0" w:color="auto"/>
        <w:bottom w:val="none" w:sz="0" w:space="0" w:color="auto"/>
        <w:right w:val="none" w:sz="0" w:space="0" w:color="auto"/>
      </w:divBdr>
    </w:div>
    <w:div w:id="101700726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0807877">
      <w:bodyDiv w:val="1"/>
      <w:marLeft w:val="0"/>
      <w:marRight w:val="0"/>
      <w:marTop w:val="0"/>
      <w:marBottom w:val="0"/>
      <w:divBdr>
        <w:top w:val="none" w:sz="0" w:space="0" w:color="auto"/>
        <w:left w:val="none" w:sz="0" w:space="0" w:color="auto"/>
        <w:bottom w:val="none" w:sz="0" w:space="0" w:color="auto"/>
        <w:right w:val="none" w:sz="0" w:space="0" w:color="auto"/>
      </w:divBdr>
    </w:div>
    <w:div w:id="1053195316">
      <w:bodyDiv w:val="1"/>
      <w:marLeft w:val="0"/>
      <w:marRight w:val="0"/>
      <w:marTop w:val="0"/>
      <w:marBottom w:val="0"/>
      <w:divBdr>
        <w:top w:val="none" w:sz="0" w:space="0" w:color="auto"/>
        <w:left w:val="none" w:sz="0" w:space="0" w:color="auto"/>
        <w:bottom w:val="none" w:sz="0" w:space="0" w:color="auto"/>
        <w:right w:val="none" w:sz="0" w:space="0" w:color="auto"/>
      </w:divBdr>
    </w:div>
    <w:div w:id="1067263031">
      <w:bodyDiv w:val="1"/>
      <w:marLeft w:val="0"/>
      <w:marRight w:val="0"/>
      <w:marTop w:val="0"/>
      <w:marBottom w:val="0"/>
      <w:divBdr>
        <w:top w:val="none" w:sz="0" w:space="0" w:color="auto"/>
        <w:left w:val="none" w:sz="0" w:space="0" w:color="auto"/>
        <w:bottom w:val="none" w:sz="0" w:space="0" w:color="auto"/>
        <w:right w:val="none" w:sz="0" w:space="0" w:color="auto"/>
      </w:divBdr>
    </w:div>
    <w:div w:id="1094588556">
      <w:bodyDiv w:val="1"/>
      <w:marLeft w:val="0"/>
      <w:marRight w:val="0"/>
      <w:marTop w:val="0"/>
      <w:marBottom w:val="0"/>
      <w:divBdr>
        <w:top w:val="none" w:sz="0" w:space="0" w:color="auto"/>
        <w:left w:val="none" w:sz="0" w:space="0" w:color="auto"/>
        <w:bottom w:val="none" w:sz="0" w:space="0" w:color="auto"/>
        <w:right w:val="none" w:sz="0" w:space="0" w:color="auto"/>
      </w:divBdr>
    </w:div>
    <w:div w:id="110345974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7297426">
      <w:bodyDiv w:val="1"/>
      <w:marLeft w:val="0"/>
      <w:marRight w:val="0"/>
      <w:marTop w:val="0"/>
      <w:marBottom w:val="0"/>
      <w:divBdr>
        <w:top w:val="none" w:sz="0" w:space="0" w:color="auto"/>
        <w:left w:val="none" w:sz="0" w:space="0" w:color="auto"/>
        <w:bottom w:val="none" w:sz="0" w:space="0" w:color="auto"/>
        <w:right w:val="none" w:sz="0" w:space="0" w:color="auto"/>
      </w:divBdr>
    </w:div>
    <w:div w:id="1232814730">
      <w:bodyDiv w:val="1"/>
      <w:marLeft w:val="0"/>
      <w:marRight w:val="0"/>
      <w:marTop w:val="0"/>
      <w:marBottom w:val="0"/>
      <w:divBdr>
        <w:top w:val="none" w:sz="0" w:space="0" w:color="auto"/>
        <w:left w:val="none" w:sz="0" w:space="0" w:color="auto"/>
        <w:bottom w:val="none" w:sz="0" w:space="0" w:color="auto"/>
        <w:right w:val="none" w:sz="0" w:space="0" w:color="auto"/>
      </w:divBdr>
    </w:div>
    <w:div w:id="1244487552">
      <w:bodyDiv w:val="1"/>
      <w:marLeft w:val="0"/>
      <w:marRight w:val="0"/>
      <w:marTop w:val="0"/>
      <w:marBottom w:val="0"/>
      <w:divBdr>
        <w:top w:val="none" w:sz="0" w:space="0" w:color="auto"/>
        <w:left w:val="none" w:sz="0" w:space="0" w:color="auto"/>
        <w:bottom w:val="none" w:sz="0" w:space="0" w:color="auto"/>
        <w:right w:val="none" w:sz="0" w:space="0" w:color="auto"/>
      </w:divBdr>
    </w:div>
    <w:div w:id="1256477919">
      <w:bodyDiv w:val="1"/>
      <w:marLeft w:val="0"/>
      <w:marRight w:val="0"/>
      <w:marTop w:val="0"/>
      <w:marBottom w:val="0"/>
      <w:divBdr>
        <w:top w:val="none" w:sz="0" w:space="0" w:color="auto"/>
        <w:left w:val="none" w:sz="0" w:space="0" w:color="auto"/>
        <w:bottom w:val="none" w:sz="0" w:space="0" w:color="auto"/>
        <w:right w:val="none" w:sz="0" w:space="0" w:color="auto"/>
      </w:divBdr>
    </w:div>
    <w:div w:id="1268731768">
      <w:bodyDiv w:val="1"/>
      <w:marLeft w:val="0"/>
      <w:marRight w:val="0"/>
      <w:marTop w:val="0"/>
      <w:marBottom w:val="0"/>
      <w:divBdr>
        <w:top w:val="none" w:sz="0" w:space="0" w:color="auto"/>
        <w:left w:val="none" w:sz="0" w:space="0" w:color="auto"/>
        <w:bottom w:val="none" w:sz="0" w:space="0" w:color="auto"/>
        <w:right w:val="none" w:sz="0" w:space="0" w:color="auto"/>
      </w:divBdr>
    </w:div>
    <w:div w:id="127035612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4750704">
      <w:bodyDiv w:val="1"/>
      <w:marLeft w:val="0"/>
      <w:marRight w:val="0"/>
      <w:marTop w:val="0"/>
      <w:marBottom w:val="0"/>
      <w:divBdr>
        <w:top w:val="none" w:sz="0" w:space="0" w:color="auto"/>
        <w:left w:val="none" w:sz="0" w:space="0" w:color="auto"/>
        <w:bottom w:val="none" w:sz="0" w:space="0" w:color="auto"/>
        <w:right w:val="none" w:sz="0" w:space="0" w:color="auto"/>
      </w:divBdr>
    </w:div>
    <w:div w:id="1324311974">
      <w:bodyDiv w:val="1"/>
      <w:marLeft w:val="0"/>
      <w:marRight w:val="0"/>
      <w:marTop w:val="0"/>
      <w:marBottom w:val="0"/>
      <w:divBdr>
        <w:top w:val="none" w:sz="0" w:space="0" w:color="auto"/>
        <w:left w:val="none" w:sz="0" w:space="0" w:color="auto"/>
        <w:bottom w:val="none" w:sz="0" w:space="0" w:color="auto"/>
        <w:right w:val="none" w:sz="0" w:space="0" w:color="auto"/>
      </w:divBdr>
    </w:div>
    <w:div w:id="133052586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9958332">
      <w:bodyDiv w:val="1"/>
      <w:marLeft w:val="0"/>
      <w:marRight w:val="0"/>
      <w:marTop w:val="0"/>
      <w:marBottom w:val="0"/>
      <w:divBdr>
        <w:top w:val="none" w:sz="0" w:space="0" w:color="auto"/>
        <w:left w:val="none" w:sz="0" w:space="0" w:color="auto"/>
        <w:bottom w:val="none" w:sz="0" w:space="0" w:color="auto"/>
        <w:right w:val="none" w:sz="0" w:space="0" w:color="auto"/>
      </w:divBdr>
    </w:div>
    <w:div w:id="1481846539">
      <w:bodyDiv w:val="1"/>
      <w:marLeft w:val="0"/>
      <w:marRight w:val="0"/>
      <w:marTop w:val="0"/>
      <w:marBottom w:val="0"/>
      <w:divBdr>
        <w:top w:val="none" w:sz="0" w:space="0" w:color="auto"/>
        <w:left w:val="none" w:sz="0" w:space="0" w:color="auto"/>
        <w:bottom w:val="none" w:sz="0" w:space="0" w:color="auto"/>
        <w:right w:val="none" w:sz="0" w:space="0" w:color="auto"/>
      </w:divBdr>
    </w:div>
    <w:div w:id="1486237670">
      <w:bodyDiv w:val="1"/>
      <w:marLeft w:val="0"/>
      <w:marRight w:val="0"/>
      <w:marTop w:val="0"/>
      <w:marBottom w:val="0"/>
      <w:divBdr>
        <w:top w:val="none" w:sz="0" w:space="0" w:color="auto"/>
        <w:left w:val="none" w:sz="0" w:space="0" w:color="auto"/>
        <w:bottom w:val="none" w:sz="0" w:space="0" w:color="auto"/>
        <w:right w:val="none" w:sz="0" w:space="0" w:color="auto"/>
      </w:divBdr>
    </w:div>
    <w:div w:id="149102013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02354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383932">
      <w:bodyDiv w:val="1"/>
      <w:marLeft w:val="0"/>
      <w:marRight w:val="0"/>
      <w:marTop w:val="0"/>
      <w:marBottom w:val="0"/>
      <w:divBdr>
        <w:top w:val="none" w:sz="0" w:space="0" w:color="auto"/>
        <w:left w:val="none" w:sz="0" w:space="0" w:color="auto"/>
        <w:bottom w:val="none" w:sz="0" w:space="0" w:color="auto"/>
        <w:right w:val="none" w:sz="0" w:space="0" w:color="auto"/>
      </w:divBdr>
    </w:div>
    <w:div w:id="1572496406">
      <w:bodyDiv w:val="1"/>
      <w:marLeft w:val="0"/>
      <w:marRight w:val="0"/>
      <w:marTop w:val="0"/>
      <w:marBottom w:val="0"/>
      <w:divBdr>
        <w:top w:val="none" w:sz="0" w:space="0" w:color="auto"/>
        <w:left w:val="none" w:sz="0" w:space="0" w:color="auto"/>
        <w:bottom w:val="none" w:sz="0" w:space="0" w:color="auto"/>
        <w:right w:val="none" w:sz="0" w:space="0" w:color="auto"/>
      </w:divBdr>
    </w:div>
    <w:div w:id="1591770070">
      <w:bodyDiv w:val="1"/>
      <w:marLeft w:val="0"/>
      <w:marRight w:val="0"/>
      <w:marTop w:val="0"/>
      <w:marBottom w:val="0"/>
      <w:divBdr>
        <w:top w:val="none" w:sz="0" w:space="0" w:color="auto"/>
        <w:left w:val="none" w:sz="0" w:space="0" w:color="auto"/>
        <w:bottom w:val="none" w:sz="0" w:space="0" w:color="auto"/>
        <w:right w:val="none" w:sz="0" w:space="0" w:color="auto"/>
      </w:divBdr>
    </w:div>
    <w:div w:id="1594123314">
      <w:bodyDiv w:val="1"/>
      <w:marLeft w:val="0"/>
      <w:marRight w:val="0"/>
      <w:marTop w:val="0"/>
      <w:marBottom w:val="0"/>
      <w:divBdr>
        <w:top w:val="none" w:sz="0" w:space="0" w:color="auto"/>
        <w:left w:val="none" w:sz="0" w:space="0" w:color="auto"/>
        <w:bottom w:val="none" w:sz="0" w:space="0" w:color="auto"/>
        <w:right w:val="none" w:sz="0" w:space="0" w:color="auto"/>
      </w:divBdr>
    </w:div>
    <w:div w:id="1633290079">
      <w:bodyDiv w:val="1"/>
      <w:marLeft w:val="0"/>
      <w:marRight w:val="0"/>
      <w:marTop w:val="0"/>
      <w:marBottom w:val="0"/>
      <w:divBdr>
        <w:top w:val="none" w:sz="0" w:space="0" w:color="auto"/>
        <w:left w:val="none" w:sz="0" w:space="0" w:color="auto"/>
        <w:bottom w:val="none" w:sz="0" w:space="0" w:color="auto"/>
        <w:right w:val="none" w:sz="0" w:space="0" w:color="auto"/>
      </w:divBdr>
    </w:div>
    <w:div w:id="167984959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4454580">
      <w:bodyDiv w:val="1"/>
      <w:marLeft w:val="0"/>
      <w:marRight w:val="0"/>
      <w:marTop w:val="0"/>
      <w:marBottom w:val="0"/>
      <w:divBdr>
        <w:top w:val="none" w:sz="0" w:space="0" w:color="auto"/>
        <w:left w:val="none" w:sz="0" w:space="0" w:color="auto"/>
        <w:bottom w:val="none" w:sz="0" w:space="0" w:color="auto"/>
        <w:right w:val="none" w:sz="0" w:space="0" w:color="auto"/>
      </w:divBdr>
    </w:div>
    <w:div w:id="1704672786">
      <w:bodyDiv w:val="1"/>
      <w:marLeft w:val="0"/>
      <w:marRight w:val="0"/>
      <w:marTop w:val="0"/>
      <w:marBottom w:val="0"/>
      <w:divBdr>
        <w:top w:val="none" w:sz="0" w:space="0" w:color="auto"/>
        <w:left w:val="none" w:sz="0" w:space="0" w:color="auto"/>
        <w:bottom w:val="none" w:sz="0" w:space="0" w:color="auto"/>
        <w:right w:val="none" w:sz="0" w:space="0" w:color="auto"/>
      </w:divBdr>
    </w:div>
    <w:div w:id="1710908379">
      <w:bodyDiv w:val="1"/>
      <w:marLeft w:val="0"/>
      <w:marRight w:val="0"/>
      <w:marTop w:val="0"/>
      <w:marBottom w:val="0"/>
      <w:divBdr>
        <w:top w:val="none" w:sz="0" w:space="0" w:color="auto"/>
        <w:left w:val="none" w:sz="0" w:space="0" w:color="auto"/>
        <w:bottom w:val="none" w:sz="0" w:space="0" w:color="auto"/>
        <w:right w:val="none" w:sz="0" w:space="0" w:color="auto"/>
      </w:divBdr>
    </w:div>
    <w:div w:id="1715419766">
      <w:bodyDiv w:val="1"/>
      <w:marLeft w:val="0"/>
      <w:marRight w:val="0"/>
      <w:marTop w:val="0"/>
      <w:marBottom w:val="0"/>
      <w:divBdr>
        <w:top w:val="none" w:sz="0" w:space="0" w:color="auto"/>
        <w:left w:val="none" w:sz="0" w:space="0" w:color="auto"/>
        <w:bottom w:val="none" w:sz="0" w:space="0" w:color="auto"/>
        <w:right w:val="none" w:sz="0" w:space="0" w:color="auto"/>
      </w:divBdr>
    </w:div>
    <w:div w:id="1717965334">
      <w:bodyDiv w:val="1"/>
      <w:marLeft w:val="0"/>
      <w:marRight w:val="0"/>
      <w:marTop w:val="0"/>
      <w:marBottom w:val="0"/>
      <w:divBdr>
        <w:top w:val="none" w:sz="0" w:space="0" w:color="auto"/>
        <w:left w:val="none" w:sz="0" w:space="0" w:color="auto"/>
        <w:bottom w:val="none" w:sz="0" w:space="0" w:color="auto"/>
        <w:right w:val="none" w:sz="0" w:space="0" w:color="auto"/>
      </w:divBdr>
    </w:div>
    <w:div w:id="172899121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292903">
      <w:bodyDiv w:val="1"/>
      <w:marLeft w:val="0"/>
      <w:marRight w:val="0"/>
      <w:marTop w:val="0"/>
      <w:marBottom w:val="0"/>
      <w:divBdr>
        <w:top w:val="none" w:sz="0" w:space="0" w:color="auto"/>
        <w:left w:val="none" w:sz="0" w:space="0" w:color="auto"/>
        <w:bottom w:val="none" w:sz="0" w:space="0" w:color="auto"/>
        <w:right w:val="none" w:sz="0" w:space="0" w:color="auto"/>
      </w:divBdr>
    </w:div>
    <w:div w:id="176661079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68451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204846">
      <w:bodyDiv w:val="1"/>
      <w:marLeft w:val="0"/>
      <w:marRight w:val="0"/>
      <w:marTop w:val="0"/>
      <w:marBottom w:val="0"/>
      <w:divBdr>
        <w:top w:val="none" w:sz="0" w:space="0" w:color="auto"/>
        <w:left w:val="none" w:sz="0" w:space="0" w:color="auto"/>
        <w:bottom w:val="none" w:sz="0" w:space="0" w:color="auto"/>
        <w:right w:val="none" w:sz="0" w:space="0" w:color="auto"/>
      </w:divBdr>
    </w:div>
    <w:div w:id="1842043574">
      <w:bodyDiv w:val="1"/>
      <w:marLeft w:val="0"/>
      <w:marRight w:val="0"/>
      <w:marTop w:val="0"/>
      <w:marBottom w:val="0"/>
      <w:divBdr>
        <w:top w:val="none" w:sz="0" w:space="0" w:color="auto"/>
        <w:left w:val="none" w:sz="0" w:space="0" w:color="auto"/>
        <w:bottom w:val="none" w:sz="0" w:space="0" w:color="auto"/>
        <w:right w:val="none" w:sz="0" w:space="0" w:color="auto"/>
      </w:divBdr>
    </w:div>
    <w:div w:id="1849756284">
      <w:bodyDiv w:val="1"/>
      <w:marLeft w:val="0"/>
      <w:marRight w:val="0"/>
      <w:marTop w:val="0"/>
      <w:marBottom w:val="0"/>
      <w:divBdr>
        <w:top w:val="none" w:sz="0" w:space="0" w:color="auto"/>
        <w:left w:val="none" w:sz="0" w:space="0" w:color="auto"/>
        <w:bottom w:val="none" w:sz="0" w:space="0" w:color="auto"/>
        <w:right w:val="none" w:sz="0" w:space="0" w:color="auto"/>
      </w:divBdr>
    </w:div>
    <w:div w:id="1852836114">
      <w:bodyDiv w:val="1"/>
      <w:marLeft w:val="0"/>
      <w:marRight w:val="0"/>
      <w:marTop w:val="0"/>
      <w:marBottom w:val="0"/>
      <w:divBdr>
        <w:top w:val="none" w:sz="0" w:space="0" w:color="auto"/>
        <w:left w:val="none" w:sz="0" w:space="0" w:color="auto"/>
        <w:bottom w:val="none" w:sz="0" w:space="0" w:color="auto"/>
        <w:right w:val="none" w:sz="0" w:space="0" w:color="auto"/>
      </w:divBdr>
    </w:div>
    <w:div w:id="1870988698">
      <w:bodyDiv w:val="1"/>
      <w:marLeft w:val="0"/>
      <w:marRight w:val="0"/>
      <w:marTop w:val="0"/>
      <w:marBottom w:val="0"/>
      <w:divBdr>
        <w:top w:val="none" w:sz="0" w:space="0" w:color="auto"/>
        <w:left w:val="none" w:sz="0" w:space="0" w:color="auto"/>
        <w:bottom w:val="none" w:sz="0" w:space="0" w:color="auto"/>
        <w:right w:val="none" w:sz="0" w:space="0" w:color="auto"/>
      </w:divBdr>
    </w:div>
    <w:div w:id="188174897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218172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6783883">
      <w:bodyDiv w:val="1"/>
      <w:marLeft w:val="0"/>
      <w:marRight w:val="0"/>
      <w:marTop w:val="0"/>
      <w:marBottom w:val="0"/>
      <w:divBdr>
        <w:top w:val="none" w:sz="0" w:space="0" w:color="auto"/>
        <w:left w:val="none" w:sz="0" w:space="0" w:color="auto"/>
        <w:bottom w:val="none" w:sz="0" w:space="0" w:color="auto"/>
        <w:right w:val="none" w:sz="0" w:space="0" w:color="auto"/>
      </w:divBdr>
    </w:div>
    <w:div w:id="20778196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750705">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4206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Local\Microsoft\Office\16.0\DTS\en-US%7bA0673A72-CA4D-4F74-9888-01DCA5A7AFAD%7d\%7b754300BC-7AFA-4483-B88C-57B4792F1992%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10B0D0D0DA4CAABC5064A0F0E6B0AF"/>
        <w:category>
          <w:name w:val="General"/>
          <w:gallery w:val="placeholder"/>
        </w:category>
        <w:types>
          <w:type w:val="bbPlcHdr"/>
        </w:types>
        <w:behaviors>
          <w:behavior w:val="content"/>
        </w:behaviors>
        <w:guid w:val="{CCEB7976-2361-4E37-B128-419EBF618B5A}"/>
      </w:docPartPr>
      <w:docPartBody>
        <w:p w:rsidR="00082EDC" w:rsidRDefault="00916F64">
          <w:pPr>
            <w:pStyle w:val="5010B0D0D0DA4CAABC5064A0F0E6B0A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70"/>
    <w:rsid w:val="00082EDC"/>
    <w:rsid w:val="000C2937"/>
    <w:rsid w:val="00626770"/>
    <w:rsid w:val="00916F64"/>
    <w:rsid w:val="00AB1161"/>
    <w:rsid w:val="00B24F84"/>
    <w:rsid w:val="00E56C0A"/>
    <w:rsid w:val="00EF7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DBCC9C8C514533B94F203AEDC95F81">
    <w:name w:val="DFDBCC9C8C514533B94F203AEDC95F81"/>
  </w:style>
  <w:style w:type="character" w:styleId="Emphasis">
    <w:name w:val="Emphasis"/>
    <w:basedOn w:val="DefaultParagraphFont"/>
    <w:uiPriority w:val="4"/>
    <w:unhideWhenUsed/>
    <w:qFormat/>
    <w:rPr>
      <w:i/>
      <w:iCs/>
    </w:rPr>
  </w:style>
  <w:style w:type="paragraph" w:customStyle="1" w:styleId="5010B0D0D0DA4CAABC5064A0F0E6B0AF">
    <w:name w:val="5010B0D0D0DA4CAABC5064A0F0E6B0AF"/>
  </w:style>
  <w:style w:type="character" w:styleId="PlaceholderText">
    <w:name w:val="Placeholder Text"/>
    <w:basedOn w:val="DefaultParagraphFont"/>
    <w:uiPriority w:val="99"/>
    <w:semiHidden/>
    <w:rsid w:val="00B24F84"/>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Book</b:SourceType>
    <b:Guid>{A54DFF0A-323D-43D7-BDF1-EB786B6727CC}</b:Guid>
    <b:Title>New Concepts in Technical trading Systems</b:Title>
    <b:Year>1978</b:Year>
    <b:JournalName>Journal Title</b:JournalName>
    <b:Pages>Pages From - To</b:Pages>
    <b:Author>
      <b:Author>
        <b:NameList>
          <b:Person>
            <b:Last>Wilder</b:Last>
            <b:First>J.</b:First>
            <b:Middle>Welles</b:Middle>
          </b:Person>
        </b:NameList>
      </b:Author>
    </b:Author>
    <b:City>Greensboro</b:City>
    <b:Publisher>Trend Research</b:Publisher>
    <b:RefOrder>7</b:RefOrder>
  </b:Source>
  <b:Source>
    <b:Tag>Lan84</b:Tag>
    <b:SourceType>JournalArticle</b:SourceType>
    <b:Guid>{9847A304-53AE-4BBA-B415-084B9A90801C}</b:Guid>
    <b:Title>Lane’s stochastics</b:Title>
    <b:Year>1984</b:Year>
    <b:Author>
      <b:Author>
        <b:NameList>
          <b:Person>
            <b:Last>Lane</b:Last>
            <b:First>George</b:First>
            <b:Middle>C.</b:Middle>
          </b:Person>
        </b:NameList>
      </b:Author>
    </b:Author>
    <b:JournalName>Technical Analysis of Stocks and Commodities</b:JournalName>
    <b:Pages>80</b:Pages>
    <b:RefOrder>8</b:RefOrder>
  </b:Source>
  <b:Source>
    <b:Tag>Gra63</b:Tag>
    <b:SourceType>Book</b:SourceType>
    <b:Guid>{3548B6C8-4357-477E-94CD-8A4E12E4F995}</b:Guid>
    <b:Title>New Key to Stock Market Profits</b:Title>
    <b:Year>1963</b:Year>
    <b:Author>
      <b:Author>
        <b:NameList>
          <b:Person>
            <b:Last>Granville</b:Last>
            <b:First>Joseph</b:First>
            <b:Middle>E.</b:Middle>
          </b:Person>
        </b:NameList>
      </b:Author>
    </b:Author>
    <b:Publisher>Prentice-Hall</b:Publisher>
    <b:RefOrder>9</b:RefOrder>
  </b:Source>
  <b:Source>
    <b:Tag>Hal19</b:Tag>
    <b:SourceType>InternetSite</b:SourceType>
    <b:Guid>{B5D55669-3DAD-4C0B-982C-1E2D81CD0192}</b:Guid>
    <b:Title>Scale, Standardize, or Normalize with Scikit-Learn</b:Title>
    <b:Year>2019</b:Year>
    <b:Author>
      <b:Author>
        <b:NameList>
          <b:Person>
            <b:Last>Hale</b:Last>
            <b:First>Jeff</b:First>
          </b:Person>
        </b:NameList>
      </b:Author>
    </b:Author>
    <b:InternetSiteTitle>towards data science</b:InternetSiteTitle>
    <b:Month>March</b:Month>
    <b:Day>4</b:Day>
    <b:URL>https://towardsdatascience.com/scale-standardize-or-normalize-with-scikit-learn-6ccc7d176a02</b:URL>
    <b:RefOrder>2</b:RefOrder>
  </b:Source>
  <b:Source>
    <b:Tag>Per20</b:Tag>
    <b:SourceType>InternetSite</b:SourceType>
    <b:Guid>{5D0BC1FC-4540-4745-8963-6E1996F093C2}</b:Guid>
    <b:Title>Linear Regression</b:Title>
    <b:InternetSiteTitle>statsmodels</b:InternetSiteTitle>
    <b:Year>2020</b:Year>
    <b:Month>November</b:Month>
    <b:Day>19</b:Day>
    <b:URL>https://www.statsmodels.org/dev/regression.html</b:URL>
    <b:Author>
      <b:Author>
        <b:NameList>
          <b:Person>
            <b:Last>Perktold</b:Last>
            <b:First>Josef</b:First>
          </b:Person>
          <b:Person>
            <b:Last>Seabold</b:Last>
            <b:First>Skipper</b:First>
          </b:Person>
          <b:Person>
            <b:Last>Taylor</b:Last>
            <b:First>Jonathan</b:First>
          </b:Person>
        </b:NameList>
      </b:Author>
    </b:Author>
    <b:RefOrder>10</b:RefOrder>
  </b:Source>
  <b:Source>
    <b:Tag>Pad18</b:Tag>
    <b:SourceType>InternetSite</b:SourceType>
    <b:Guid>{93DDFDB6-C4A2-4EAF-949C-90FDF59E0303}</b:Guid>
    <b:Author>
      <b:Author>
        <b:NameList>
          <b:Person>
            <b:Last>Padial</b:Last>
            <b:First>Dario</b:First>
            <b:Middle>Lopez</b:Middle>
          </b:Person>
        </b:NameList>
      </b:Author>
    </b:Author>
    <b:Title>Technical Analysis Library in Python</b:Title>
    <b:InternetSiteTitle>Documentation</b:InternetSiteTitle>
    <b:Year>2018</b:Year>
    <b:Month>April</b:Month>
    <b:Day>10</b:Day>
    <b:URL>https://technical-analysis-library-in-python.readthedocs.io/en/latest/ta.html</b:URL>
    <b:RefOrder>1</b:RefOrder>
  </b:Source>
  <b:Source>
    <b:Tag>Che19</b:Tag>
    <b:SourceType>InternetSite</b:SourceType>
    <b:Guid>{70BA0124-DF04-4334-A32A-695CDAE8384C}</b:Guid>
    <b:Author>
      <b:Author>
        <b:NameList>
          <b:Person>
            <b:Last>Chen</b:Last>
            <b:First>James</b:First>
          </b:Person>
        </b:NameList>
      </b:Author>
    </b:Author>
    <b:Title>Investopedia</b:Title>
    <b:InternetSiteTitle>Mass Index</b:InternetSiteTitle>
    <b:Year>2019</b:Year>
    <b:Month>June</b:Month>
    <b:Day>23</b:Day>
    <b:URL>https://www.investopedia.com/terms/m/mass-index.asp</b:URL>
    <b:RefOrder>6</b:RefOrder>
  </b:Source>
  <b:Source>
    <b:Tag>Kau</b:Tag>
    <b:SourceType>InternetSite</b:SourceType>
    <b:Guid>{15B6C93D-ECE0-4377-8CC2-1F7810B95115}</b:Guid>
    <b:Title>Kaufman’s Adaptive Moving Average (KAMA)</b:Title>
    <b:InternetSiteTitle>Corporate Finance Institute</b:InternetSiteTitle>
    <b:URL>https://corporatefinanceinstitute.com/resources/knowledge/trading-investing/kaufmans-adaptive-moving-average-kama/</b:URL>
    <b:RefOrder>3</b:RefOrder>
  </b:Source>
  <b:Source>
    <b:Tag>Mit19</b:Tag>
    <b:SourceType>InternetSite</b:SourceType>
    <b:Guid>{57B355C9-8FEC-40EC-8A5D-9349739CCA44}</b:Guid>
    <b:Author>
      <b:Author>
        <b:NameList>
          <b:Person>
            <b:Last>Mitchell</b:Last>
            <b:First>Cory</b:First>
          </b:Person>
        </b:NameList>
      </b:Author>
    </b:Author>
    <b:Title>Force Index and Uses</b:Title>
    <b:InternetSiteTitle>Investopedia</b:InternetSiteTitle>
    <b:Year>2019</b:Year>
    <b:Month>July</b:Month>
    <b:Day>14</b:Day>
    <b:URL>https://www.investopedia.com/terms/f/force-index.asp</b:URL>
    <b:RefOrder>4</b:RefOrder>
  </b:Source>
  <b:Source>
    <b:Tag>Che20</b:Tag>
    <b:SourceType>InternetSite</b:SourceType>
    <b:Guid>{BC7FBBD4-97A8-4C35-B6E7-5A1D4BF3852D}</b:Guid>
    <b:Author>
      <b:Author>
        <b:NameList>
          <b:Person>
            <b:Last>Chen</b:Last>
            <b:First>James</b:First>
          </b:Person>
        </b:NameList>
      </b:Author>
    </b:Author>
    <b:Title>Donchian Channels Definition</b:Title>
    <b:InternetSiteTitle>Investopedia</b:InternetSiteTitle>
    <b:Year>2020</b:Year>
    <b:Month>November</b:Month>
    <b:Day>2</b:Day>
    <b:URL>https://www.investopedia.com/terms/d/donchianchannels.asp</b:URL>
    <b:RefOrder>5</b:RefOrder>
  </b:Source>
</b:Sources>
</file>

<file path=customXml/itemProps1.xml><?xml version="1.0" encoding="utf-8"?>
<ds:datastoreItem xmlns:ds="http://schemas.openxmlformats.org/officeDocument/2006/customXml" ds:itemID="{C1204703-9BED-4D5B-B638-7E74F606C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{754300BC-7AFA-4483-B88C-57B4792F1992}tf03982351_win32</Template>
  <TotalTime>2798</TotalTime>
  <Pages>1</Pages>
  <Words>4405</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Exploring Trading Strategies Using Technical Indicators</vt:lpstr>
    </vt:vector>
  </TitlesOfParts>
  <Company/>
  <LinksUpToDate>false</LinksUpToDate>
  <CharactersWithSpaces>29456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Trading Strategies Using Technical Indicators</dc:title>
  <dc:subject>ORIE 5252 – Quantitative Portfolio Management</dc:subject>
  <dc:creator>HENRY LEE (HHL38)</dc:creator>
  <cp:keywords/>
  <dc:description/>
  <cp:lastModifiedBy>Henry</cp:lastModifiedBy>
  <cp:revision>30</cp:revision>
  <cp:lastPrinted>2020-11-26T09:10:00Z</cp:lastPrinted>
  <dcterms:created xsi:type="dcterms:W3CDTF">2020-11-22T02:18:00Z</dcterms:created>
  <dcterms:modified xsi:type="dcterms:W3CDTF">2020-11-26T09:10:00Z</dcterms:modified>
</cp:coreProperties>
</file>