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CYBER SECURITY RISK ASSESSMENT</w:t>
        <w:br/>
        <w:t>IN E-GOVERNANCE</w:t>
      </w:r>
    </w:p>
    <w:p>
      <w:pPr>
        <w:jc w:val="center"/>
      </w:pPr>
      <w:r>
        <w:rPr>
          <w:b/>
          <w:sz w:val="26"/>
        </w:rPr>
        <w:t>Week 1 Internship Task</w:t>
      </w:r>
    </w:p>
    <w:p>
      <w:pPr>
        <w:jc w:val="center"/>
      </w:pPr>
      <w:r>
        <w:br/>
      </w:r>
      <w:r>
        <w:rPr>
          <w:b/>
          <w:sz w:val="28"/>
        </w:rPr>
        <w:t>Cyber Security Analyst – E-Governance &amp; Digital Services</w:t>
      </w:r>
    </w:p>
    <w:p>
      <w:pPr>
        <w:jc w:val="center"/>
      </w:pPr>
      <w:r>
        <w:br/>
        <w:br/>
      </w:r>
    </w:p>
    <w:p>
      <w:pPr>
        <w:jc w:val="center"/>
      </w:pPr>
      <w:r>
        <w:rPr>
          <w:sz w:val="22"/>
        </w:rPr>
        <w:t>Student Name: ______________________________</w:t>
      </w:r>
    </w:p>
    <w:p>
      <w:pPr>
        <w:jc w:val="center"/>
      </w:pPr>
      <w:r>
        <w:rPr>
          <w:sz w:val="22"/>
        </w:rPr>
        <w:t>College / Institution: ________________________</w:t>
      </w:r>
    </w:p>
    <w:p>
      <w:pPr>
        <w:jc w:val="center"/>
      </w:pPr>
      <w:r>
        <w:rPr>
          <w:sz w:val="22"/>
        </w:rPr>
        <w:t>Course / Branch: _____________________________</w:t>
      </w:r>
    </w:p>
    <w:p>
      <w:pPr>
        <w:jc w:val="center"/>
      </w:pPr>
      <w:r>
        <w:rPr>
          <w:sz w:val="22"/>
        </w:rPr>
        <w:t>Internship Organization: Yuva Intern / NSDC</w:t>
      </w:r>
    </w:p>
    <w:p>
      <w:pPr>
        <w:jc w:val="center"/>
      </w:pPr>
      <w:r>
        <w:rPr>
          <w:sz w:val="22"/>
        </w:rPr>
        <w:t>Task: Week 1 – Cyber Security Risk Assessment in E-Governance</w:t>
      </w:r>
    </w:p>
    <w:p>
      <w:pPr>
        <w:jc w:val="center"/>
      </w:pPr>
      <w:r>
        <w:rPr>
          <w:sz w:val="22"/>
        </w:rPr>
        <w:t>Submission Date: _____________________________</w:t>
      </w:r>
    </w:p>
    <w:p>
      <w:pPr>
        <w:jc w:val="center"/>
      </w:pPr>
      <w:r>
        <w:rPr>
          <w:i/>
        </w:rPr>
        <w:br/>
        <w:br/>
        <w:t>Prepared using publicly available cybersecurity standards and government guidance.</w:t>
      </w:r>
    </w:p>
    <w:p>
      <w:r>
        <w:br w:type="page"/>
      </w:r>
    </w:p>
    <w:p>
      <w:pPr>
        <w:pStyle w:val="Title"/>
        <w:jc w:val="center"/>
      </w:pPr>
      <w:r>
        <w:t>Executive Summary</w:t>
      </w:r>
    </w:p>
    <w:p>
      <w:r>
        <w:t>E-governance systems allow citizens, businesses and government employees to access public services through websites, portals, mobile applications and connected databases. These systems can process identity information, applications, certificates, payments and other sensitive records. Because many services depend on the availability and integrity of digital systems, cybersecurity failures can affect both individual users and public administration.</w:t>
      </w:r>
    </w:p>
    <w:p>
      <w:r>
        <w:t>This report presents a structured cybersecurity risk assessment for a representative e-governance portal. The assessment focuses on common risks that can affect public digital services: data breaches, phishing and credential theft, account takeover, injection attacks, denial-of-service attacks, malware or ransomware, insider threats, and insecure or outdated software. The analysis uses a simple likelihood-and-impact model so that risks can be prioritized.</w:t>
      </w:r>
    </w:p>
    <w:p>
      <w:r>
        <w:t>The assessment identifies data breach, account compromise, injection vulnerabilities and service disruption as particularly significant risks because they can expose sensitive information, enable unauthorized actions, or prevent citizens from accessing essential services. The recommended controls include multi-factor authentication, secure software development, input validation, encryption, patch management, network protection, backups, security monitoring, access control, staff awareness training and incident response planning.</w:t>
      </w:r>
    </w:p>
    <w:p>
      <w:r>
        <w:t>The approach is aligned conceptually with NIST Cybersecurity Framework (CSF) 2.0, which provides a flexible structure for managing cybersecurity risk, and with the OWASP Top 10, which highlights major web-application security risks. For an Indian government context, the report also considers CERT-In guidance for government entities. [1][2][3]</w:t>
      </w:r>
    </w:p>
    <w:p>
      <w:r>
        <w:t>The objective is not to test or attack any real government system. It is a defensive, research-based assessment using publicly available information and best practices.</w:t>
      </w:r>
    </w:p>
    <w:p>
      <w:r>
        <w:br w:type="page"/>
      </w:r>
    </w:p>
    <w:p>
      <w:pPr>
        <w:pStyle w:val="Title"/>
        <w:jc w:val="center"/>
      </w:pPr>
      <w:r>
        <w:t>1. Introduction</w:t>
      </w:r>
    </w:p>
    <w:p>
      <w:r>
        <w:t>E-governance refers to the use of information and communication technologies by public authorities to deliver services, exchange information and support administrative processes. Examples include online applications, digital certificates, tax or fee payment portals, grievance systems, identity-linked services, appointment systems and online document repositories.</w:t>
      </w:r>
    </w:p>
    <w:p>
      <w:r>
        <w:t>The move from paper-based processes to digital services improves accessibility, speed and efficiency, but it also creates cybersecurity dependencies. A citizen may depend on a portal being available at a particular time. A government department may depend on accurate database records. An employee may need access to administrative systems to process applications. If any part of this chain is compromised, the impact can extend beyond a single computer.</w:t>
      </w:r>
    </w:p>
    <w:p>
      <w:r>
        <w:t>Cybersecurity in e-governance can be viewed through three core objectives: confidentiality, integrity and availability. Confidentiality means that sensitive information is accessible only to authorized people. Integrity means that records and transactions are accurate and protected from unauthorized modification. Availability means that legitimate users can access services when required.</w:t>
      </w:r>
    </w:p>
    <w:p>
      <w:r>
        <w:t>A useful risk assessment therefore asks four basic questions: What could go wrong? How likely is it? What would be the impact? What controls can reduce the risk? NIST CSF 2.0 is designed to help organizations understand, assess, prioritize and communicate cybersecurity risk. [1]</w:t>
      </w:r>
    </w:p>
    <w:p>
      <w:r>
        <w:t>For web applications, the OWASP Top 10 provides an additional reference point. Its categories include broken access control, cryptographic failures, injection, insecure design, security misconfiguration, vulnerable components, identification and authentication failures, software/data integrity failures, logging/monitoring failures and server-side request forgery. [2]</w:t>
      </w:r>
    </w:p>
    <w:p>
      <w:r>
        <w:t>In India, CERT-In publishes information-security practices and guidelines for government entities. Its 2023 government-entity guidelines establish a prioritized baseline of cybersecurity measures and controls for government organizations and associated entities. [3]</w:t>
      </w:r>
    </w:p>
    <w:p>
      <w:r>
        <w:br w:type="page"/>
      </w:r>
    </w:p>
    <w:p>
      <w:pPr>
        <w:pStyle w:val="Title"/>
        <w:jc w:val="center"/>
      </w:pPr>
      <w:r>
        <w:t>2. Scope and Assessment Methodology</w:t>
      </w:r>
    </w:p>
    <w:p>
      <w:r>
        <w:t>Scope: This assessment considers a hypothetical e-governance portal used by citizens and government employees. The portal is assumed to provide account registration and login, online forms, document uploads, application tracking, payments or fee collection, administrative processing, notifications and access to stored citizen information.</w:t>
      </w:r>
    </w:p>
    <w:p>
      <w:r>
        <w:t>The assessment does not examine a specific real government website, does not attempt penetration testing, and does not use private or confidential data. Risks are identified from common cybersecurity principles, public guidance and typical architectures used by digital services.</w:t>
      </w:r>
    </w:p>
    <w:p>
      <w:pPr>
        <w:pStyle w:val="Heading2"/>
        <w:keepNext/>
      </w:pPr>
      <w:r>
        <w:t>2.1 Assets Considered</w:t>
      </w:r>
    </w:p>
    <w:p>
      <w:pPr>
        <w:pStyle w:val="ListBullet"/>
        <w:spacing w:after="60"/>
      </w:pPr>
      <w:r>
        <w:t>Citizen personal information and identity-related records.</w:t>
      </w:r>
    </w:p>
    <w:p>
      <w:pPr>
        <w:pStyle w:val="ListBullet"/>
        <w:spacing w:after="60"/>
      </w:pPr>
      <w:r>
        <w:t>User credentials, authentication tokens and account profiles.</w:t>
      </w:r>
    </w:p>
    <w:p>
      <w:pPr>
        <w:pStyle w:val="ListBullet"/>
        <w:spacing w:after="60"/>
      </w:pPr>
      <w:r>
        <w:t>Application records, uploaded documents and transaction information.</w:t>
      </w:r>
    </w:p>
    <w:p>
      <w:pPr>
        <w:pStyle w:val="ListBullet"/>
        <w:spacing w:after="60"/>
      </w:pPr>
      <w:r>
        <w:t>Web servers, application servers, APIs, databases and cloud infrastructure.</w:t>
      </w:r>
    </w:p>
    <w:p>
      <w:pPr>
        <w:pStyle w:val="ListBullet"/>
        <w:spacing w:after="60"/>
      </w:pPr>
      <w:r>
        <w:t>Administrative accounts and internal management interfaces.</w:t>
      </w:r>
    </w:p>
    <w:p>
      <w:pPr>
        <w:pStyle w:val="ListBullet"/>
        <w:spacing w:after="60"/>
      </w:pPr>
      <w:r>
        <w:t>Availability and reputation of the public digital service.</w:t>
      </w:r>
    </w:p>
    <w:p>
      <w:pPr>
        <w:pStyle w:val="ListBullet"/>
        <w:spacing w:after="60"/>
      </w:pPr>
      <w:r>
        <w:t>Logs, backups, configuration files and security monitoring data.</w:t>
      </w:r>
    </w:p>
    <w:p>
      <w:pPr>
        <w:pStyle w:val="Heading2"/>
        <w:keepNext/>
      </w:pPr>
      <w:r>
        <w:t>2.2 Risk Rating Method</w:t>
      </w:r>
    </w:p>
    <w:p>
      <w:r>
        <w:t>Each risk is scored using a 1–5 scale for likelihood and impact. Likelihood represents how plausible or frequent the threat may be in a typical public-facing digital environment. Impact represents the potential effect on confidentiality, integrity, availability, citizens and government operations.</w:t>
      </w:r>
    </w:p>
    <w:tbl>
      <w:tblPr>
        <w:tblStyle w:val="TableGrid"/>
        <w:tblW w:type="auto" w:w="0"/>
        <w:jc w:val="center"/>
        <w:tblLook w:firstColumn="1" w:firstRow="1" w:lastColumn="0" w:lastRow="0" w:noHBand="0" w:noVBand="1" w:val="04A0"/>
      </w:tblPr>
      <w:tblGrid>
        <w:gridCol w:w="3264"/>
        <w:gridCol w:w="3264"/>
        <w:gridCol w:w="3264"/>
      </w:tblGrid>
      <w:tr>
        <w:tc>
          <w:tcPr>
            <w:tcW w:type="dxa" w:w="1008"/>
            <w:vAlign w:val="center"/>
            <w:shd w:fill="E8F1FA"/>
          </w:tcPr>
          <w:p>
            <w:pPr>
              <w:spacing w:after="0"/>
            </w:pPr>
            <w:r/>
            <w:r>
              <w:rPr>
                <w:rFonts w:ascii="Arial" w:hAnsi="Arial"/>
                <w:b/>
                <w:sz w:val="18"/>
              </w:rPr>
              <w:t>Score</w:t>
            </w:r>
          </w:p>
        </w:tc>
        <w:tc>
          <w:tcPr>
            <w:tcW w:type="dxa" w:w="2592"/>
            <w:vAlign w:val="center"/>
            <w:shd w:fill="E8F1FA"/>
          </w:tcPr>
          <w:p>
            <w:pPr>
              <w:spacing w:after="0"/>
            </w:pPr>
            <w:r/>
            <w:r>
              <w:rPr>
                <w:rFonts w:ascii="Arial" w:hAnsi="Arial"/>
                <w:b/>
                <w:sz w:val="18"/>
              </w:rPr>
              <w:t>Likelihood</w:t>
            </w:r>
          </w:p>
        </w:tc>
        <w:tc>
          <w:tcPr>
            <w:tcW w:type="dxa" w:w="2880"/>
            <w:vAlign w:val="center"/>
            <w:shd w:fill="E8F1FA"/>
          </w:tcPr>
          <w:p>
            <w:pPr>
              <w:spacing w:after="0"/>
            </w:pPr>
            <w:r/>
            <w:r>
              <w:rPr>
                <w:rFonts w:ascii="Arial" w:hAnsi="Arial"/>
                <w:b/>
                <w:sz w:val="18"/>
              </w:rPr>
              <w:t>Impact</w:t>
            </w:r>
          </w:p>
        </w:tc>
      </w:tr>
      <w:tr>
        <w:tc>
          <w:tcPr>
            <w:tcW w:type="dxa" w:w="1008"/>
            <w:vAlign w:val="center"/>
          </w:tcPr>
          <w:p>
            <w:pPr>
              <w:spacing w:after="0"/>
            </w:pPr>
            <w:r/>
            <w:r>
              <w:rPr>
                <w:rFonts w:ascii="Arial" w:hAnsi="Arial"/>
                <w:b w:val="0"/>
                <w:sz w:val="17"/>
              </w:rPr>
              <w:t>1</w:t>
            </w:r>
          </w:p>
        </w:tc>
        <w:tc>
          <w:tcPr>
            <w:tcW w:type="dxa" w:w="2592"/>
            <w:vAlign w:val="center"/>
          </w:tcPr>
          <w:p>
            <w:pPr>
              <w:spacing w:after="0"/>
            </w:pPr>
            <w:r/>
            <w:r>
              <w:rPr>
                <w:rFonts w:ascii="Arial" w:hAnsi="Arial"/>
                <w:b w:val="0"/>
                <w:sz w:val="17"/>
              </w:rPr>
              <w:t>Rare</w:t>
            </w:r>
          </w:p>
        </w:tc>
        <w:tc>
          <w:tcPr>
            <w:tcW w:type="dxa" w:w="2880"/>
            <w:vAlign w:val="center"/>
          </w:tcPr>
          <w:p>
            <w:pPr>
              <w:spacing w:after="0"/>
            </w:pPr>
            <w:r/>
            <w:r>
              <w:rPr>
                <w:rFonts w:ascii="Arial" w:hAnsi="Arial"/>
                <w:b w:val="0"/>
                <w:sz w:val="17"/>
              </w:rPr>
              <w:t>Minimal</w:t>
            </w:r>
          </w:p>
        </w:tc>
      </w:tr>
      <w:tr>
        <w:tc>
          <w:tcPr>
            <w:tcW w:type="dxa" w:w="1008"/>
            <w:vAlign w:val="center"/>
          </w:tcPr>
          <w:p>
            <w:pPr>
              <w:spacing w:after="0"/>
            </w:pPr>
            <w:r/>
            <w:r>
              <w:rPr>
                <w:rFonts w:ascii="Arial" w:hAnsi="Arial"/>
                <w:b w:val="0"/>
                <w:sz w:val="17"/>
              </w:rPr>
              <w:t>2</w:t>
            </w:r>
          </w:p>
        </w:tc>
        <w:tc>
          <w:tcPr>
            <w:tcW w:type="dxa" w:w="2592"/>
            <w:vAlign w:val="center"/>
          </w:tcPr>
          <w:p>
            <w:pPr>
              <w:spacing w:after="0"/>
            </w:pPr>
            <w:r/>
            <w:r>
              <w:rPr>
                <w:rFonts w:ascii="Arial" w:hAnsi="Arial"/>
                <w:b w:val="0"/>
                <w:sz w:val="17"/>
              </w:rPr>
              <w:t>Unlikely</w:t>
            </w:r>
          </w:p>
        </w:tc>
        <w:tc>
          <w:tcPr>
            <w:tcW w:type="dxa" w:w="2880"/>
            <w:vAlign w:val="center"/>
          </w:tcPr>
          <w:p>
            <w:pPr>
              <w:spacing w:after="0"/>
            </w:pPr>
            <w:r/>
            <w:r>
              <w:rPr>
                <w:rFonts w:ascii="Arial" w:hAnsi="Arial"/>
                <w:b w:val="0"/>
                <w:sz w:val="17"/>
              </w:rPr>
              <w:t>Minor</w:t>
            </w:r>
          </w:p>
        </w:tc>
      </w:tr>
      <w:tr>
        <w:tc>
          <w:tcPr>
            <w:tcW w:type="dxa" w:w="1008"/>
            <w:vAlign w:val="center"/>
          </w:tcPr>
          <w:p>
            <w:pPr>
              <w:spacing w:after="0"/>
            </w:pPr>
            <w:r/>
            <w:r>
              <w:rPr>
                <w:rFonts w:ascii="Arial" w:hAnsi="Arial"/>
                <w:b w:val="0"/>
                <w:sz w:val="17"/>
              </w:rPr>
              <w:t>3</w:t>
            </w:r>
          </w:p>
        </w:tc>
        <w:tc>
          <w:tcPr>
            <w:tcW w:type="dxa" w:w="2592"/>
            <w:vAlign w:val="center"/>
          </w:tcPr>
          <w:p>
            <w:pPr>
              <w:spacing w:after="0"/>
            </w:pPr>
            <w:r/>
            <w:r>
              <w:rPr>
                <w:rFonts w:ascii="Arial" w:hAnsi="Arial"/>
                <w:b w:val="0"/>
                <w:sz w:val="17"/>
              </w:rPr>
              <w:t>Possible</w:t>
            </w:r>
          </w:p>
        </w:tc>
        <w:tc>
          <w:tcPr>
            <w:tcW w:type="dxa" w:w="2880"/>
            <w:vAlign w:val="center"/>
          </w:tcPr>
          <w:p>
            <w:pPr>
              <w:spacing w:after="0"/>
            </w:pPr>
            <w:r/>
            <w:r>
              <w:rPr>
                <w:rFonts w:ascii="Arial" w:hAnsi="Arial"/>
                <w:b w:val="0"/>
                <w:sz w:val="17"/>
              </w:rPr>
              <w:t>Moderate</w:t>
            </w:r>
          </w:p>
        </w:tc>
      </w:tr>
      <w:tr>
        <w:tc>
          <w:tcPr>
            <w:tcW w:type="dxa" w:w="1008"/>
            <w:vAlign w:val="center"/>
          </w:tcPr>
          <w:p>
            <w:pPr>
              <w:spacing w:after="0"/>
            </w:pPr>
            <w:r/>
            <w:r>
              <w:rPr>
                <w:rFonts w:ascii="Arial" w:hAnsi="Arial"/>
                <w:b w:val="0"/>
                <w:sz w:val="17"/>
              </w:rPr>
              <w:t>4</w:t>
            </w:r>
          </w:p>
        </w:tc>
        <w:tc>
          <w:tcPr>
            <w:tcW w:type="dxa" w:w="2592"/>
            <w:vAlign w:val="center"/>
          </w:tcPr>
          <w:p>
            <w:pPr>
              <w:spacing w:after="0"/>
            </w:pPr>
            <w:r/>
            <w:r>
              <w:rPr>
                <w:rFonts w:ascii="Arial" w:hAnsi="Arial"/>
                <w:b w:val="0"/>
                <w:sz w:val="17"/>
              </w:rPr>
              <w:t>Likely</w:t>
            </w:r>
          </w:p>
        </w:tc>
        <w:tc>
          <w:tcPr>
            <w:tcW w:type="dxa" w:w="2880"/>
            <w:vAlign w:val="center"/>
          </w:tcPr>
          <w:p>
            <w:pPr>
              <w:spacing w:after="0"/>
            </w:pPr>
            <w:r/>
            <w:r>
              <w:rPr>
                <w:rFonts w:ascii="Arial" w:hAnsi="Arial"/>
                <w:b w:val="0"/>
                <w:sz w:val="17"/>
              </w:rPr>
              <w:t>Major</w:t>
            </w:r>
          </w:p>
        </w:tc>
      </w:tr>
      <w:tr>
        <w:tc>
          <w:tcPr>
            <w:tcW w:type="dxa" w:w="1008"/>
            <w:vAlign w:val="center"/>
          </w:tcPr>
          <w:p>
            <w:pPr>
              <w:spacing w:after="0"/>
            </w:pPr>
            <w:r/>
            <w:r>
              <w:rPr>
                <w:rFonts w:ascii="Arial" w:hAnsi="Arial"/>
                <w:b w:val="0"/>
                <w:sz w:val="17"/>
              </w:rPr>
              <w:t>5</w:t>
            </w:r>
          </w:p>
        </w:tc>
        <w:tc>
          <w:tcPr>
            <w:tcW w:type="dxa" w:w="2592"/>
            <w:vAlign w:val="center"/>
          </w:tcPr>
          <w:p>
            <w:pPr>
              <w:spacing w:after="0"/>
            </w:pPr>
            <w:r/>
            <w:r>
              <w:rPr>
                <w:rFonts w:ascii="Arial" w:hAnsi="Arial"/>
                <w:b w:val="0"/>
                <w:sz w:val="17"/>
              </w:rPr>
              <w:t>Very likely</w:t>
            </w:r>
          </w:p>
        </w:tc>
        <w:tc>
          <w:tcPr>
            <w:tcW w:type="dxa" w:w="2880"/>
            <w:vAlign w:val="center"/>
          </w:tcPr>
          <w:p>
            <w:pPr>
              <w:spacing w:after="0"/>
            </w:pPr>
            <w:r/>
            <w:r>
              <w:rPr>
                <w:rFonts w:ascii="Arial" w:hAnsi="Arial"/>
                <w:b w:val="0"/>
                <w:sz w:val="17"/>
              </w:rPr>
              <w:t>Severe</w:t>
            </w:r>
          </w:p>
        </w:tc>
      </w:tr>
    </w:tbl>
    <w:p/>
    <w:p>
      <w:r>
        <w:t>Overall risk score = Likelihood × Impact. Scores of 1–4 are treated as Low, 5–9 as Medium, 10–16 as High, and 17–25 as Critical. This is a practical educational model rather than a claim about the risk level of any particular government system.</w:t>
      </w:r>
    </w:p>
    <w:p>
      <w:r>
        <w:br w:type="page"/>
      </w:r>
    </w:p>
    <w:p>
      <w:pPr>
        <w:pStyle w:val="Title"/>
        <w:jc w:val="center"/>
      </w:pPr>
      <w:r>
        <w:t>3. Risk Identification</w:t>
      </w:r>
    </w:p>
    <w:p>
      <w:r>
        <w:t>The following risks were selected because they are relevant to public-facing digital services and map to widely recognized cybersecurity concerns.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76"/>
            <w:vAlign w:val="center"/>
            <w:shd w:fill="E8F1FA"/>
          </w:tcPr>
          <w:p>
            <w:pPr>
              <w:spacing w:after="0"/>
            </w:pPr>
            <w:r/>
            <w:r>
              <w:rPr>
                <w:rFonts w:ascii="Arial" w:hAnsi="Arial"/>
                <w:b/>
                <w:sz w:val="18"/>
              </w:rPr>
              <w:t>ID</w:t>
            </w:r>
          </w:p>
        </w:tc>
        <w:tc>
          <w:tcPr>
            <w:tcW w:type="dxa" w:w="2304"/>
            <w:vAlign w:val="center"/>
            <w:shd w:fill="E8F1FA"/>
          </w:tcPr>
          <w:p>
            <w:pPr>
              <w:spacing w:after="0"/>
            </w:pPr>
            <w:r/>
            <w:r>
              <w:rPr>
                <w:rFonts w:ascii="Arial" w:hAnsi="Arial"/>
                <w:b/>
                <w:sz w:val="18"/>
              </w:rPr>
              <w:t>Risk</w:t>
            </w:r>
          </w:p>
        </w:tc>
        <w:tc>
          <w:tcPr>
            <w:tcW w:type="dxa" w:w="4752"/>
            <w:vAlign w:val="center"/>
            <w:shd w:fill="E8F1FA"/>
          </w:tcPr>
          <w:p>
            <w:pPr>
              <w:spacing w:after="0"/>
            </w:pPr>
            <w:r/>
            <w:r>
              <w:rPr>
                <w:rFonts w:ascii="Arial" w:hAnsi="Arial"/>
                <w:b/>
                <w:sz w:val="18"/>
              </w:rPr>
              <w:t>Main Security Concern</w:t>
            </w:r>
          </w:p>
        </w:tc>
        <w:tc>
          <w:tcPr>
            <w:tcW w:type="dxa" w:w="1584"/>
            <w:vAlign w:val="center"/>
            <w:shd w:fill="E8F1FA"/>
          </w:tcPr>
          <w:p>
            <w:pPr>
              <w:spacing w:after="0"/>
            </w:pPr>
            <w:r/>
            <w:r>
              <w:rPr>
                <w:rFonts w:ascii="Arial" w:hAnsi="Arial"/>
                <w:b/>
                <w:sz w:val="18"/>
              </w:rPr>
              <w:t>Initial Score</w:t>
            </w:r>
          </w:p>
        </w:tc>
      </w:tr>
      <w:tr>
        <w:tc>
          <w:tcPr>
            <w:tcW w:type="dxa" w:w="576"/>
            <w:vAlign w:val="center"/>
          </w:tcPr>
          <w:p>
            <w:pPr>
              <w:spacing w:after="0"/>
            </w:pPr>
            <w:r/>
            <w:r>
              <w:rPr>
                <w:rFonts w:ascii="Arial" w:hAnsi="Arial"/>
                <w:b w:val="0"/>
                <w:sz w:val="17"/>
              </w:rPr>
              <w:t>R1</w:t>
            </w:r>
          </w:p>
        </w:tc>
        <w:tc>
          <w:tcPr>
            <w:tcW w:type="dxa" w:w="2304"/>
            <w:vAlign w:val="center"/>
          </w:tcPr>
          <w:p>
            <w:pPr>
              <w:spacing w:after="0"/>
            </w:pPr>
            <w:r/>
            <w:r>
              <w:rPr>
                <w:rFonts w:ascii="Arial" w:hAnsi="Arial"/>
                <w:b w:val="0"/>
                <w:sz w:val="17"/>
              </w:rPr>
              <w:t>Data breach</w:t>
            </w:r>
          </w:p>
        </w:tc>
        <w:tc>
          <w:tcPr>
            <w:tcW w:type="dxa" w:w="4752"/>
            <w:vAlign w:val="center"/>
          </w:tcPr>
          <w:p>
            <w:pPr>
              <w:spacing w:after="0"/>
            </w:pPr>
            <w:r/>
            <w:r>
              <w:rPr>
                <w:rFonts w:ascii="Arial" w:hAnsi="Arial"/>
                <w:b w:val="0"/>
                <w:sz w:val="17"/>
              </w:rPr>
              <w:t>Unauthorized disclosure of citizen or administrative data</w:t>
            </w:r>
          </w:p>
        </w:tc>
        <w:tc>
          <w:tcPr>
            <w:tcW w:type="dxa" w:w="1584"/>
            <w:vAlign w:val="center"/>
          </w:tcPr>
          <w:p>
            <w:pPr>
              <w:spacing w:after="0"/>
            </w:pPr>
            <w:r/>
            <w:r>
              <w:rPr>
                <w:rFonts w:ascii="Arial" w:hAnsi="Arial"/>
                <w:b w:val="0"/>
                <w:sz w:val="17"/>
              </w:rPr>
              <w:t>5 × 5 = 25</w:t>
            </w:r>
          </w:p>
        </w:tc>
      </w:tr>
      <w:tr>
        <w:tc>
          <w:tcPr>
            <w:tcW w:type="dxa" w:w="576"/>
            <w:vAlign w:val="center"/>
          </w:tcPr>
          <w:p>
            <w:pPr>
              <w:spacing w:after="0"/>
            </w:pPr>
            <w:r/>
            <w:r>
              <w:rPr>
                <w:rFonts w:ascii="Arial" w:hAnsi="Arial"/>
                <w:b w:val="0"/>
                <w:sz w:val="17"/>
              </w:rPr>
              <w:t>R2</w:t>
            </w:r>
          </w:p>
        </w:tc>
        <w:tc>
          <w:tcPr>
            <w:tcW w:type="dxa" w:w="2304"/>
            <w:vAlign w:val="center"/>
          </w:tcPr>
          <w:p>
            <w:pPr>
              <w:spacing w:after="0"/>
            </w:pPr>
            <w:r/>
            <w:r>
              <w:rPr>
                <w:rFonts w:ascii="Arial" w:hAnsi="Arial"/>
                <w:b w:val="0"/>
                <w:sz w:val="17"/>
              </w:rPr>
              <w:t>Phishing / credential theft</w:t>
            </w:r>
          </w:p>
        </w:tc>
        <w:tc>
          <w:tcPr>
            <w:tcW w:type="dxa" w:w="4752"/>
            <w:vAlign w:val="center"/>
          </w:tcPr>
          <w:p>
            <w:pPr>
              <w:spacing w:after="0"/>
            </w:pPr>
            <w:r/>
            <w:r>
              <w:rPr>
                <w:rFonts w:ascii="Arial" w:hAnsi="Arial"/>
                <w:b w:val="0"/>
                <w:sz w:val="17"/>
              </w:rPr>
              <w:t>Users or staff reveal authentication information</w:t>
            </w:r>
          </w:p>
        </w:tc>
        <w:tc>
          <w:tcPr>
            <w:tcW w:type="dxa" w:w="1584"/>
            <w:vAlign w:val="center"/>
          </w:tcPr>
          <w:p>
            <w:pPr>
              <w:spacing w:after="0"/>
            </w:pPr>
            <w:r/>
            <w:r>
              <w:rPr>
                <w:rFonts w:ascii="Arial" w:hAnsi="Arial"/>
                <w:b w:val="0"/>
                <w:sz w:val="17"/>
              </w:rPr>
              <w:t>5 × 4 = 20</w:t>
            </w:r>
          </w:p>
        </w:tc>
      </w:tr>
      <w:tr>
        <w:tc>
          <w:tcPr>
            <w:tcW w:type="dxa" w:w="576"/>
            <w:vAlign w:val="center"/>
          </w:tcPr>
          <w:p>
            <w:pPr>
              <w:spacing w:after="0"/>
            </w:pPr>
            <w:r/>
            <w:r>
              <w:rPr>
                <w:rFonts w:ascii="Arial" w:hAnsi="Arial"/>
                <w:b w:val="0"/>
                <w:sz w:val="17"/>
              </w:rPr>
              <w:t>R3</w:t>
            </w:r>
          </w:p>
        </w:tc>
        <w:tc>
          <w:tcPr>
            <w:tcW w:type="dxa" w:w="2304"/>
            <w:vAlign w:val="center"/>
          </w:tcPr>
          <w:p>
            <w:pPr>
              <w:spacing w:after="0"/>
            </w:pPr>
            <w:r/>
            <w:r>
              <w:rPr>
                <w:rFonts w:ascii="Arial" w:hAnsi="Arial"/>
                <w:b w:val="0"/>
                <w:sz w:val="17"/>
              </w:rPr>
              <w:t>Account takeover</w:t>
            </w:r>
          </w:p>
        </w:tc>
        <w:tc>
          <w:tcPr>
            <w:tcW w:type="dxa" w:w="4752"/>
            <w:vAlign w:val="center"/>
          </w:tcPr>
          <w:p>
            <w:pPr>
              <w:spacing w:after="0"/>
            </w:pPr>
            <w:r/>
            <w:r>
              <w:rPr>
                <w:rFonts w:ascii="Arial" w:hAnsi="Arial"/>
                <w:b w:val="0"/>
                <w:sz w:val="17"/>
              </w:rPr>
              <w:t>Attacker gains control of a legitimate account</w:t>
            </w:r>
          </w:p>
        </w:tc>
        <w:tc>
          <w:tcPr>
            <w:tcW w:type="dxa" w:w="1584"/>
            <w:vAlign w:val="center"/>
          </w:tcPr>
          <w:p>
            <w:pPr>
              <w:spacing w:after="0"/>
            </w:pPr>
            <w:r/>
            <w:r>
              <w:rPr>
                <w:rFonts w:ascii="Arial" w:hAnsi="Arial"/>
                <w:b w:val="0"/>
                <w:sz w:val="17"/>
              </w:rPr>
              <w:t>4 × 5 = 20</w:t>
            </w:r>
          </w:p>
        </w:tc>
      </w:tr>
      <w:tr>
        <w:tc>
          <w:tcPr>
            <w:tcW w:type="dxa" w:w="576"/>
            <w:vAlign w:val="center"/>
          </w:tcPr>
          <w:p>
            <w:pPr>
              <w:spacing w:after="0"/>
            </w:pPr>
            <w:r/>
            <w:r>
              <w:rPr>
                <w:rFonts w:ascii="Arial" w:hAnsi="Arial"/>
                <w:b w:val="0"/>
                <w:sz w:val="17"/>
              </w:rPr>
              <w:t>R4</w:t>
            </w:r>
          </w:p>
        </w:tc>
        <w:tc>
          <w:tcPr>
            <w:tcW w:type="dxa" w:w="2304"/>
            <w:vAlign w:val="center"/>
          </w:tcPr>
          <w:p>
            <w:pPr>
              <w:spacing w:after="0"/>
            </w:pPr>
            <w:r/>
            <w:r>
              <w:rPr>
                <w:rFonts w:ascii="Arial" w:hAnsi="Arial"/>
                <w:b w:val="0"/>
                <w:sz w:val="17"/>
              </w:rPr>
              <w:t>Injection attack</w:t>
            </w:r>
          </w:p>
        </w:tc>
        <w:tc>
          <w:tcPr>
            <w:tcW w:type="dxa" w:w="4752"/>
            <w:vAlign w:val="center"/>
          </w:tcPr>
          <w:p>
            <w:pPr>
              <w:spacing w:after="0"/>
            </w:pPr>
            <w:r/>
            <w:r>
              <w:rPr>
                <w:rFonts w:ascii="Arial" w:hAnsi="Arial"/>
                <w:b w:val="0"/>
                <w:sz w:val="17"/>
              </w:rPr>
              <w:t>Malicious input changes database/application behavior</w:t>
            </w:r>
          </w:p>
        </w:tc>
        <w:tc>
          <w:tcPr>
            <w:tcW w:type="dxa" w:w="1584"/>
            <w:vAlign w:val="center"/>
          </w:tcPr>
          <w:p>
            <w:pPr>
              <w:spacing w:after="0"/>
            </w:pPr>
            <w:r/>
            <w:r>
              <w:rPr>
                <w:rFonts w:ascii="Arial" w:hAnsi="Arial"/>
                <w:b w:val="0"/>
                <w:sz w:val="17"/>
              </w:rPr>
              <w:t>4 × 5 = 20</w:t>
            </w:r>
          </w:p>
        </w:tc>
      </w:tr>
      <w:tr>
        <w:tc>
          <w:tcPr>
            <w:tcW w:type="dxa" w:w="576"/>
            <w:vAlign w:val="center"/>
          </w:tcPr>
          <w:p>
            <w:pPr>
              <w:spacing w:after="0"/>
            </w:pPr>
            <w:r/>
            <w:r>
              <w:rPr>
                <w:rFonts w:ascii="Arial" w:hAnsi="Arial"/>
                <w:b w:val="0"/>
                <w:sz w:val="17"/>
              </w:rPr>
              <w:t>R5</w:t>
            </w:r>
          </w:p>
        </w:tc>
        <w:tc>
          <w:tcPr>
            <w:tcW w:type="dxa" w:w="2304"/>
            <w:vAlign w:val="center"/>
          </w:tcPr>
          <w:p>
            <w:pPr>
              <w:spacing w:after="0"/>
            </w:pPr>
            <w:r/>
            <w:r>
              <w:rPr>
                <w:rFonts w:ascii="Arial" w:hAnsi="Arial"/>
                <w:b w:val="0"/>
                <w:sz w:val="17"/>
              </w:rPr>
              <w:t>DDoS / service disruption</w:t>
            </w:r>
          </w:p>
        </w:tc>
        <w:tc>
          <w:tcPr>
            <w:tcW w:type="dxa" w:w="4752"/>
            <w:vAlign w:val="center"/>
          </w:tcPr>
          <w:p>
            <w:pPr>
              <w:spacing w:after="0"/>
            </w:pPr>
            <w:r/>
            <w:r>
              <w:rPr>
                <w:rFonts w:ascii="Arial" w:hAnsi="Arial"/>
                <w:b w:val="0"/>
                <w:sz w:val="17"/>
              </w:rPr>
              <w:t>Service becomes unavailable to legitimate users</w:t>
            </w:r>
          </w:p>
        </w:tc>
        <w:tc>
          <w:tcPr>
            <w:tcW w:type="dxa" w:w="1584"/>
            <w:vAlign w:val="center"/>
          </w:tcPr>
          <w:p>
            <w:pPr>
              <w:spacing w:after="0"/>
            </w:pPr>
            <w:r/>
            <w:r>
              <w:rPr>
                <w:rFonts w:ascii="Arial" w:hAnsi="Arial"/>
                <w:b w:val="0"/>
                <w:sz w:val="17"/>
              </w:rPr>
              <w:t>4 × 4 = 16</w:t>
            </w:r>
          </w:p>
        </w:tc>
      </w:tr>
      <w:tr>
        <w:tc>
          <w:tcPr>
            <w:tcW w:type="dxa" w:w="576"/>
            <w:vAlign w:val="center"/>
          </w:tcPr>
          <w:p>
            <w:pPr>
              <w:spacing w:after="0"/>
            </w:pPr>
            <w:r/>
            <w:r>
              <w:rPr>
                <w:rFonts w:ascii="Arial" w:hAnsi="Arial"/>
                <w:b w:val="0"/>
                <w:sz w:val="17"/>
              </w:rPr>
              <w:t>R6</w:t>
            </w:r>
          </w:p>
        </w:tc>
        <w:tc>
          <w:tcPr>
            <w:tcW w:type="dxa" w:w="2304"/>
            <w:vAlign w:val="center"/>
          </w:tcPr>
          <w:p>
            <w:pPr>
              <w:spacing w:after="0"/>
            </w:pPr>
            <w:r/>
            <w:r>
              <w:rPr>
                <w:rFonts w:ascii="Arial" w:hAnsi="Arial"/>
                <w:b w:val="0"/>
                <w:sz w:val="17"/>
              </w:rPr>
              <w:t>Malware / ransomware</w:t>
            </w:r>
          </w:p>
        </w:tc>
        <w:tc>
          <w:tcPr>
            <w:tcW w:type="dxa" w:w="4752"/>
            <w:vAlign w:val="center"/>
          </w:tcPr>
          <w:p>
            <w:pPr>
              <w:spacing w:after="0"/>
            </w:pPr>
            <w:r/>
            <w:r>
              <w:rPr>
                <w:rFonts w:ascii="Arial" w:hAnsi="Arial"/>
                <w:b w:val="0"/>
                <w:sz w:val="17"/>
              </w:rPr>
              <w:t>Systems or data become unavailable or compromised</w:t>
            </w:r>
          </w:p>
        </w:tc>
        <w:tc>
          <w:tcPr>
            <w:tcW w:type="dxa" w:w="1584"/>
            <w:vAlign w:val="center"/>
          </w:tcPr>
          <w:p>
            <w:pPr>
              <w:spacing w:after="0"/>
            </w:pPr>
            <w:r/>
            <w:r>
              <w:rPr>
                <w:rFonts w:ascii="Arial" w:hAnsi="Arial"/>
                <w:b w:val="0"/>
                <w:sz w:val="17"/>
              </w:rPr>
              <w:t>3 × 5 = 15</w:t>
            </w:r>
          </w:p>
        </w:tc>
      </w:tr>
      <w:tr>
        <w:tc>
          <w:tcPr>
            <w:tcW w:type="dxa" w:w="576"/>
            <w:vAlign w:val="center"/>
          </w:tcPr>
          <w:p>
            <w:pPr>
              <w:spacing w:after="0"/>
            </w:pPr>
            <w:r/>
            <w:r>
              <w:rPr>
                <w:rFonts w:ascii="Arial" w:hAnsi="Arial"/>
                <w:b w:val="0"/>
                <w:sz w:val="17"/>
              </w:rPr>
              <w:t>R7</w:t>
            </w:r>
          </w:p>
        </w:tc>
        <w:tc>
          <w:tcPr>
            <w:tcW w:type="dxa" w:w="2304"/>
            <w:vAlign w:val="center"/>
          </w:tcPr>
          <w:p>
            <w:pPr>
              <w:spacing w:after="0"/>
            </w:pPr>
            <w:r/>
            <w:r>
              <w:rPr>
                <w:rFonts w:ascii="Arial" w:hAnsi="Arial"/>
                <w:b w:val="0"/>
                <w:sz w:val="17"/>
              </w:rPr>
              <w:t>Insider threat</w:t>
            </w:r>
          </w:p>
        </w:tc>
        <w:tc>
          <w:tcPr>
            <w:tcW w:type="dxa" w:w="4752"/>
            <w:vAlign w:val="center"/>
          </w:tcPr>
          <w:p>
            <w:pPr>
              <w:spacing w:after="0"/>
            </w:pPr>
            <w:r/>
            <w:r>
              <w:rPr>
                <w:rFonts w:ascii="Arial" w:hAnsi="Arial"/>
                <w:b w:val="0"/>
                <w:sz w:val="17"/>
              </w:rPr>
              <w:t>Authorized person misuses access</w:t>
            </w:r>
          </w:p>
        </w:tc>
        <w:tc>
          <w:tcPr>
            <w:tcW w:type="dxa" w:w="1584"/>
            <w:vAlign w:val="center"/>
          </w:tcPr>
          <w:p>
            <w:pPr>
              <w:spacing w:after="0"/>
            </w:pPr>
            <w:r/>
            <w:r>
              <w:rPr>
                <w:rFonts w:ascii="Arial" w:hAnsi="Arial"/>
                <w:b w:val="0"/>
                <w:sz w:val="17"/>
              </w:rPr>
              <w:t>3 × 5 = 15</w:t>
            </w:r>
          </w:p>
        </w:tc>
      </w:tr>
      <w:tr>
        <w:tc>
          <w:tcPr>
            <w:tcW w:type="dxa" w:w="576"/>
            <w:vAlign w:val="center"/>
          </w:tcPr>
          <w:p>
            <w:pPr>
              <w:spacing w:after="0"/>
            </w:pPr>
            <w:r/>
            <w:r>
              <w:rPr>
                <w:rFonts w:ascii="Arial" w:hAnsi="Arial"/>
                <w:b w:val="0"/>
                <w:sz w:val="17"/>
              </w:rPr>
              <w:t>R8</w:t>
            </w:r>
          </w:p>
        </w:tc>
        <w:tc>
          <w:tcPr>
            <w:tcW w:type="dxa" w:w="2304"/>
            <w:vAlign w:val="center"/>
          </w:tcPr>
          <w:p>
            <w:pPr>
              <w:spacing w:after="0"/>
            </w:pPr>
            <w:r/>
            <w:r>
              <w:rPr>
                <w:rFonts w:ascii="Arial" w:hAnsi="Arial"/>
                <w:b w:val="0"/>
                <w:sz w:val="17"/>
              </w:rPr>
              <w:t>Outdated software / misconfiguration</w:t>
            </w:r>
          </w:p>
        </w:tc>
        <w:tc>
          <w:tcPr>
            <w:tcW w:type="dxa" w:w="4752"/>
            <w:vAlign w:val="center"/>
          </w:tcPr>
          <w:p>
            <w:pPr>
              <w:spacing w:after="0"/>
            </w:pPr>
            <w:r/>
            <w:r>
              <w:rPr>
                <w:rFonts w:ascii="Arial" w:hAnsi="Arial"/>
                <w:b w:val="0"/>
                <w:sz w:val="17"/>
              </w:rPr>
              <w:t>Known weaknesses or unsafe settings are exploited</w:t>
            </w:r>
          </w:p>
        </w:tc>
        <w:tc>
          <w:tcPr>
            <w:tcW w:type="dxa" w:w="1584"/>
            <w:vAlign w:val="center"/>
          </w:tcPr>
          <w:p>
            <w:pPr>
              <w:spacing w:after="0"/>
            </w:pPr>
            <w:r/>
            <w:r>
              <w:rPr>
                <w:rFonts w:ascii="Arial" w:hAnsi="Arial"/>
                <w:b w:val="0"/>
                <w:sz w:val="17"/>
              </w:rPr>
              <w:t>4 × 4 = 16</w:t>
            </w:r>
          </w:p>
        </w:tc>
      </w:tr>
    </w:tbl>
    <w:p/>
    <w:p>
      <w:pPr>
        <w:pStyle w:val="Heading2"/>
        <w:keepNext/>
      </w:pPr>
      <w:r>
        <w:t>3.1 Why These Risks Matter</w:t>
      </w:r>
    </w:p>
    <w:p>
      <w:r>
        <w:t>Public digital services are attractive targets because they are visible, frequently used and often connected to valuable information. The most serious risks are not limited to technical attacks. Human behavior, weak access controls, poor configuration, software vulnerabilities and inadequate recovery planning can all contribute to incidents.</w:t>
      </w:r>
    </w:p>
    <w:p>
      <w:r>
        <w:t>OWASP identifies broken access control, cryptographic failures, injection, insecure design, security misconfiguration, vulnerable components and authentication failures among the major web-application security risks. [2] These categories overlap strongly with the risks assessed in this report.</w:t>
      </w:r>
    </w:p>
    <w:p>
      <w:r>
        <w:t>CERT-In's government-entity guidance emphasizes a baseline of information-security practices, prevention and response for government organizations. [3] Therefore, the recommended controls in this report combine application security, infrastructure security, identity protection, monitoring, awareness and recovery.</w:t>
      </w:r>
    </w:p>
    <w:p>
      <w:r>
        <w:br w:type="page"/>
      </w:r>
    </w:p>
    <w:p>
      <w:pPr>
        <w:pStyle w:val="Title"/>
        <w:jc w:val="center"/>
      </w:pPr>
      <w:r>
        <w:t>4. Risk Analysis – R1: Data Breach</w:t>
      </w:r>
    </w:p>
    <w:p>
      <w:pPr>
        <w:pStyle w:val="Heading2"/>
        <w:keepNext/>
      </w:pPr>
      <w:r>
        <w:t>Description</w:t>
      </w:r>
    </w:p>
    <w:p>
      <w:r>
        <w:t>A data breach occurs when confidential information is accessed, copied, disclosed or otherwise exposed without authorization. In an e-governance environment, potentially sensitive information may include names, addresses, identity-related records, application documents, contact details and transaction information.</w:t>
      </w:r>
    </w:p>
    <w:p>
      <w:pPr>
        <w:pStyle w:val="Heading2"/>
        <w:keepNext/>
      </w:pPr>
      <w:r>
        <w:t>Possible Causes</w:t>
      </w:r>
    </w:p>
    <w:p>
      <w:pPr>
        <w:pStyle w:val="ListBullet"/>
        <w:spacing w:after="60"/>
      </w:pPr>
      <w:r>
        <w:t>Weak authentication or authorization controls.</w:t>
      </w:r>
    </w:p>
    <w:p>
      <w:pPr>
        <w:pStyle w:val="ListBullet"/>
        <w:spacing w:after="60"/>
      </w:pPr>
      <w:r>
        <w:t>Exposed databases, storage buckets or backup files.</w:t>
      </w:r>
    </w:p>
    <w:p>
      <w:pPr>
        <w:pStyle w:val="ListBullet"/>
        <w:spacing w:after="60"/>
      </w:pPr>
      <w:r>
        <w:t>Application vulnerabilities such as injection or broken access control.</w:t>
      </w:r>
    </w:p>
    <w:p>
      <w:pPr>
        <w:pStyle w:val="ListBullet"/>
        <w:spacing w:after="60"/>
      </w:pPr>
      <w:r>
        <w:t>Stolen administrator credentials.</w:t>
      </w:r>
    </w:p>
    <w:p>
      <w:pPr>
        <w:pStyle w:val="ListBullet"/>
        <w:spacing w:after="60"/>
      </w:pPr>
      <w:r>
        <w:t>Poor encryption or insecure data transmission.</w:t>
      </w:r>
    </w:p>
    <w:p>
      <w:pPr>
        <w:pStyle w:val="ListBullet"/>
        <w:spacing w:after="60"/>
      </w:pPr>
      <w:r>
        <w:t>Misconfigured cloud or server infrastructure.</w:t>
      </w:r>
    </w:p>
    <w:p>
      <w:pPr>
        <w:pStyle w:val="Heading2"/>
        <w:keepNext/>
      </w:pPr>
      <w:r>
        <w:t>Impact</w:t>
      </w:r>
    </w:p>
    <w:p>
      <w:r>
        <w:t>The impact can include privacy violations, identity-related fraud, loss of public trust, regulatory or legal consequences, operational disruption and significant costs for investigation and recovery. The severity is especially high when large volumes of citizen information are involved.</w:t>
      </w:r>
    </w:p>
    <w:p>
      <w:pPr>
        <w:pStyle w:val="Heading2"/>
        <w:keepNext/>
      </w:pPr>
      <w:r>
        <w:t>Likelihood and Rating</w:t>
      </w:r>
    </w:p>
    <w:p>
      <w:r>
        <w:t>Likelihood: 5 (Very likely in the sense that data exposure is a common cybersecurity concern for public-facing systems). Impact: 5 (Severe). Overall score: 25 – Critical.</w:t>
      </w:r>
    </w:p>
    <w:p>
      <w:pPr>
        <w:pStyle w:val="Heading2"/>
        <w:keepNext/>
      </w:pPr>
      <w:r>
        <w:t>Recommended Mitigation</w:t>
      </w:r>
    </w:p>
    <w:p>
      <w:pPr>
        <w:pStyle w:val="ListBullet"/>
        <w:spacing w:after="60"/>
      </w:pPr>
      <w:r>
        <w:t>Encrypt sensitive data both in transit and at rest.</w:t>
      </w:r>
    </w:p>
    <w:p>
      <w:pPr>
        <w:pStyle w:val="ListBullet"/>
        <w:spacing w:after="60"/>
      </w:pPr>
      <w:r>
        <w:t>Apply least-privilege access and strong role-based access control.</w:t>
      </w:r>
    </w:p>
    <w:p>
      <w:pPr>
        <w:pStyle w:val="ListBullet"/>
        <w:spacing w:after="60"/>
      </w:pPr>
      <w:r>
        <w:t>Use multi-factor authentication for privileged and sensitive accounts.</w:t>
      </w:r>
    </w:p>
    <w:p>
      <w:pPr>
        <w:pStyle w:val="ListBullet"/>
        <w:spacing w:after="60"/>
      </w:pPr>
      <w:r>
        <w:t>Conduct secure configuration reviews and vulnerability assessments.</w:t>
      </w:r>
    </w:p>
    <w:p>
      <w:pPr>
        <w:pStyle w:val="ListBullet"/>
        <w:spacing w:after="60"/>
      </w:pPr>
      <w:r>
        <w:t>Separate production databases from public-facing components.</w:t>
      </w:r>
    </w:p>
    <w:p>
      <w:pPr>
        <w:pStyle w:val="ListBullet"/>
        <w:spacing w:after="60"/>
      </w:pPr>
      <w:r>
        <w:t>Monitor unusual data access and export activity.</w:t>
      </w:r>
    </w:p>
    <w:p>
      <w:pPr>
        <w:pStyle w:val="ListBullet"/>
        <w:spacing w:after="60"/>
      </w:pPr>
      <w:r>
        <w:t>Maintain tested backups and an incident-response process.</w:t>
      </w:r>
    </w:p>
    <w:p>
      <w:pPr>
        <w:pStyle w:val="ListBullet"/>
        <w:spacing w:after="60"/>
      </w:pPr>
      <w:r>
        <w:t>Minimize the collection and retention of unnecessary personal information.</w:t>
      </w:r>
    </w:p>
    <w:p>
      <w:r>
        <w:t>These measures support the confidentiality and protection outcomes emphasized by NIST CSF 2.0 and are consistent with the need for government entities to establish information-security controls. [1][3]</w:t>
      </w:r>
    </w:p>
    <w:p>
      <w:r>
        <w:br w:type="page"/>
      </w:r>
    </w:p>
    <w:p>
      <w:pPr>
        <w:pStyle w:val="Title"/>
        <w:jc w:val="center"/>
      </w:pPr>
      <w:r>
        <w:t>5. Risk Analysis – R2: Phishing and Credential Theft</w:t>
      </w:r>
    </w:p>
    <w:p>
      <w:pPr>
        <w:pStyle w:val="Heading2"/>
        <w:keepNext/>
      </w:pPr>
      <w:r>
        <w:t>Description</w:t>
      </w:r>
    </w:p>
    <w:p>
      <w:r>
        <w:t>Phishing is a social-engineering technique in which an attacker attempts to persuade a person to reveal credentials, open a malicious link, install harmful software or perform an unauthorized action. Government users and citizens may be targeted through email, text messages, fake websites or fraudulent support messages.</w:t>
      </w:r>
    </w:p>
    <w:p>
      <w:pPr>
        <w:pStyle w:val="Heading2"/>
        <w:keepNext/>
      </w:pPr>
      <w:r>
        <w:t>Possible Causes</w:t>
      </w:r>
    </w:p>
    <w:p>
      <w:pPr>
        <w:pStyle w:val="ListBullet"/>
        <w:spacing w:after="60"/>
      </w:pPr>
      <w:r>
        <w:t>Users cannot easily distinguish fake messages from genuine communication.</w:t>
      </w:r>
    </w:p>
    <w:p>
      <w:pPr>
        <w:pStyle w:val="ListBullet"/>
        <w:spacing w:after="60"/>
      </w:pPr>
      <w:r>
        <w:t>Password reuse across multiple services.</w:t>
      </w:r>
    </w:p>
    <w:p>
      <w:pPr>
        <w:pStyle w:val="ListBullet"/>
        <w:spacing w:after="60"/>
      </w:pPr>
      <w:r>
        <w:t>Lack of multi-factor authentication.</w:t>
      </w:r>
    </w:p>
    <w:p>
      <w:pPr>
        <w:pStyle w:val="ListBullet"/>
        <w:spacing w:after="60"/>
      </w:pPr>
      <w:r>
        <w:t>Spoofed or look-alike login pages.</w:t>
      </w:r>
    </w:p>
    <w:p>
      <w:pPr>
        <w:pStyle w:val="ListBullet"/>
        <w:spacing w:after="60"/>
      </w:pPr>
      <w:r>
        <w:t>Insufficient security awareness training.</w:t>
      </w:r>
    </w:p>
    <w:p>
      <w:pPr>
        <w:pStyle w:val="ListBullet"/>
        <w:spacing w:after="60"/>
      </w:pPr>
      <w:r>
        <w:t>Urgent or misleading messages that exploit user trust.</w:t>
      </w:r>
    </w:p>
    <w:p>
      <w:pPr>
        <w:pStyle w:val="Heading2"/>
        <w:keepNext/>
      </w:pPr>
      <w:r>
        <w:t>Impact</w:t>
      </w:r>
    </w:p>
    <w:p>
      <w:r>
        <w:t>A stolen password can lead to account takeover, unauthorized access to personal information, fraudulent transactions or compromise of administrative systems. A single compromised privileged account can create a much larger incident.</w:t>
      </w:r>
    </w:p>
    <w:p>
      <w:pPr>
        <w:pStyle w:val="Heading2"/>
        <w:keepNext/>
      </w:pPr>
      <w:r>
        <w:t>Likelihood and Rating</w:t>
      </w:r>
    </w:p>
    <w:p>
      <w:r>
        <w:t>Likelihood: 5. Impact: 4. Overall score: 20 – Critical.</w:t>
      </w:r>
    </w:p>
    <w:p>
      <w:pPr>
        <w:pStyle w:val="Heading2"/>
        <w:keepNext/>
      </w:pPr>
      <w:r>
        <w:t>Recommended Mitigation</w:t>
      </w:r>
    </w:p>
    <w:p>
      <w:pPr>
        <w:pStyle w:val="ListBullet"/>
        <w:spacing w:after="60"/>
      </w:pPr>
      <w:r>
        <w:t>Enable multi-factor authentication, especially for administrators and staff.</w:t>
      </w:r>
    </w:p>
    <w:p>
      <w:pPr>
        <w:pStyle w:val="ListBullet"/>
        <w:spacing w:after="60"/>
      </w:pPr>
      <w:r>
        <w:t>Use phishing-resistant authentication where practical.</w:t>
      </w:r>
    </w:p>
    <w:p>
      <w:pPr>
        <w:pStyle w:val="ListBullet"/>
        <w:spacing w:after="60"/>
      </w:pPr>
      <w:r>
        <w:t>Provide regular awareness training and simulated phishing exercises.</w:t>
      </w:r>
    </w:p>
    <w:p>
      <w:pPr>
        <w:pStyle w:val="ListBullet"/>
        <w:spacing w:after="60"/>
      </w:pPr>
      <w:r>
        <w:t>Use email filtering, domain protection and malicious-link detection.</w:t>
      </w:r>
    </w:p>
    <w:p>
      <w:pPr>
        <w:pStyle w:val="ListBullet"/>
        <w:spacing w:after="60"/>
      </w:pPr>
      <w:r>
        <w:t>Encourage password managers and unique passwords.</w:t>
      </w:r>
    </w:p>
    <w:p>
      <w:pPr>
        <w:pStyle w:val="ListBullet"/>
        <w:spacing w:after="60"/>
      </w:pPr>
      <w:r>
        <w:t>Provide an easy mechanism for reporting suspicious messages.</w:t>
      </w:r>
    </w:p>
    <w:p>
      <w:pPr>
        <w:pStyle w:val="ListBullet"/>
        <w:spacing w:after="60"/>
      </w:pPr>
      <w:r>
        <w:t>Monitor authentication anomalies such as impossible travel or repeated failures.</w:t>
      </w:r>
    </w:p>
    <w:p>
      <w:r>
        <w:t>Authentication failures and related weaknesses are explicitly recognized by OWASP as a major web-application risk category. [2]</w:t>
      </w:r>
    </w:p>
    <w:p>
      <w:r>
        <w:br w:type="page"/>
      </w:r>
    </w:p>
    <w:p>
      <w:pPr>
        <w:pStyle w:val="Title"/>
        <w:jc w:val="center"/>
      </w:pPr>
      <w:r>
        <w:t>6. Risk Analysis – R3: Account Takeover</w:t>
      </w:r>
    </w:p>
    <w:p>
      <w:pPr>
        <w:pStyle w:val="Heading2"/>
        <w:keepNext/>
      </w:pPr>
      <w:r>
        <w:t>Description</w:t>
      </w:r>
    </w:p>
    <w:p>
      <w:r>
        <w:t>Account takeover occurs when an attacker obtains control of a legitimate citizen, employee or administrator account. It may follow phishing, credential stuffing, password guessing, session theft or exploitation of weak authentication mechanisms.</w:t>
      </w:r>
    </w:p>
    <w:p>
      <w:pPr>
        <w:pStyle w:val="Heading2"/>
        <w:keepNext/>
      </w:pPr>
      <w:r>
        <w:t>Potential Attack Path</w:t>
      </w:r>
    </w:p>
    <w:p>
      <w:pPr>
        <w:pStyle w:val="ListNumber"/>
        <w:spacing w:after="60"/>
      </w:pPr>
      <w:r>
        <w:t>The attacker obtains or guesses a user's password.</w:t>
      </w:r>
    </w:p>
    <w:p>
      <w:pPr>
        <w:pStyle w:val="ListNumber"/>
        <w:spacing w:after="60"/>
      </w:pPr>
      <w:r>
        <w:t>The attacker attempts to authenticate to the portal.</w:t>
      </w:r>
    </w:p>
    <w:p>
      <w:pPr>
        <w:pStyle w:val="ListNumber"/>
        <w:spacing w:after="60"/>
      </w:pPr>
      <w:r>
        <w:t>Weak or missing multi-factor authentication allows access.</w:t>
      </w:r>
    </w:p>
    <w:p>
      <w:pPr>
        <w:pStyle w:val="ListNumber"/>
        <w:spacing w:after="60"/>
      </w:pPr>
      <w:r>
        <w:t>The attacker changes profile information, views records or submits actions.</w:t>
      </w:r>
    </w:p>
    <w:p>
      <w:pPr>
        <w:pStyle w:val="ListNumber"/>
        <w:spacing w:after="60"/>
      </w:pPr>
      <w:r>
        <w:t>The legitimate user may discover the compromise only after damage has occurred.</w:t>
      </w:r>
    </w:p>
    <w:p>
      <w:pPr>
        <w:pStyle w:val="Heading2"/>
        <w:keepNext/>
      </w:pPr>
      <w:r>
        <w:t>Impact</w:t>
      </w:r>
    </w:p>
    <w:p>
      <w:r>
        <w:t>The consequences depend on the account's privileges. A citizen account may expose personal records or applications. A staff account may allow access to internal workflows. A privileged account could enable widespread unauthorized changes.</w:t>
      </w:r>
    </w:p>
    <w:p>
      <w:pPr>
        <w:pStyle w:val="Heading2"/>
        <w:keepNext/>
      </w:pPr>
      <w:r>
        <w:t>Likelihood and Rating</w:t>
      </w:r>
    </w:p>
    <w:p>
      <w:r>
        <w:t>Likelihood: 4. Impact: 5. Overall score: 20 – Critical.</w:t>
      </w:r>
    </w:p>
    <w:p>
      <w:pPr>
        <w:pStyle w:val="Heading2"/>
        <w:keepNext/>
      </w:pPr>
      <w:r>
        <w:t>Mitigation</w:t>
      </w:r>
    </w:p>
    <w:p>
      <w:pPr>
        <w:pStyle w:val="ListBullet"/>
        <w:spacing w:after="60"/>
      </w:pPr>
      <w:r>
        <w:t>Require MFA for sensitive and privileged accounts.</w:t>
      </w:r>
    </w:p>
    <w:p>
      <w:pPr>
        <w:pStyle w:val="ListBullet"/>
        <w:spacing w:after="60"/>
      </w:pPr>
      <w:r>
        <w:t>Use secure password policies and prevent common/reused passwords.</w:t>
      </w:r>
    </w:p>
    <w:p>
      <w:pPr>
        <w:pStyle w:val="ListBullet"/>
        <w:spacing w:after="60"/>
      </w:pPr>
      <w:r>
        <w:t>Apply rate limiting and account lockout controls carefully.</w:t>
      </w:r>
    </w:p>
    <w:p>
      <w:pPr>
        <w:pStyle w:val="ListBullet"/>
        <w:spacing w:after="60"/>
      </w:pPr>
      <w:r>
        <w:t>Use secure session management and short-lived tokens where appropriate.</w:t>
      </w:r>
    </w:p>
    <w:p>
      <w:pPr>
        <w:pStyle w:val="ListBullet"/>
        <w:spacing w:after="60"/>
      </w:pPr>
      <w:r>
        <w:t>Re-authenticate for high-risk actions such as changing identity or payment details.</w:t>
      </w:r>
    </w:p>
    <w:p>
      <w:pPr>
        <w:pStyle w:val="ListBullet"/>
        <w:spacing w:after="60"/>
      </w:pPr>
      <w:r>
        <w:t>Alert users about new-device logins and important account changes.</w:t>
      </w:r>
    </w:p>
    <w:p>
      <w:pPr>
        <w:pStyle w:val="ListBullet"/>
        <w:spacing w:after="60"/>
      </w:pPr>
      <w:r>
        <w:t>Regularly review privileged accounts and remove unnecessary access.</w:t>
      </w:r>
    </w:p>
    <w:p>
      <w:r>
        <w:t>These controls directly address the authentication and access-control concerns highlighted by OWASP and support NIST's risk-management approach. [1][2]</w:t>
      </w:r>
    </w:p>
    <w:p>
      <w:r>
        <w:br w:type="page"/>
      </w:r>
    </w:p>
    <w:p>
      <w:pPr>
        <w:pStyle w:val="Title"/>
        <w:jc w:val="center"/>
      </w:pPr>
      <w:r>
        <w:t>7. Risk Analysis – R4: Injection Attacks</w:t>
      </w:r>
    </w:p>
    <w:p>
      <w:pPr>
        <w:pStyle w:val="Heading2"/>
        <w:keepNext/>
      </w:pPr>
      <w:r>
        <w:t>Description</w:t>
      </w:r>
    </w:p>
    <w:p>
      <w:r>
        <w:t>Injection occurs when untrusted input is interpreted as part of a command or query. SQL injection is a common example involving database queries. Other forms include command, LDAP or expression injection. OWASP lists injection as a major web-application security risk. [2]</w:t>
      </w:r>
    </w:p>
    <w:p>
      <w:pPr>
        <w:pStyle w:val="Heading2"/>
        <w:keepNext/>
      </w:pPr>
      <w:r>
        <w:t>Potential Causes</w:t>
      </w:r>
    </w:p>
    <w:p>
      <w:pPr>
        <w:pStyle w:val="ListBullet"/>
        <w:spacing w:after="60"/>
      </w:pPr>
      <w:r>
        <w:t>Building database queries by directly concatenating user input.</w:t>
      </w:r>
    </w:p>
    <w:p>
      <w:pPr>
        <w:pStyle w:val="ListBullet"/>
        <w:spacing w:after="60"/>
      </w:pPr>
      <w:r>
        <w:t>Insufficient input validation.</w:t>
      </w:r>
    </w:p>
    <w:p>
      <w:pPr>
        <w:pStyle w:val="ListBullet"/>
        <w:spacing w:after="60"/>
      </w:pPr>
      <w:r>
        <w:t>Unsafe use of system commands or interpreters.</w:t>
      </w:r>
    </w:p>
    <w:p>
      <w:pPr>
        <w:pStyle w:val="ListBullet"/>
        <w:spacing w:after="60"/>
      </w:pPr>
      <w:r>
        <w:t>Excessive database privileges.</w:t>
      </w:r>
    </w:p>
    <w:p>
      <w:pPr>
        <w:pStyle w:val="ListBullet"/>
        <w:spacing w:after="60"/>
      </w:pPr>
      <w:r>
        <w:t>Lack of secure coding practices and testing.</w:t>
      </w:r>
    </w:p>
    <w:p>
      <w:pPr>
        <w:pStyle w:val="Heading2"/>
        <w:keepNext/>
      </w:pPr>
      <w:r>
        <w:t>Potential Impact</w:t>
      </w:r>
    </w:p>
    <w:p>
      <w:r>
        <w:t>Successful injection may allow unauthorized data access, modification or deletion. Depending on architecture and privileges, an attacker may also affect application availability or use the compromised application as a stepping stone to other systems.</w:t>
      </w:r>
    </w:p>
    <w:p>
      <w:pPr>
        <w:pStyle w:val="Heading2"/>
        <w:keepNext/>
      </w:pPr>
      <w:r>
        <w:t>Likelihood and Rating</w:t>
      </w:r>
    </w:p>
    <w:p>
      <w:r>
        <w:t>Likelihood: 4. Impact: 5. Overall score: 20 – Critical.</w:t>
      </w:r>
    </w:p>
    <w:p>
      <w:pPr>
        <w:pStyle w:val="Heading2"/>
        <w:keepNext/>
      </w:pPr>
      <w:r>
        <w:t>Mitigation</w:t>
      </w:r>
    </w:p>
    <w:p>
      <w:pPr>
        <w:pStyle w:val="ListBullet"/>
        <w:spacing w:after="60"/>
      </w:pPr>
      <w:r>
        <w:t>Use parameterized queries and prepared statements.</w:t>
      </w:r>
    </w:p>
    <w:p>
      <w:pPr>
        <w:pStyle w:val="ListBullet"/>
        <w:spacing w:after="60"/>
      </w:pPr>
      <w:r>
        <w:t>Validate and constrain inputs according to expected formats.</w:t>
      </w:r>
    </w:p>
    <w:p>
      <w:pPr>
        <w:pStyle w:val="ListBullet"/>
        <w:spacing w:after="60"/>
      </w:pPr>
      <w:r>
        <w:t>Avoid passing raw user input to operating-system commands.</w:t>
      </w:r>
    </w:p>
    <w:p>
      <w:pPr>
        <w:pStyle w:val="ListBullet"/>
        <w:spacing w:after="60"/>
      </w:pPr>
      <w:r>
        <w:t>Use least-privilege database accounts.</w:t>
      </w:r>
    </w:p>
    <w:p>
      <w:pPr>
        <w:pStyle w:val="ListBullet"/>
        <w:spacing w:after="60"/>
      </w:pPr>
      <w:r>
        <w:t>Perform secure code reviews and automated security testing.</w:t>
      </w:r>
    </w:p>
    <w:p>
      <w:pPr>
        <w:pStyle w:val="ListBullet"/>
        <w:spacing w:after="60"/>
      </w:pPr>
      <w:r>
        <w:t>Keep application frameworks and libraries patched.</w:t>
      </w:r>
    </w:p>
    <w:p>
      <w:pPr>
        <w:pStyle w:val="ListBullet"/>
        <w:spacing w:after="60"/>
      </w:pPr>
      <w:r>
        <w:t>Use web application firewalls as an additional layer, not a substitute for secure coding.</w:t>
      </w:r>
    </w:p>
    <w:p>
      <w:r>
        <w:t>OWASP's Top 10 identifies injection as A03 and recommends preventing untrusted data from being interpreted as commands or queries. [2]</w:t>
      </w:r>
    </w:p>
    <w:p>
      <w:r>
        <w:br w:type="page"/>
      </w:r>
    </w:p>
    <w:p>
      <w:pPr>
        <w:pStyle w:val="Title"/>
        <w:jc w:val="center"/>
      </w:pPr>
      <w:r>
        <w:t>8. Risk Analysis – R5: DDoS and Service Disruption</w:t>
      </w:r>
    </w:p>
    <w:p>
      <w:pPr>
        <w:pStyle w:val="Heading2"/>
        <w:keepNext/>
      </w:pPr>
      <w:r>
        <w:t>Description</w:t>
      </w:r>
    </w:p>
    <w:p>
      <w:r>
        <w:t>A distributed denial-of-service (DDoS) attack attempts to exhaust network, application or other resources so that legitimate users cannot access a service. For an e-governance portal, availability can be critical because citizens may depend on the service for applications, payments, certificates or deadlines.</w:t>
      </w:r>
    </w:p>
    <w:p>
      <w:pPr>
        <w:pStyle w:val="Heading2"/>
        <w:keepNext/>
      </w:pPr>
      <w:r>
        <w:t>Impact</w:t>
      </w:r>
    </w:p>
    <w:p>
      <w:r>
        <w:t>A successful DDoS attack can make a portal unreachable, interrupt government operations, increase support workload and damage public confidence. CISA notes that DDoS attacks can exhaust target resources and deny legitimate users access to a service. [4]</w:t>
      </w:r>
    </w:p>
    <w:p>
      <w:pPr>
        <w:pStyle w:val="Heading2"/>
        <w:keepNext/>
      </w:pPr>
      <w:r>
        <w:t>Likelihood and Rating</w:t>
      </w:r>
    </w:p>
    <w:p>
      <w:r>
        <w:t>Likelihood: 4. Impact: 4. Overall score: 16 – High.</w:t>
      </w:r>
    </w:p>
    <w:p>
      <w:pPr>
        <w:pStyle w:val="Heading2"/>
        <w:keepNext/>
      </w:pPr>
      <w:r>
        <w:t>Mitigation</w:t>
      </w:r>
    </w:p>
    <w:p>
      <w:pPr>
        <w:pStyle w:val="ListBullet"/>
        <w:spacing w:after="60"/>
      </w:pPr>
      <w:r>
        <w:t>Use DDoS protection and traffic scrubbing services where appropriate.</w:t>
      </w:r>
    </w:p>
    <w:p>
      <w:pPr>
        <w:pStyle w:val="ListBullet"/>
        <w:spacing w:after="60"/>
      </w:pPr>
      <w:r>
        <w:t>Apply rate limiting and connection controls.</w:t>
      </w:r>
    </w:p>
    <w:p>
      <w:pPr>
        <w:pStyle w:val="ListBullet"/>
        <w:spacing w:after="60"/>
      </w:pPr>
      <w:r>
        <w:t>Use scalable infrastructure and load balancing.</w:t>
      </w:r>
    </w:p>
    <w:p>
      <w:pPr>
        <w:pStyle w:val="ListBullet"/>
        <w:spacing w:after="60"/>
      </w:pPr>
      <w:r>
        <w:t>Separate critical administrative systems from public-facing services.</w:t>
      </w:r>
    </w:p>
    <w:p>
      <w:pPr>
        <w:pStyle w:val="ListBullet"/>
        <w:spacing w:after="60"/>
      </w:pPr>
      <w:r>
        <w:t>Monitor traffic anomalies and establish escalation procedures.</w:t>
      </w:r>
    </w:p>
    <w:p>
      <w:pPr>
        <w:pStyle w:val="ListBullet"/>
        <w:spacing w:after="60"/>
      </w:pPr>
      <w:r>
        <w:t>Prepare a continuity plan for service degradation or temporary outage.</w:t>
      </w:r>
    </w:p>
    <w:p>
      <w:pPr>
        <w:pStyle w:val="ListBullet"/>
        <w:spacing w:after="60"/>
      </w:pPr>
      <w:r>
        <w:t>Test recovery procedures before a major incident occurs.</w:t>
      </w:r>
    </w:p>
    <w:p>
      <w:pPr>
        <w:pStyle w:val="Heading2"/>
        <w:keepNext/>
      </w:pPr>
      <w:r>
        <w:t>Operational Consideration</w:t>
      </w:r>
    </w:p>
    <w:p>
      <w:r>
        <w:t>Availability controls should be balanced with usability. Overly aggressive rate limits can block genuine citizens, so controls should be tuned and monitored.</w:t>
      </w:r>
    </w:p>
    <w:p>
      <w:r>
        <w:br w:type="page"/>
      </w:r>
    </w:p>
    <w:p>
      <w:pPr>
        <w:pStyle w:val="Title"/>
        <w:jc w:val="center"/>
      </w:pPr>
      <w:r>
        <w:t>9. Risk Analysis – R6: Malware and Ransomware</w:t>
      </w:r>
    </w:p>
    <w:p>
      <w:pPr>
        <w:pStyle w:val="Heading2"/>
        <w:keepNext/>
      </w:pPr>
      <w:r>
        <w:t>Description</w:t>
      </w:r>
    </w:p>
    <w:p>
      <w:r>
        <w:t>Malware is malicious software designed to disrupt operations, steal information, damage systems or provide unauthorized access. Ransomware is a type of malware that can encrypt data or otherwise prevent normal operations until an attacker demands payment.</w:t>
      </w:r>
    </w:p>
    <w:p>
      <w:pPr>
        <w:pStyle w:val="Heading2"/>
        <w:keepNext/>
      </w:pPr>
      <w:r>
        <w:t>Possible Entry Points</w:t>
      </w:r>
    </w:p>
    <w:p>
      <w:pPr>
        <w:pStyle w:val="ListBullet"/>
        <w:spacing w:after="60"/>
      </w:pPr>
      <w:r>
        <w:t>Malicious email attachments or links.</w:t>
      </w:r>
    </w:p>
    <w:p>
      <w:pPr>
        <w:pStyle w:val="ListBullet"/>
        <w:spacing w:after="60"/>
      </w:pPr>
      <w:r>
        <w:t>Compromised user devices.</w:t>
      </w:r>
    </w:p>
    <w:p>
      <w:pPr>
        <w:pStyle w:val="ListBullet"/>
        <w:spacing w:after="60"/>
      </w:pPr>
      <w:r>
        <w:t>Unpatched applications or operating systems.</w:t>
      </w:r>
    </w:p>
    <w:p>
      <w:pPr>
        <w:pStyle w:val="ListBullet"/>
        <w:spacing w:after="60"/>
      </w:pPr>
      <w:r>
        <w:t>Infected removable media.</w:t>
      </w:r>
    </w:p>
    <w:p>
      <w:pPr>
        <w:pStyle w:val="ListBullet"/>
        <w:spacing w:after="60"/>
      </w:pPr>
      <w:r>
        <w:t>Compromised third-party software or services.</w:t>
      </w:r>
    </w:p>
    <w:p>
      <w:pPr>
        <w:pStyle w:val="ListBullet"/>
        <w:spacing w:after="60"/>
      </w:pPr>
      <w:r>
        <w:t>Stolen remote-access credentials.</w:t>
      </w:r>
    </w:p>
    <w:p>
      <w:pPr>
        <w:pStyle w:val="Heading2"/>
        <w:keepNext/>
      </w:pPr>
      <w:r>
        <w:t>Impact and Rating</w:t>
      </w:r>
    </w:p>
    <w:p>
      <w:r>
        <w:t>Impact can include loss of availability, data loss, operational disruption, recovery costs and reputational damage. Likelihood is rated 3 and impact 5, giving an overall score of 15 – High.</w:t>
      </w:r>
    </w:p>
    <w:p>
      <w:pPr>
        <w:pStyle w:val="Heading2"/>
        <w:keepNext/>
      </w:pPr>
      <w:r>
        <w:t>Mitigation</w:t>
      </w:r>
    </w:p>
    <w:p>
      <w:pPr>
        <w:pStyle w:val="ListBullet"/>
        <w:spacing w:after="60"/>
      </w:pPr>
      <w:r>
        <w:t>Maintain current endpoint protection and security updates.</w:t>
      </w:r>
    </w:p>
    <w:p>
      <w:pPr>
        <w:pStyle w:val="ListBullet"/>
        <w:spacing w:after="60"/>
      </w:pPr>
      <w:r>
        <w:t>Segment networks so that one compromised device cannot easily reach everything.</w:t>
      </w:r>
    </w:p>
    <w:p>
      <w:pPr>
        <w:pStyle w:val="ListBullet"/>
        <w:spacing w:after="60"/>
      </w:pPr>
      <w:r>
        <w:t>Use application allow-listing where appropriate for high-value systems.</w:t>
      </w:r>
    </w:p>
    <w:p>
      <w:pPr>
        <w:pStyle w:val="ListBullet"/>
        <w:spacing w:after="60"/>
      </w:pPr>
      <w:r>
        <w:t>Maintain offline or otherwise protected backups.</w:t>
      </w:r>
    </w:p>
    <w:p>
      <w:pPr>
        <w:pStyle w:val="ListBullet"/>
        <w:spacing w:after="60"/>
      </w:pPr>
      <w:r>
        <w:t>Regularly test restoration from backups.</w:t>
      </w:r>
    </w:p>
    <w:p>
      <w:pPr>
        <w:pStyle w:val="ListBullet"/>
        <w:spacing w:after="60"/>
      </w:pPr>
      <w:r>
        <w:t>Restrict administrative privileges.</w:t>
      </w:r>
    </w:p>
    <w:p>
      <w:pPr>
        <w:pStyle w:val="ListBullet"/>
        <w:spacing w:after="60"/>
      </w:pPr>
      <w:r>
        <w:t>Train employees to identify suspicious attachments and links.</w:t>
      </w:r>
    </w:p>
    <w:p>
      <w:pPr>
        <w:pStyle w:val="ListBullet"/>
        <w:spacing w:after="60"/>
      </w:pPr>
      <w:r>
        <w:t>Maintain an incident-response and recovery plan.</w:t>
      </w:r>
    </w:p>
    <w:p>
      <w:r>
        <w:t>CERT-In's government-entity guidance emphasizes prevention, response and development toward cyber resilience, making recovery planning an important part of the overall security program. [3]</w:t>
      </w:r>
    </w:p>
    <w:p>
      <w:r>
        <w:br w:type="page"/>
      </w:r>
    </w:p>
    <w:p>
      <w:pPr>
        <w:pStyle w:val="Title"/>
        <w:jc w:val="center"/>
      </w:pPr>
      <w:r>
        <w:t>10. Risk Analysis – R7: Insider Threat</w:t>
      </w:r>
    </w:p>
    <w:p>
      <w:r>
        <w:t>An insider threat arises when a person with legitimate access intentionally or accidentally causes harm. Insiders can include employees, contractors, temporary staff or other authorized users. The risk is not limited to malicious behavior; mistakes can also expose information or disrupt systems.</w:t>
      </w:r>
    </w:p>
    <w:p>
      <w:pPr>
        <w:pStyle w:val="Heading2"/>
        <w:keepNext/>
      </w:pPr>
      <w:r>
        <w:t>Examples</w:t>
      </w:r>
    </w:p>
    <w:p>
      <w:pPr>
        <w:pStyle w:val="ListBullet"/>
        <w:spacing w:after="60"/>
      </w:pPr>
      <w:r>
        <w:t>An employee downloads more data than required for their role.</w:t>
      </w:r>
    </w:p>
    <w:p>
      <w:pPr>
        <w:pStyle w:val="ListBullet"/>
        <w:spacing w:after="60"/>
      </w:pPr>
      <w:r>
        <w:t>A staff member accidentally emails confidential information to the wrong recipient.</w:t>
      </w:r>
    </w:p>
    <w:p>
      <w:pPr>
        <w:pStyle w:val="ListBullet"/>
        <w:spacing w:after="60"/>
      </w:pPr>
      <w:r>
        <w:t>A contractor retains access after the contract ends.</w:t>
      </w:r>
    </w:p>
    <w:p>
      <w:pPr>
        <w:pStyle w:val="ListBullet"/>
        <w:spacing w:after="60"/>
      </w:pPr>
      <w:r>
        <w:t>An administrator makes an unsafe configuration change.</w:t>
      </w:r>
    </w:p>
    <w:p>
      <w:pPr>
        <w:pStyle w:val="ListBullet"/>
        <w:spacing w:after="60"/>
      </w:pPr>
      <w:r>
        <w:t>A malicious insider deliberately modifies or copies records.</w:t>
      </w:r>
    </w:p>
    <w:p>
      <w:pPr>
        <w:pStyle w:val="Heading2"/>
        <w:keepNext/>
      </w:pPr>
      <w:r>
        <w:t>Impact and Rating</w:t>
      </w:r>
    </w:p>
    <w:p>
      <w:r>
        <w:t>Because insiders already have some level of legitimate access, technical perimeter defenses may not stop every incident. Likelihood is rated 3 and impact 5, producing a score of 15 – High.</w:t>
      </w:r>
    </w:p>
    <w:p>
      <w:pPr>
        <w:pStyle w:val="Heading2"/>
        <w:keepNext/>
      </w:pPr>
      <w:r>
        <w:t>Mitigation</w:t>
      </w:r>
    </w:p>
    <w:p>
      <w:pPr>
        <w:pStyle w:val="ListBullet"/>
        <w:spacing w:after="60"/>
      </w:pPr>
      <w:r>
        <w:t>Apply least privilege and role-based access control.</w:t>
      </w:r>
    </w:p>
    <w:p>
      <w:pPr>
        <w:pStyle w:val="ListBullet"/>
        <w:spacing w:after="60"/>
      </w:pPr>
      <w:r>
        <w:t>Use separation of duties for sensitive processes.</w:t>
      </w:r>
    </w:p>
    <w:p>
      <w:pPr>
        <w:pStyle w:val="ListBullet"/>
        <w:spacing w:after="60"/>
      </w:pPr>
      <w:r>
        <w:t>Review privileged access regularly.</w:t>
      </w:r>
    </w:p>
    <w:p>
      <w:pPr>
        <w:pStyle w:val="ListBullet"/>
        <w:spacing w:after="60"/>
      </w:pPr>
      <w:r>
        <w:t>Remove access promptly when employees or contractors leave.</w:t>
      </w:r>
    </w:p>
    <w:p>
      <w:pPr>
        <w:pStyle w:val="ListBullet"/>
        <w:spacing w:after="60"/>
      </w:pPr>
      <w:r>
        <w:t>Monitor unusual downloads, changes and administrative actions.</w:t>
      </w:r>
    </w:p>
    <w:p>
      <w:pPr>
        <w:pStyle w:val="ListBullet"/>
        <w:spacing w:after="60"/>
      </w:pPr>
      <w:r>
        <w:t>Maintain tamper-resistant audit logs.</w:t>
      </w:r>
    </w:p>
    <w:p>
      <w:pPr>
        <w:pStyle w:val="ListBullet"/>
        <w:spacing w:after="60"/>
      </w:pPr>
      <w:r>
        <w:t>Provide clear security policies and staff training.</w:t>
      </w:r>
    </w:p>
    <w:p>
      <w:pPr>
        <w:pStyle w:val="ListBullet"/>
        <w:spacing w:after="60"/>
      </w:pPr>
      <w:r>
        <w:t>Use approvals for high-impact administrative actions.</w:t>
      </w:r>
    </w:p>
    <w:p>
      <w:r>
        <w:t>The objective is not to treat employees as inherently untrustworthy. It is to design systems so that mistakes are less damaging and intentional misuse is more difficult to perform and easier to detect.</w:t>
      </w:r>
    </w:p>
    <w:p>
      <w:r>
        <w:br w:type="page"/>
      </w:r>
    </w:p>
    <w:p>
      <w:pPr>
        <w:pStyle w:val="Title"/>
        <w:jc w:val="center"/>
      </w:pPr>
      <w:r>
        <w:t>11. Risk Analysis – R8: Outdated Software and Security Misconfiguration</w:t>
      </w:r>
    </w:p>
    <w:p>
      <w:r>
        <w:t>Software vulnerabilities and insecure configurations can expose systems even when passwords and user behavior are strong. Public-facing applications depend on operating systems, web servers, databases, frameworks, libraries, cloud services and network devices. A weakness in one component can become an entry point.</w:t>
      </w:r>
    </w:p>
    <w:p>
      <w:pPr>
        <w:pStyle w:val="Heading2"/>
        <w:keepNext/>
      </w:pPr>
      <w:r>
        <w:t>Common Problems</w:t>
      </w:r>
    </w:p>
    <w:p>
      <w:pPr>
        <w:pStyle w:val="ListBullet"/>
        <w:spacing w:after="60"/>
      </w:pPr>
      <w:r>
        <w:t>Unsupported operating systems or application versions.</w:t>
      </w:r>
    </w:p>
    <w:p>
      <w:pPr>
        <w:pStyle w:val="ListBullet"/>
        <w:spacing w:after="60"/>
      </w:pPr>
      <w:r>
        <w:t>Unpatched libraries with known vulnerabilities.</w:t>
      </w:r>
    </w:p>
    <w:p>
      <w:pPr>
        <w:pStyle w:val="ListBullet"/>
        <w:spacing w:after="60"/>
      </w:pPr>
      <w:r>
        <w:t>Default or unnecessary accounts and services.</w:t>
      </w:r>
    </w:p>
    <w:p>
      <w:pPr>
        <w:pStyle w:val="ListBullet"/>
        <w:spacing w:after="60"/>
      </w:pPr>
      <w:r>
        <w:t>Excessive network exposure.</w:t>
      </w:r>
    </w:p>
    <w:p>
      <w:pPr>
        <w:pStyle w:val="ListBullet"/>
        <w:spacing w:after="60"/>
      </w:pPr>
      <w:r>
        <w:t>Weak security headers or unsafe application settings.</w:t>
      </w:r>
    </w:p>
    <w:p>
      <w:pPr>
        <w:pStyle w:val="ListBullet"/>
        <w:spacing w:after="60"/>
      </w:pPr>
      <w:r>
        <w:t>Unnecessary administrative interfaces exposed to the internet.</w:t>
      </w:r>
    </w:p>
    <w:p>
      <w:pPr>
        <w:pStyle w:val="ListBullet"/>
        <w:spacing w:after="60"/>
      </w:pPr>
      <w:r>
        <w:t>Inadequate configuration change management.</w:t>
      </w:r>
    </w:p>
    <w:p>
      <w:pPr>
        <w:pStyle w:val="Heading2"/>
        <w:keepNext/>
      </w:pPr>
      <w:r>
        <w:t>Impact and Rating</w:t>
      </w:r>
    </w:p>
    <w:p>
      <w:r>
        <w:t>Likelihood is rated 4 and impact 4, producing a score of 16 – High.</w:t>
      </w:r>
    </w:p>
    <w:p>
      <w:pPr>
        <w:pStyle w:val="Heading2"/>
        <w:keepNext/>
      </w:pPr>
      <w:r>
        <w:t>Mitigation</w:t>
      </w:r>
    </w:p>
    <w:p>
      <w:pPr>
        <w:pStyle w:val="ListBullet"/>
        <w:spacing w:after="60"/>
      </w:pPr>
      <w:r>
        <w:t>Maintain a current asset and software inventory.</w:t>
      </w:r>
    </w:p>
    <w:p>
      <w:pPr>
        <w:pStyle w:val="ListBullet"/>
        <w:spacing w:after="60"/>
      </w:pPr>
      <w:r>
        <w:t>Use a formal patch and vulnerability-management process.</w:t>
      </w:r>
    </w:p>
    <w:p>
      <w:pPr>
        <w:pStyle w:val="ListBullet"/>
        <w:spacing w:after="60"/>
      </w:pPr>
      <w:r>
        <w:t>Remove unnecessary services and default credentials.</w:t>
      </w:r>
    </w:p>
    <w:p>
      <w:pPr>
        <w:pStyle w:val="ListBullet"/>
        <w:spacing w:after="60"/>
      </w:pPr>
      <w:r>
        <w:t>Harden operating systems, servers and network devices.</w:t>
      </w:r>
    </w:p>
    <w:p>
      <w:pPr>
        <w:pStyle w:val="ListBullet"/>
        <w:spacing w:after="60"/>
      </w:pPr>
      <w:r>
        <w:t>Use secure configuration baselines.</w:t>
      </w:r>
    </w:p>
    <w:p>
      <w:pPr>
        <w:pStyle w:val="ListBullet"/>
        <w:spacing w:after="60"/>
      </w:pPr>
      <w:r>
        <w:t>Perform periodic vulnerability assessments and security audits.</w:t>
      </w:r>
    </w:p>
    <w:p>
      <w:pPr>
        <w:pStyle w:val="ListBullet"/>
        <w:spacing w:after="60"/>
      </w:pPr>
      <w:r>
        <w:t>Track third-party and open-source software dependencies.</w:t>
      </w:r>
    </w:p>
    <w:p>
      <w:pPr>
        <w:pStyle w:val="ListBullet"/>
        <w:spacing w:after="60"/>
      </w:pPr>
      <w:r>
        <w:t>Test changes before production deployment and retain rollback plans.</w:t>
      </w:r>
    </w:p>
    <w:p>
      <w:r>
        <w:t>OWASP includes security misconfiguration and vulnerable/outdated components among its Top 10 categories. [2] CERT-In also publishes guidance for government entities and secure application development and operations. [3][5]</w:t>
      </w:r>
    </w:p>
    <w:p>
      <w:r>
        <w:br w:type="page"/>
      </w:r>
    </w:p>
    <w:p>
      <w:pPr>
        <w:pStyle w:val="Title"/>
        <w:jc w:val="center"/>
      </w:pPr>
      <w:r>
        <w:t>12. Consolidated Risk Matrix and Prioritization</w:t>
      </w:r>
    </w:p>
    <w:p>
      <w:r>
        <w:t>The matrix below combines the eight identified risks. The scores are illustrative and should be recalculated if a real system's architecture, controls, threat environment or business impact is known.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456"/>
            <w:vAlign w:val="center"/>
            <w:shd w:fill="E8F1FA"/>
          </w:tcPr>
          <w:p>
            <w:pPr>
              <w:spacing w:after="0"/>
            </w:pPr>
            <w:r/>
            <w:r>
              <w:rPr>
                <w:rFonts w:ascii="Arial" w:hAnsi="Arial"/>
                <w:b/>
                <w:sz w:val="18"/>
              </w:rPr>
              <w:t>Risk</w:t>
            </w:r>
          </w:p>
        </w:tc>
        <w:tc>
          <w:tcPr>
            <w:tcW w:type="dxa" w:w="1440"/>
            <w:vAlign w:val="center"/>
            <w:shd w:fill="E8F1FA"/>
          </w:tcPr>
          <w:p>
            <w:pPr>
              <w:spacing w:after="0"/>
            </w:pPr>
            <w:r/>
            <w:r>
              <w:rPr>
                <w:rFonts w:ascii="Arial" w:hAnsi="Arial"/>
                <w:b/>
                <w:sz w:val="18"/>
              </w:rPr>
              <w:t>Likelihood</w:t>
            </w:r>
          </w:p>
        </w:tc>
        <w:tc>
          <w:tcPr>
            <w:tcW w:type="dxa" w:w="1152"/>
            <w:vAlign w:val="center"/>
            <w:shd w:fill="E8F1FA"/>
          </w:tcPr>
          <w:p>
            <w:pPr>
              <w:spacing w:after="0"/>
            </w:pPr>
            <w:r/>
            <w:r>
              <w:rPr>
                <w:rFonts w:ascii="Arial" w:hAnsi="Arial"/>
                <w:b/>
                <w:sz w:val="18"/>
              </w:rPr>
              <w:t>Impact</w:t>
            </w:r>
          </w:p>
        </w:tc>
        <w:tc>
          <w:tcPr>
            <w:tcW w:type="dxa" w:w="1152"/>
            <w:vAlign w:val="center"/>
            <w:shd w:fill="E8F1FA"/>
          </w:tcPr>
          <w:p>
            <w:pPr>
              <w:spacing w:after="0"/>
            </w:pPr>
            <w:r/>
            <w:r>
              <w:rPr>
                <w:rFonts w:ascii="Arial" w:hAnsi="Arial"/>
                <w:b/>
                <w:sz w:val="18"/>
              </w:rPr>
              <w:t>Score</w:t>
            </w:r>
          </w:p>
        </w:tc>
        <w:tc>
          <w:tcPr>
            <w:tcW w:type="dxa" w:w="1728"/>
            <w:vAlign w:val="center"/>
            <w:shd w:fill="E8F1FA"/>
          </w:tcPr>
          <w:p>
            <w:pPr>
              <w:spacing w:after="0"/>
            </w:pPr>
            <w:r/>
            <w:r>
              <w:rPr>
                <w:rFonts w:ascii="Arial" w:hAnsi="Arial"/>
                <w:b/>
                <w:sz w:val="18"/>
              </w:rPr>
              <w:t>Priority</w:t>
            </w:r>
          </w:p>
        </w:tc>
      </w:tr>
      <w:tr>
        <w:tc>
          <w:tcPr>
            <w:tcW w:type="dxa" w:w="3456"/>
            <w:vAlign w:val="center"/>
          </w:tcPr>
          <w:p>
            <w:pPr>
              <w:spacing w:after="0"/>
            </w:pPr>
            <w:r/>
            <w:r>
              <w:rPr>
                <w:rFonts w:ascii="Arial" w:hAnsi="Arial"/>
                <w:b w:val="0"/>
                <w:sz w:val="17"/>
              </w:rPr>
              <w:t>Data breach</w:t>
            </w:r>
          </w:p>
        </w:tc>
        <w:tc>
          <w:tcPr>
            <w:tcW w:type="dxa" w:w="1440"/>
            <w:vAlign w:val="center"/>
          </w:tcPr>
          <w:p>
            <w:pPr>
              <w:spacing w:after="0"/>
            </w:pPr>
            <w:r/>
            <w:r>
              <w:rPr>
                <w:rFonts w:ascii="Arial" w:hAnsi="Arial"/>
                <w:b w:val="0"/>
                <w:sz w:val="17"/>
              </w:rPr>
              <w:t>5</w:t>
            </w:r>
          </w:p>
        </w:tc>
        <w:tc>
          <w:tcPr>
            <w:tcW w:type="dxa" w:w="1152"/>
            <w:vAlign w:val="center"/>
          </w:tcPr>
          <w:p>
            <w:pPr>
              <w:spacing w:after="0"/>
            </w:pPr>
            <w:r/>
            <w:r>
              <w:rPr>
                <w:rFonts w:ascii="Arial" w:hAnsi="Arial"/>
                <w:b w:val="0"/>
                <w:sz w:val="17"/>
              </w:rPr>
              <w:t>5</w:t>
            </w:r>
          </w:p>
        </w:tc>
        <w:tc>
          <w:tcPr>
            <w:tcW w:type="dxa" w:w="1152"/>
            <w:vAlign w:val="center"/>
          </w:tcPr>
          <w:p>
            <w:pPr>
              <w:spacing w:after="0"/>
            </w:pPr>
            <w:r/>
            <w:r>
              <w:rPr>
                <w:rFonts w:ascii="Arial" w:hAnsi="Arial"/>
                <w:b w:val="0"/>
                <w:sz w:val="17"/>
              </w:rPr>
              <w:t>25</w:t>
            </w:r>
          </w:p>
        </w:tc>
        <w:tc>
          <w:tcPr>
            <w:tcW w:type="dxa" w:w="1728"/>
            <w:vAlign w:val="center"/>
          </w:tcPr>
          <w:p>
            <w:pPr>
              <w:spacing w:after="0"/>
            </w:pPr>
            <w:r/>
            <w:r>
              <w:rPr>
                <w:rFonts w:ascii="Arial" w:hAnsi="Arial"/>
                <w:b w:val="0"/>
                <w:sz w:val="17"/>
              </w:rPr>
              <w:t>Critical</w:t>
            </w:r>
          </w:p>
        </w:tc>
      </w:tr>
      <w:tr>
        <w:tc>
          <w:tcPr>
            <w:tcW w:type="dxa" w:w="3456"/>
            <w:vAlign w:val="center"/>
          </w:tcPr>
          <w:p>
            <w:pPr>
              <w:spacing w:after="0"/>
            </w:pPr>
            <w:r/>
            <w:r>
              <w:rPr>
                <w:rFonts w:ascii="Arial" w:hAnsi="Arial"/>
                <w:b w:val="0"/>
                <w:sz w:val="17"/>
              </w:rPr>
              <w:t>Phishing / credential theft</w:t>
            </w:r>
          </w:p>
        </w:tc>
        <w:tc>
          <w:tcPr>
            <w:tcW w:type="dxa" w:w="1440"/>
            <w:vAlign w:val="center"/>
          </w:tcPr>
          <w:p>
            <w:pPr>
              <w:spacing w:after="0"/>
            </w:pPr>
            <w:r/>
            <w:r>
              <w:rPr>
                <w:rFonts w:ascii="Arial" w:hAnsi="Arial"/>
                <w:b w:val="0"/>
                <w:sz w:val="17"/>
              </w:rPr>
              <w:t>5</w:t>
            </w:r>
          </w:p>
        </w:tc>
        <w:tc>
          <w:tcPr>
            <w:tcW w:type="dxa" w:w="1152"/>
            <w:vAlign w:val="center"/>
          </w:tcPr>
          <w:p>
            <w:pPr>
              <w:spacing w:after="0"/>
            </w:pPr>
            <w:r/>
            <w:r>
              <w:rPr>
                <w:rFonts w:ascii="Arial" w:hAnsi="Arial"/>
                <w:b w:val="0"/>
                <w:sz w:val="17"/>
              </w:rPr>
              <w:t>4</w:t>
            </w:r>
          </w:p>
        </w:tc>
        <w:tc>
          <w:tcPr>
            <w:tcW w:type="dxa" w:w="1152"/>
            <w:vAlign w:val="center"/>
          </w:tcPr>
          <w:p>
            <w:pPr>
              <w:spacing w:after="0"/>
            </w:pPr>
            <w:r/>
            <w:r>
              <w:rPr>
                <w:rFonts w:ascii="Arial" w:hAnsi="Arial"/>
                <w:b w:val="0"/>
                <w:sz w:val="17"/>
              </w:rPr>
              <w:t>20</w:t>
            </w:r>
          </w:p>
        </w:tc>
        <w:tc>
          <w:tcPr>
            <w:tcW w:type="dxa" w:w="1728"/>
            <w:vAlign w:val="center"/>
          </w:tcPr>
          <w:p>
            <w:pPr>
              <w:spacing w:after="0"/>
            </w:pPr>
            <w:r/>
            <w:r>
              <w:rPr>
                <w:rFonts w:ascii="Arial" w:hAnsi="Arial"/>
                <w:b w:val="0"/>
                <w:sz w:val="17"/>
              </w:rPr>
              <w:t>Critical</w:t>
            </w:r>
          </w:p>
        </w:tc>
      </w:tr>
      <w:tr>
        <w:tc>
          <w:tcPr>
            <w:tcW w:type="dxa" w:w="3456"/>
            <w:vAlign w:val="center"/>
          </w:tcPr>
          <w:p>
            <w:pPr>
              <w:spacing w:after="0"/>
            </w:pPr>
            <w:r/>
            <w:r>
              <w:rPr>
                <w:rFonts w:ascii="Arial" w:hAnsi="Arial"/>
                <w:b w:val="0"/>
                <w:sz w:val="17"/>
              </w:rPr>
              <w:t>Account takeover</w:t>
            </w:r>
          </w:p>
        </w:tc>
        <w:tc>
          <w:tcPr>
            <w:tcW w:type="dxa" w:w="1440"/>
            <w:vAlign w:val="center"/>
          </w:tcPr>
          <w:p>
            <w:pPr>
              <w:spacing w:after="0"/>
            </w:pPr>
            <w:r/>
            <w:r>
              <w:rPr>
                <w:rFonts w:ascii="Arial" w:hAnsi="Arial"/>
                <w:b w:val="0"/>
                <w:sz w:val="17"/>
              </w:rPr>
              <w:t>4</w:t>
            </w:r>
          </w:p>
        </w:tc>
        <w:tc>
          <w:tcPr>
            <w:tcW w:type="dxa" w:w="1152"/>
            <w:vAlign w:val="center"/>
          </w:tcPr>
          <w:p>
            <w:pPr>
              <w:spacing w:after="0"/>
            </w:pPr>
            <w:r/>
            <w:r>
              <w:rPr>
                <w:rFonts w:ascii="Arial" w:hAnsi="Arial"/>
                <w:b w:val="0"/>
                <w:sz w:val="17"/>
              </w:rPr>
              <w:t>5</w:t>
            </w:r>
          </w:p>
        </w:tc>
        <w:tc>
          <w:tcPr>
            <w:tcW w:type="dxa" w:w="1152"/>
            <w:vAlign w:val="center"/>
          </w:tcPr>
          <w:p>
            <w:pPr>
              <w:spacing w:after="0"/>
            </w:pPr>
            <w:r/>
            <w:r>
              <w:rPr>
                <w:rFonts w:ascii="Arial" w:hAnsi="Arial"/>
                <w:b w:val="0"/>
                <w:sz w:val="17"/>
              </w:rPr>
              <w:t>20</w:t>
            </w:r>
          </w:p>
        </w:tc>
        <w:tc>
          <w:tcPr>
            <w:tcW w:type="dxa" w:w="1728"/>
            <w:vAlign w:val="center"/>
          </w:tcPr>
          <w:p>
            <w:pPr>
              <w:spacing w:after="0"/>
            </w:pPr>
            <w:r/>
            <w:r>
              <w:rPr>
                <w:rFonts w:ascii="Arial" w:hAnsi="Arial"/>
                <w:b w:val="0"/>
                <w:sz w:val="17"/>
              </w:rPr>
              <w:t>Critical</w:t>
            </w:r>
          </w:p>
        </w:tc>
      </w:tr>
      <w:tr>
        <w:tc>
          <w:tcPr>
            <w:tcW w:type="dxa" w:w="3456"/>
            <w:vAlign w:val="center"/>
          </w:tcPr>
          <w:p>
            <w:pPr>
              <w:spacing w:after="0"/>
            </w:pPr>
            <w:r/>
            <w:r>
              <w:rPr>
                <w:rFonts w:ascii="Arial" w:hAnsi="Arial"/>
                <w:b w:val="0"/>
                <w:sz w:val="17"/>
              </w:rPr>
              <w:t>Injection attack</w:t>
            </w:r>
          </w:p>
        </w:tc>
        <w:tc>
          <w:tcPr>
            <w:tcW w:type="dxa" w:w="1440"/>
            <w:vAlign w:val="center"/>
          </w:tcPr>
          <w:p>
            <w:pPr>
              <w:spacing w:after="0"/>
            </w:pPr>
            <w:r/>
            <w:r>
              <w:rPr>
                <w:rFonts w:ascii="Arial" w:hAnsi="Arial"/>
                <w:b w:val="0"/>
                <w:sz w:val="17"/>
              </w:rPr>
              <w:t>4</w:t>
            </w:r>
          </w:p>
        </w:tc>
        <w:tc>
          <w:tcPr>
            <w:tcW w:type="dxa" w:w="1152"/>
            <w:vAlign w:val="center"/>
          </w:tcPr>
          <w:p>
            <w:pPr>
              <w:spacing w:after="0"/>
            </w:pPr>
            <w:r/>
            <w:r>
              <w:rPr>
                <w:rFonts w:ascii="Arial" w:hAnsi="Arial"/>
                <w:b w:val="0"/>
                <w:sz w:val="17"/>
              </w:rPr>
              <w:t>5</w:t>
            </w:r>
          </w:p>
        </w:tc>
        <w:tc>
          <w:tcPr>
            <w:tcW w:type="dxa" w:w="1152"/>
            <w:vAlign w:val="center"/>
          </w:tcPr>
          <w:p>
            <w:pPr>
              <w:spacing w:after="0"/>
            </w:pPr>
            <w:r/>
            <w:r>
              <w:rPr>
                <w:rFonts w:ascii="Arial" w:hAnsi="Arial"/>
                <w:b w:val="0"/>
                <w:sz w:val="17"/>
              </w:rPr>
              <w:t>20</w:t>
            </w:r>
          </w:p>
        </w:tc>
        <w:tc>
          <w:tcPr>
            <w:tcW w:type="dxa" w:w="1728"/>
            <w:vAlign w:val="center"/>
          </w:tcPr>
          <w:p>
            <w:pPr>
              <w:spacing w:after="0"/>
            </w:pPr>
            <w:r/>
            <w:r>
              <w:rPr>
                <w:rFonts w:ascii="Arial" w:hAnsi="Arial"/>
                <w:b w:val="0"/>
                <w:sz w:val="17"/>
              </w:rPr>
              <w:t>Critical</w:t>
            </w:r>
          </w:p>
        </w:tc>
      </w:tr>
      <w:tr>
        <w:tc>
          <w:tcPr>
            <w:tcW w:type="dxa" w:w="3456"/>
            <w:vAlign w:val="center"/>
          </w:tcPr>
          <w:p>
            <w:pPr>
              <w:spacing w:after="0"/>
            </w:pPr>
            <w:r/>
            <w:r>
              <w:rPr>
                <w:rFonts w:ascii="Arial" w:hAnsi="Arial"/>
                <w:b w:val="0"/>
                <w:sz w:val="17"/>
              </w:rPr>
              <w:t>DDoS / service disruption</w:t>
            </w:r>
          </w:p>
        </w:tc>
        <w:tc>
          <w:tcPr>
            <w:tcW w:type="dxa" w:w="1440"/>
            <w:vAlign w:val="center"/>
          </w:tcPr>
          <w:p>
            <w:pPr>
              <w:spacing w:after="0"/>
            </w:pPr>
            <w:r/>
            <w:r>
              <w:rPr>
                <w:rFonts w:ascii="Arial" w:hAnsi="Arial"/>
                <w:b w:val="0"/>
                <w:sz w:val="17"/>
              </w:rPr>
              <w:t>4</w:t>
            </w:r>
          </w:p>
        </w:tc>
        <w:tc>
          <w:tcPr>
            <w:tcW w:type="dxa" w:w="1152"/>
            <w:vAlign w:val="center"/>
          </w:tcPr>
          <w:p>
            <w:pPr>
              <w:spacing w:after="0"/>
            </w:pPr>
            <w:r/>
            <w:r>
              <w:rPr>
                <w:rFonts w:ascii="Arial" w:hAnsi="Arial"/>
                <w:b w:val="0"/>
                <w:sz w:val="17"/>
              </w:rPr>
              <w:t>4</w:t>
            </w:r>
          </w:p>
        </w:tc>
        <w:tc>
          <w:tcPr>
            <w:tcW w:type="dxa" w:w="1152"/>
            <w:vAlign w:val="center"/>
          </w:tcPr>
          <w:p>
            <w:pPr>
              <w:spacing w:after="0"/>
            </w:pPr>
            <w:r/>
            <w:r>
              <w:rPr>
                <w:rFonts w:ascii="Arial" w:hAnsi="Arial"/>
                <w:b w:val="0"/>
                <w:sz w:val="17"/>
              </w:rPr>
              <w:t>16</w:t>
            </w:r>
          </w:p>
        </w:tc>
        <w:tc>
          <w:tcPr>
            <w:tcW w:type="dxa" w:w="1728"/>
            <w:vAlign w:val="center"/>
          </w:tcPr>
          <w:p>
            <w:pPr>
              <w:spacing w:after="0"/>
            </w:pPr>
            <w:r/>
            <w:r>
              <w:rPr>
                <w:rFonts w:ascii="Arial" w:hAnsi="Arial"/>
                <w:b w:val="0"/>
                <w:sz w:val="17"/>
              </w:rPr>
              <w:t>High</w:t>
            </w:r>
          </w:p>
        </w:tc>
      </w:tr>
      <w:tr>
        <w:tc>
          <w:tcPr>
            <w:tcW w:type="dxa" w:w="3456"/>
            <w:vAlign w:val="center"/>
          </w:tcPr>
          <w:p>
            <w:pPr>
              <w:spacing w:after="0"/>
            </w:pPr>
            <w:r/>
            <w:r>
              <w:rPr>
                <w:rFonts w:ascii="Arial" w:hAnsi="Arial"/>
                <w:b w:val="0"/>
                <w:sz w:val="17"/>
              </w:rPr>
              <w:t>Malware / ransomware</w:t>
            </w:r>
          </w:p>
        </w:tc>
        <w:tc>
          <w:tcPr>
            <w:tcW w:type="dxa" w:w="1440"/>
            <w:vAlign w:val="center"/>
          </w:tcPr>
          <w:p>
            <w:pPr>
              <w:spacing w:after="0"/>
            </w:pPr>
            <w:r/>
            <w:r>
              <w:rPr>
                <w:rFonts w:ascii="Arial" w:hAnsi="Arial"/>
                <w:b w:val="0"/>
                <w:sz w:val="17"/>
              </w:rPr>
              <w:t>3</w:t>
            </w:r>
          </w:p>
        </w:tc>
        <w:tc>
          <w:tcPr>
            <w:tcW w:type="dxa" w:w="1152"/>
            <w:vAlign w:val="center"/>
          </w:tcPr>
          <w:p>
            <w:pPr>
              <w:spacing w:after="0"/>
            </w:pPr>
            <w:r/>
            <w:r>
              <w:rPr>
                <w:rFonts w:ascii="Arial" w:hAnsi="Arial"/>
                <w:b w:val="0"/>
                <w:sz w:val="17"/>
              </w:rPr>
              <w:t>5</w:t>
            </w:r>
          </w:p>
        </w:tc>
        <w:tc>
          <w:tcPr>
            <w:tcW w:type="dxa" w:w="1152"/>
            <w:vAlign w:val="center"/>
          </w:tcPr>
          <w:p>
            <w:pPr>
              <w:spacing w:after="0"/>
            </w:pPr>
            <w:r/>
            <w:r>
              <w:rPr>
                <w:rFonts w:ascii="Arial" w:hAnsi="Arial"/>
                <w:b w:val="0"/>
                <w:sz w:val="17"/>
              </w:rPr>
              <w:t>15</w:t>
            </w:r>
          </w:p>
        </w:tc>
        <w:tc>
          <w:tcPr>
            <w:tcW w:type="dxa" w:w="1728"/>
            <w:vAlign w:val="center"/>
          </w:tcPr>
          <w:p>
            <w:pPr>
              <w:spacing w:after="0"/>
            </w:pPr>
            <w:r/>
            <w:r>
              <w:rPr>
                <w:rFonts w:ascii="Arial" w:hAnsi="Arial"/>
                <w:b w:val="0"/>
                <w:sz w:val="17"/>
              </w:rPr>
              <w:t>High</w:t>
            </w:r>
          </w:p>
        </w:tc>
      </w:tr>
      <w:tr>
        <w:tc>
          <w:tcPr>
            <w:tcW w:type="dxa" w:w="3456"/>
            <w:vAlign w:val="center"/>
          </w:tcPr>
          <w:p>
            <w:pPr>
              <w:spacing w:after="0"/>
            </w:pPr>
            <w:r/>
            <w:r>
              <w:rPr>
                <w:rFonts w:ascii="Arial" w:hAnsi="Arial"/>
                <w:b w:val="0"/>
                <w:sz w:val="17"/>
              </w:rPr>
              <w:t>Insider threat</w:t>
            </w:r>
          </w:p>
        </w:tc>
        <w:tc>
          <w:tcPr>
            <w:tcW w:type="dxa" w:w="1440"/>
            <w:vAlign w:val="center"/>
          </w:tcPr>
          <w:p>
            <w:pPr>
              <w:spacing w:after="0"/>
            </w:pPr>
            <w:r/>
            <w:r>
              <w:rPr>
                <w:rFonts w:ascii="Arial" w:hAnsi="Arial"/>
                <w:b w:val="0"/>
                <w:sz w:val="17"/>
              </w:rPr>
              <w:t>3</w:t>
            </w:r>
          </w:p>
        </w:tc>
        <w:tc>
          <w:tcPr>
            <w:tcW w:type="dxa" w:w="1152"/>
            <w:vAlign w:val="center"/>
          </w:tcPr>
          <w:p>
            <w:pPr>
              <w:spacing w:after="0"/>
            </w:pPr>
            <w:r/>
            <w:r>
              <w:rPr>
                <w:rFonts w:ascii="Arial" w:hAnsi="Arial"/>
                <w:b w:val="0"/>
                <w:sz w:val="17"/>
              </w:rPr>
              <w:t>5</w:t>
            </w:r>
          </w:p>
        </w:tc>
        <w:tc>
          <w:tcPr>
            <w:tcW w:type="dxa" w:w="1152"/>
            <w:vAlign w:val="center"/>
          </w:tcPr>
          <w:p>
            <w:pPr>
              <w:spacing w:after="0"/>
            </w:pPr>
            <w:r/>
            <w:r>
              <w:rPr>
                <w:rFonts w:ascii="Arial" w:hAnsi="Arial"/>
                <w:b w:val="0"/>
                <w:sz w:val="17"/>
              </w:rPr>
              <w:t>15</w:t>
            </w:r>
          </w:p>
        </w:tc>
        <w:tc>
          <w:tcPr>
            <w:tcW w:type="dxa" w:w="1728"/>
            <w:vAlign w:val="center"/>
          </w:tcPr>
          <w:p>
            <w:pPr>
              <w:spacing w:after="0"/>
            </w:pPr>
            <w:r/>
            <w:r>
              <w:rPr>
                <w:rFonts w:ascii="Arial" w:hAnsi="Arial"/>
                <w:b w:val="0"/>
                <w:sz w:val="17"/>
              </w:rPr>
              <w:t>High</w:t>
            </w:r>
          </w:p>
        </w:tc>
      </w:tr>
      <w:tr>
        <w:tc>
          <w:tcPr>
            <w:tcW w:type="dxa" w:w="3456"/>
            <w:vAlign w:val="center"/>
          </w:tcPr>
          <w:p>
            <w:pPr>
              <w:spacing w:after="0"/>
            </w:pPr>
            <w:r/>
            <w:r>
              <w:rPr>
                <w:rFonts w:ascii="Arial" w:hAnsi="Arial"/>
                <w:b w:val="0"/>
                <w:sz w:val="17"/>
              </w:rPr>
              <w:t>Outdated software / misconfiguration</w:t>
            </w:r>
          </w:p>
        </w:tc>
        <w:tc>
          <w:tcPr>
            <w:tcW w:type="dxa" w:w="1440"/>
            <w:vAlign w:val="center"/>
          </w:tcPr>
          <w:p>
            <w:pPr>
              <w:spacing w:after="0"/>
            </w:pPr>
            <w:r/>
            <w:r>
              <w:rPr>
                <w:rFonts w:ascii="Arial" w:hAnsi="Arial"/>
                <w:b w:val="0"/>
                <w:sz w:val="17"/>
              </w:rPr>
              <w:t>4</w:t>
            </w:r>
          </w:p>
        </w:tc>
        <w:tc>
          <w:tcPr>
            <w:tcW w:type="dxa" w:w="1152"/>
            <w:vAlign w:val="center"/>
          </w:tcPr>
          <w:p>
            <w:pPr>
              <w:spacing w:after="0"/>
            </w:pPr>
            <w:r/>
            <w:r>
              <w:rPr>
                <w:rFonts w:ascii="Arial" w:hAnsi="Arial"/>
                <w:b w:val="0"/>
                <w:sz w:val="17"/>
              </w:rPr>
              <w:t>4</w:t>
            </w:r>
          </w:p>
        </w:tc>
        <w:tc>
          <w:tcPr>
            <w:tcW w:type="dxa" w:w="1152"/>
            <w:vAlign w:val="center"/>
          </w:tcPr>
          <w:p>
            <w:pPr>
              <w:spacing w:after="0"/>
            </w:pPr>
            <w:r/>
            <w:r>
              <w:rPr>
                <w:rFonts w:ascii="Arial" w:hAnsi="Arial"/>
                <w:b w:val="0"/>
                <w:sz w:val="17"/>
              </w:rPr>
              <w:t>16</w:t>
            </w:r>
          </w:p>
        </w:tc>
        <w:tc>
          <w:tcPr>
            <w:tcW w:type="dxa" w:w="1728"/>
            <w:vAlign w:val="center"/>
          </w:tcPr>
          <w:p>
            <w:pPr>
              <w:spacing w:after="0"/>
            </w:pPr>
            <w:r/>
            <w:r>
              <w:rPr>
                <w:rFonts w:ascii="Arial" w:hAnsi="Arial"/>
                <w:b w:val="0"/>
                <w:sz w:val="17"/>
              </w:rPr>
              <w:t>High</w:t>
            </w:r>
          </w:p>
        </w:tc>
      </w:tr>
    </w:tbl>
    <w:p/>
    <w:p>
      <w:pPr>
        <w:pStyle w:val="Heading2"/>
        <w:keepNext/>
      </w:pPr>
      <w:r>
        <w:t>12.1 Priority Order</w:t>
      </w:r>
    </w:p>
    <w:p>
      <w:pPr>
        <w:pStyle w:val="ListNumber"/>
        <w:spacing w:after="60"/>
      </w:pPr>
      <w:r>
        <w:t>Protect sensitive data using encryption, access control, monitoring and data minimization.</w:t>
      </w:r>
    </w:p>
    <w:p>
      <w:pPr>
        <w:pStyle w:val="ListNumber"/>
        <w:spacing w:after="60"/>
      </w:pPr>
      <w:r>
        <w:t>Strengthen identity security with MFA, secure sessions and account monitoring.</w:t>
      </w:r>
    </w:p>
    <w:p>
      <w:pPr>
        <w:pStyle w:val="ListNumber"/>
        <w:spacing w:after="60"/>
      </w:pPr>
      <w:r>
        <w:t>Secure applications against injection, broken access control and insecure configuration.</w:t>
      </w:r>
    </w:p>
    <w:p>
      <w:pPr>
        <w:pStyle w:val="ListNumber"/>
        <w:spacing w:after="60"/>
      </w:pPr>
      <w:r>
        <w:t>Maintain availability through DDoS protection, resilience and continuity planning.</w:t>
      </w:r>
    </w:p>
    <w:p>
      <w:pPr>
        <w:pStyle w:val="ListNumber"/>
        <w:spacing w:after="60"/>
      </w:pPr>
      <w:r>
        <w:t>Reduce malware risk through patching, endpoint protection, segmentation and protected backups.</w:t>
      </w:r>
    </w:p>
    <w:p>
      <w:pPr>
        <w:pStyle w:val="ListNumber"/>
        <w:spacing w:after="60"/>
      </w:pPr>
      <w:r>
        <w:t>Control insider risk through least privilege, separation of duties and audit logging.</w:t>
      </w:r>
    </w:p>
    <w:p>
      <w:pPr>
        <w:pStyle w:val="ListNumber"/>
        <w:spacing w:after="60"/>
      </w:pPr>
      <w:r>
        <w:t>Maintain secure configurations and a disciplined vulnerability-management process.</w:t>
      </w:r>
    </w:p>
    <w:p>
      <w:pPr>
        <w:pStyle w:val="Heading2"/>
        <w:keepNext/>
      </w:pPr>
      <w:r>
        <w:t>12.2 Risk Treatment Options</w:t>
      </w:r>
    </w:p>
    <w:p>
      <w:r>
        <w:t>Risk can be reduced through controls, transferred through appropriate contracts or insurance where applicable, avoided by changing an unsafe process, or accepted when the remaining risk is low and formally approved. For public digital services, high and critical risks generally require active mitigation rather than passive acceptance.</w:t>
      </w:r>
    </w:p>
    <w:p>
      <w:r>
        <w:br w:type="page"/>
      </w:r>
    </w:p>
    <w:p>
      <w:pPr>
        <w:pStyle w:val="Title"/>
        <w:jc w:val="center"/>
      </w:pPr>
      <w:r>
        <w:t>13. Mitigation Strategy and Implementation Roadmap</w:t>
      </w:r>
    </w:p>
    <w:p>
      <w:r>
        <w:t>A cybersecurity program should not depend on one technology. E-governance security is stronger when governance, people, processes and technology work together. NIST CSF 2.0 provides a flexible risk-management structure that can be adapted to organizational needs. [1]</w:t>
      </w:r>
    </w:p>
    <w:tbl>
      <w:tblPr>
        <w:tblStyle w:val="TableGrid"/>
        <w:tblW w:type="auto" w:w="0"/>
        <w:jc w:val="center"/>
        <w:tblLook w:firstColumn="1" w:firstRow="1" w:lastColumn="0" w:lastRow="0" w:noHBand="0" w:noVBand="1" w:val="04A0"/>
      </w:tblPr>
      <w:tblGrid>
        <w:gridCol w:w="3264"/>
        <w:gridCol w:w="3264"/>
        <w:gridCol w:w="3264"/>
      </w:tblGrid>
      <w:tr>
        <w:tc>
          <w:tcPr>
            <w:tcW w:type="dxa" w:w="1440"/>
            <w:vAlign w:val="center"/>
            <w:shd w:fill="E8F1FA"/>
          </w:tcPr>
          <w:p>
            <w:pPr>
              <w:spacing w:after="0"/>
            </w:pPr>
            <w:r/>
            <w:r>
              <w:rPr>
                <w:rFonts w:ascii="Arial" w:hAnsi="Arial"/>
                <w:b/>
                <w:sz w:val="18"/>
              </w:rPr>
              <w:t>Timeframe</w:t>
            </w:r>
          </w:p>
        </w:tc>
        <w:tc>
          <w:tcPr>
            <w:tcW w:type="dxa" w:w="6048"/>
            <w:vAlign w:val="center"/>
            <w:shd w:fill="E8F1FA"/>
          </w:tcPr>
          <w:p>
            <w:pPr>
              <w:spacing w:after="0"/>
            </w:pPr>
            <w:r/>
            <w:r>
              <w:rPr>
                <w:rFonts w:ascii="Arial" w:hAnsi="Arial"/>
                <w:b/>
                <w:sz w:val="18"/>
              </w:rPr>
              <w:t>Priority Actions</w:t>
            </w:r>
          </w:p>
        </w:tc>
        <w:tc>
          <w:tcPr>
            <w:tcW w:type="dxa" w:w="2448"/>
            <w:vAlign w:val="center"/>
            <w:shd w:fill="E8F1FA"/>
          </w:tcPr>
          <w:p>
            <w:pPr>
              <w:spacing w:after="0"/>
            </w:pPr>
            <w:r/>
            <w:r>
              <w:rPr>
                <w:rFonts w:ascii="Arial" w:hAnsi="Arial"/>
                <w:b/>
                <w:sz w:val="18"/>
              </w:rPr>
              <w:t>Expected Outcome</w:t>
            </w:r>
          </w:p>
        </w:tc>
      </w:tr>
      <w:tr>
        <w:tc>
          <w:tcPr>
            <w:tcW w:type="dxa" w:w="1440"/>
            <w:vAlign w:val="center"/>
          </w:tcPr>
          <w:p>
            <w:pPr>
              <w:spacing w:after="0"/>
            </w:pPr>
            <w:r/>
            <w:r>
              <w:rPr>
                <w:rFonts w:ascii="Arial" w:hAnsi="Arial"/>
                <w:b w:val="0"/>
                <w:sz w:val="17"/>
              </w:rPr>
              <w:t>0–30 days</w:t>
            </w:r>
          </w:p>
        </w:tc>
        <w:tc>
          <w:tcPr>
            <w:tcW w:type="dxa" w:w="6048"/>
            <w:vAlign w:val="center"/>
          </w:tcPr>
          <w:p>
            <w:pPr>
              <w:spacing w:after="0"/>
            </w:pPr>
            <w:r/>
            <w:r>
              <w:rPr>
                <w:rFonts w:ascii="Arial" w:hAnsi="Arial"/>
                <w:b w:val="0"/>
                <w:sz w:val="17"/>
              </w:rPr>
              <w:t>Inventory critical systems; enable MFA for privileged users; review exposed services; confirm backups; identify high-risk vulnerabilities.</w:t>
            </w:r>
          </w:p>
        </w:tc>
        <w:tc>
          <w:tcPr>
            <w:tcW w:type="dxa" w:w="2448"/>
            <w:vAlign w:val="center"/>
          </w:tcPr>
          <w:p>
            <w:pPr>
              <w:spacing w:after="0"/>
            </w:pPr>
            <w:r/>
            <w:r>
              <w:rPr>
                <w:rFonts w:ascii="Arial" w:hAnsi="Arial"/>
                <w:b w:val="0"/>
                <w:sz w:val="17"/>
              </w:rPr>
              <w:t>Immediate reduction of obvious exposure.</w:t>
            </w:r>
          </w:p>
        </w:tc>
      </w:tr>
      <w:tr>
        <w:tc>
          <w:tcPr>
            <w:tcW w:type="dxa" w:w="1440"/>
            <w:vAlign w:val="center"/>
          </w:tcPr>
          <w:p>
            <w:pPr>
              <w:spacing w:after="0"/>
            </w:pPr>
            <w:r/>
            <w:r>
              <w:rPr>
                <w:rFonts w:ascii="Arial" w:hAnsi="Arial"/>
                <w:b w:val="0"/>
                <w:sz w:val="17"/>
              </w:rPr>
              <w:t>31–90 days</w:t>
            </w:r>
          </w:p>
        </w:tc>
        <w:tc>
          <w:tcPr>
            <w:tcW w:type="dxa" w:w="6048"/>
            <w:vAlign w:val="center"/>
          </w:tcPr>
          <w:p>
            <w:pPr>
              <w:spacing w:after="0"/>
            </w:pPr>
            <w:r/>
            <w:r>
              <w:rPr>
                <w:rFonts w:ascii="Arial" w:hAnsi="Arial"/>
                <w:b w:val="0"/>
                <w:sz w:val="17"/>
              </w:rPr>
              <w:t>Patch critical systems; improve access control; strengthen logging; conduct phishing awareness; review third-party access.</w:t>
            </w:r>
          </w:p>
        </w:tc>
        <w:tc>
          <w:tcPr>
            <w:tcW w:type="dxa" w:w="2448"/>
            <w:vAlign w:val="center"/>
          </w:tcPr>
          <w:p>
            <w:pPr>
              <w:spacing w:after="0"/>
            </w:pPr>
            <w:r/>
            <w:r>
              <w:rPr>
                <w:rFonts w:ascii="Arial" w:hAnsi="Arial"/>
                <w:b w:val="0"/>
                <w:sz w:val="17"/>
              </w:rPr>
              <w:t>Improved identity, application and operational security.</w:t>
            </w:r>
          </w:p>
        </w:tc>
      </w:tr>
      <w:tr>
        <w:tc>
          <w:tcPr>
            <w:tcW w:type="dxa" w:w="1440"/>
            <w:vAlign w:val="center"/>
          </w:tcPr>
          <w:p>
            <w:pPr>
              <w:spacing w:after="0"/>
            </w:pPr>
            <w:r/>
            <w:r>
              <w:rPr>
                <w:rFonts w:ascii="Arial" w:hAnsi="Arial"/>
                <w:b w:val="0"/>
                <w:sz w:val="17"/>
              </w:rPr>
              <w:t>3–6 months</w:t>
            </w:r>
          </w:p>
        </w:tc>
        <w:tc>
          <w:tcPr>
            <w:tcW w:type="dxa" w:w="6048"/>
            <w:vAlign w:val="center"/>
          </w:tcPr>
          <w:p>
            <w:pPr>
              <w:spacing w:after="0"/>
            </w:pPr>
            <w:r/>
            <w:r>
              <w:rPr>
                <w:rFonts w:ascii="Arial" w:hAnsi="Arial"/>
                <w:b w:val="0"/>
                <w:sz w:val="17"/>
              </w:rPr>
              <w:t>Perform security assessments; improve segmentation; implement stronger monitoring; test incident response and recovery.</w:t>
            </w:r>
          </w:p>
        </w:tc>
        <w:tc>
          <w:tcPr>
            <w:tcW w:type="dxa" w:w="2448"/>
            <w:vAlign w:val="center"/>
          </w:tcPr>
          <w:p>
            <w:pPr>
              <w:spacing w:after="0"/>
            </w:pPr>
            <w:r/>
            <w:r>
              <w:rPr>
                <w:rFonts w:ascii="Arial" w:hAnsi="Arial"/>
                <w:b w:val="0"/>
                <w:sz w:val="17"/>
              </w:rPr>
              <w:t>Better detection and resilience.</w:t>
            </w:r>
          </w:p>
        </w:tc>
      </w:tr>
      <w:tr>
        <w:tc>
          <w:tcPr>
            <w:tcW w:type="dxa" w:w="1440"/>
            <w:vAlign w:val="center"/>
          </w:tcPr>
          <w:p>
            <w:pPr>
              <w:spacing w:after="0"/>
            </w:pPr>
            <w:r/>
            <w:r>
              <w:rPr>
                <w:rFonts w:ascii="Arial" w:hAnsi="Arial"/>
                <w:b w:val="0"/>
                <w:sz w:val="17"/>
              </w:rPr>
              <w:t>6–12 months</w:t>
            </w:r>
          </w:p>
        </w:tc>
        <w:tc>
          <w:tcPr>
            <w:tcW w:type="dxa" w:w="6048"/>
            <w:vAlign w:val="center"/>
          </w:tcPr>
          <w:p>
            <w:pPr>
              <w:spacing w:after="0"/>
            </w:pPr>
            <w:r/>
            <w:r>
              <w:rPr>
                <w:rFonts w:ascii="Arial" w:hAnsi="Arial"/>
                <w:b w:val="0"/>
                <w:sz w:val="17"/>
              </w:rPr>
              <w:t>Establish continuous risk management, secure SDLC, regular audits, metrics and periodic exercises.</w:t>
            </w:r>
          </w:p>
        </w:tc>
        <w:tc>
          <w:tcPr>
            <w:tcW w:type="dxa" w:w="2448"/>
            <w:vAlign w:val="center"/>
          </w:tcPr>
          <w:p>
            <w:pPr>
              <w:spacing w:after="0"/>
            </w:pPr>
            <w:r/>
            <w:r>
              <w:rPr>
                <w:rFonts w:ascii="Arial" w:hAnsi="Arial"/>
                <w:b w:val="0"/>
                <w:sz w:val="17"/>
              </w:rPr>
              <w:t>Sustainable cybersecurity capability.</w:t>
            </w:r>
          </w:p>
        </w:tc>
      </w:tr>
    </w:tbl>
    <w:p/>
    <w:p>
      <w:pPr>
        <w:pStyle w:val="Heading2"/>
        <w:keepNext/>
      </w:pPr>
      <w:r>
        <w:t>13.1 Governance Controls</w:t>
      </w:r>
    </w:p>
    <w:p>
      <w:pPr>
        <w:pStyle w:val="ListBullet"/>
        <w:spacing w:after="60"/>
      </w:pPr>
      <w:r>
        <w:t>Assign clear cybersecurity responsibilities and escalation paths.</w:t>
      </w:r>
    </w:p>
    <w:p>
      <w:pPr>
        <w:pStyle w:val="ListBullet"/>
        <w:spacing w:after="60"/>
      </w:pPr>
      <w:r>
        <w:t>Maintain security policies, standards and procedures.</w:t>
      </w:r>
    </w:p>
    <w:p>
      <w:pPr>
        <w:pStyle w:val="ListBullet"/>
        <w:spacing w:after="60"/>
      </w:pPr>
      <w:r>
        <w:t>Keep an up-to-date inventory of systems and data.</w:t>
      </w:r>
    </w:p>
    <w:p>
      <w:pPr>
        <w:pStyle w:val="ListBullet"/>
        <w:spacing w:after="60"/>
      </w:pPr>
      <w:r>
        <w:t>Classify information according to sensitivity.</w:t>
      </w:r>
    </w:p>
    <w:p>
      <w:pPr>
        <w:pStyle w:val="ListBullet"/>
        <w:spacing w:after="60"/>
      </w:pPr>
      <w:r>
        <w:t>Conduct periodic risk assessments and security reviews.</w:t>
      </w:r>
    </w:p>
    <w:p>
      <w:pPr>
        <w:pStyle w:val="ListBullet"/>
        <w:spacing w:after="60"/>
      </w:pPr>
      <w:r>
        <w:t>Track security findings until remediation is verified.</w:t>
      </w:r>
    </w:p>
    <w:p>
      <w:pPr>
        <w:pStyle w:val="Heading2"/>
        <w:keepNext/>
      </w:pPr>
      <w:r>
        <w:t>13.2 Technical Controls</w:t>
      </w:r>
    </w:p>
    <w:p>
      <w:pPr>
        <w:pStyle w:val="ListBullet"/>
        <w:spacing w:after="60"/>
      </w:pPr>
      <w:r>
        <w:t>MFA and strong identity management.</w:t>
      </w:r>
    </w:p>
    <w:p>
      <w:pPr>
        <w:pStyle w:val="ListBullet"/>
        <w:spacing w:after="60"/>
      </w:pPr>
      <w:r>
        <w:t>Encryption in transit and at rest.</w:t>
      </w:r>
    </w:p>
    <w:p>
      <w:pPr>
        <w:pStyle w:val="ListBullet"/>
        <w:spacing w:after="60"/>
      </w:pPr>
      <w:r>
        <w:t>Secure coding, code review and vulnerability testing.</w:t>
      </w:r>
    </w:p>
    <w:p>
      <w:pPr>
        <w:pStyle w:val="ListBullet"/>
        <w:spacing w:after="60"/>
      </w:pPr>
      <w:r>
        <w:t>Network segmentation and firewall controls.</w:t>
      </w:r>
    </w:p>
    <w:p>
      <w:pPr>
        <w:pStyle w:val="ListBullet"/>
        <w:spacing w:after="60"/>
      </w:pPr>
      <w:r>
        <w:t>Endpoint protection and patch management.</w:t>
      </w:r>
    </w:p>
    <w:p>
      <w:pPr>
        <w:pStyle w:val="ListBullet"/>
        <w:spacing w:after="60"/>
      </w:pPr>
      <w:r>
        <w:t>Centralized logging and security monitoring.</w:t>
      </w:r>
    </w:p>
    <w:p>
      <w:pPr>
        <w:pStyle w:val="ListBullet"/>
        <w:spacing w:after="60"/>
      </w:pPr>
      <w:r>
        <w:t>Protected backups and tested recovery.</w:t>
      </w:r>
    </w:p>
    <w:p>
      <w:pPr>
        <w:pStyle w:val="Heading2"/>
        <w:keepNext/>
      </w:pPr>
      <w:r>
        <w:t>13.3 People and Process Controls</w:t>
      </w:r>
    </w:p>
    <w:p>
      <w:pPr>
        <w:pStyle w:val="ListBullet"/>
        <w:spacing w:after="60"/>
      </w:pPr>
      <w:r>
        <w:t>Security awareness training for staff.</w:t>
      </w:r>
    </w:p>
    <w:p>
      <w:pPr>
        <w:pStyle w:val="ListBullet"/>
        <w:spacing w:after="60"/>
      </w:pPr>
      <w:r>
        <w:t>Incident reporting procedures.</w:t>
      </w:r>
    </w:p>
    <w:p>
      <w:pPr>
        <w:pStyle w:val="ListBullet"/>
        <w:spacing w:after="60"/>
      </w:pPr>
      <w:r>
        <w:t>Joiner-mover-leaver access processes.</w:t>
      </w:r>
    </w:p>
    <w:p>
      <w:pPr>
        <w:pStyle w:val="ListBullet"/>
        <w:spacing w:after="60"/>
      </w:pPr>
      <w:r>
        <w:t>Vendor and third-party security requirements.</w:t>
      </w:r>
    </w:p>
    <w:p>
      <w:pPr>
        <w:pStyle w:val="ListBullet"/>
        <w:spacing w:after="60"/>
      </w:pPr>
      <w:r>
        <w:t>Regular tabletop exercises and recovery drills.</w:t>
      </w:r>
    </w:p>
    <w:p>
      <w:r>
        <w:br w:type="page"/>
      </w:r>
    </w:p>
    <w:p>
      <w:pPr>
        <w:pStyle w:val="Title"/>
        <w:jc w:val="center"/>
      </w:pPr>
      <w:r>
        <w:t>14. Conclusion and Reflection</w:t>
      </w:r>
    </w:p>
    <w:p>
      <w:r>
        <w:t>This risk assessment demonstrates that cybersecurity for e-governance is a multi-layered problem. A public digital service must protect information, prevent unauthorized activity, remain available and recover quickly when incidents occur. The assessment identified eight major risks and evaluated them using a simple likelihood-and-impact model.</w:t>
      </w:r>
    </w:p>
    <w:p>
      <w:r>
        <w:t>The highest-priority risks in the illustrative assessment were data breach, phishing and credential theft, account takeover, and injection. These risks can interact with one another. For example, a phishing incident may lead to account takeover, which may then expose sensitive data. Likewise, an unpatched application may allow an attacker to obtain unauthorized access to a database.</w:t>
      </w:r>
    </w:p>
    <w:p>
      <w:r>
        <w:t>The recommended approach is defense in depth. Strong authentication should be combined with least privilege, secure software development, patching, encryption, monitoring, network controls, user awareness, backups and tested incident-response procedures. No single control can eliminate cyber risk completely.</w:t>
      </w:r>
    </w:p>
    <w:p>
      <w:r>
        <w:t>The methodology used in this report was intentionally simple so that risks could be compared consistently. A real assessment would require additional information such as system architecture, asset criticality, existing controls, threat intelligence, vulnerability results, business impact, regulatory obligations and incident history. Therefore, the ratings in this report should be treated as illustrative rather than as an audit finding.</w:t>
      </w:r>
    </w:p>
    <w:p>
      <w:r>
        <w:t>One challenge in assessing a hypothetical e-governance system is the absence of internal information. Public sources provide useful standards and guidance, but they cannot reveal the actual configuration or security posture of a particular organization. Another challenge is that cyber threats change over time. Continuous monitoring and periodic reassessment are therefore necessary.</w:t>
      </w:r>
    </w:p>
    <w:p>
      <w:r>
        <w:t>Overall, the assessment supports the conclusion that cybersecurity should be integrated into the full lifecycle of e-governance services—from design and procurement through development, deployment, operations, incident response and retirement. This is consistent with the risk-management principles of NIST CSF 2.0 and the application-security focus of OWASP, while CERT-In guidance provides an important Indian government context. [1][2][3]</w:t>
      </w:r>
    </w:p>
    <w:p>
      <w:r>
        <w:br w:type="page"/>
      </w:r>
    </w:p>
    <w:p>
      <w:pPr>
        <w:pStyle w:val="Title"/>
        <w:jc w:val="center"/>
      </w:pPr>
      <w:r>
        <w:t>15. References</w:t>
      </w:r>
    </w:p>
    <w:p>
      <w:pPr>
        <w:spacing w:after="180"/>
      </w:pPr>
      <w:r>
        <w:rPr>
          <w:b/>
        </w:rPr>
        <w:t>[1] National Institute of Standards and Technology (NIST). The NIST Cybersecurity Framework (CSF) 2.0, 2024.</w:t>
      </w:r>
    </w:p>
    <w:p>
      <w:pPr>
        <w:spacing w:after="200"/>
        <w:ind w:left="432"/>
      </w:pPr>
      <w:r>
        <w:t>https://www.nist.gov/publications/nist-cybersecurity-framework-csf-20</w:t>
      </w:r>
    </w:p>
    <w:p>
      <w:pPr>
        <w:spacing w:after="180"/>
      </w:pPr>
      <w:r>
        <w:rPr>
          <w:b/>
        </w:rPr>
        <w:t>[2] OWASP Foundation. OWASP Top 10:2021 – Web Application Security Risks.</w:t>
      </w:r>
    </w:p>
    <w:p>
      <w:pPr>
        <w:spacing w:after="200"/>
        <w:ind w:left="432"/>
      </w:pPr>
      <w:r>
        <w:t>https://owasp.org/Top10/2021/</w:t>
      </w:r>
    </w:p>
    <w:p>
      <w:pPr>
        <w:spacing w:after="180"/>
      </w:pPr>
      <w:r>
        <w:rPr>
          <w:b/>
        </w:rPr>
        <w:t>[3] Indian Computer Emergency Response Team (CERT-In), Ministry of Electronics and Information Technology, Government of India. Guidelines on Information Security Practices for Government Entities, 2023.</w:t>
      </w:r>
    </w:p>
    <w:p>
      <w:pPr>
        <w:spacing w:after="200"/>
        <w:ind w:left="432"/>
      </w:pPr>
      <w:r>
        <w:t>https://www.cert-in.org.in/PDF/guidelinesgovtentities.pdf</w:t>
      </w:r>
    </w:p>
    <w:p>
      <w:pPr>
        <w:spacing w:after="180"/>
      </w:pPr>
      <w:r>
        <w:rPr>
          <w:b/>
        </w:rPr>
        <w:t>[4] Cybersecurity and Infrastructure Security Agency (CISA), FBI and MS-ISAC. Understanding and Responding to Distributed Denial-of-Service Attacks.</w:t>
      </w:r>
    </w:p>
    <w:p>
      <w:pPr>
        <w:spacing w:after="200"/>
        <w:ind w:left="432"/>
      </w:pPr>
      <w:r>
        <w:t>https://www.cisa.gov/sites/default/files/publications/understanding-and-responding-to-ddos-attacks_508c.pdf</w:t>
      </w:r>
    </w:p>
    <w:p>
      <w:pPr>
        <w:spacing w:after="180"/>
      </w:pPr>
      <w:r>
        <w:rPr>
          <w:b/>
        </w:rPr>
        <w:t>[5] CERT-In. Guidelines for Secure Application Design, Development, Implementation &amp; Operations, 2024.</w:t>
      </w:r>
    </w:p>
    <w:p>
      <w:pPr>
        <w:spacing w:after="200"/>
        <w:ind w:left="432"/>
      </w:pPr>
      <w:r>
        <w:t>https://www.cert-in.org.in/s2cMainServlet?pageid=GUIDLNVIEW01</w:t>
      </w:r>
    </w:p>
    <w:p>
      <w:r>
        <w:t>Accessed: 29 August 2026.</w:t>
      </w:r>
    </w:p>
    <w:p>
      <w:pPr>
        <w:pStyle w:val="Heading2"/>
        <w:keepNext/>
      </w:pPr>
      <w:r>
        <w:t>Suggested Search Terms for Further Reading</w:t>
      </w:r>
    </w:p>
    <w:p>
      <w:pPr>
        <w:pStyle w:val="ListBullet"/>
        <w:spacing w:after="60"/>
      </w:pPr>
      <w:r>
        <w:t>NIST CSF 2.0 cybersecurity risk management</w:t>
      </w:r>
    </w:p>
    <w:p>
      <w:pPr>
        <w:pStyle w:val="ListBullet"/>
        <w:spacing w:after="60"/>
      </w:pPr>
      <w:r>
        <w:t>OWASP Top 10 web application security</w:t>
      </w:r>
    </w:p>
    <w:p>
      <w:pPr>
        <w:pStyle w:val="ListBullet"/>
        <w:spacing w:after="60"/>
      </w:pPr>
      <w:r>
        <w:t>CERT-In information security practices for government entities</w:t>
      </w:r>
    </w:p>
    <w:p>
      <w:pPr>
        <w:pStyle w:val="ListBullet"/>
        <w:spacing w:after="60"/>
      </w:pPr>
      <w:r>
        <w:t>DDoS protection and resilience for public services</w:t>
      </w:r>
    </w:p>
    <w:p>
      <w:pPr>
        <w:pStyle w:val="ListBullet"/>
        <w:spacing w:after="60"/>
      </w:pPr>
      <w:r>
        <w:t>Secure software development lifecycle for government applications</w:t>
      </w:r>
    </w:p>
    <w:p>
      <w:r>
        <w:br w:type="page"/>
      </w:r>
    </w:p>
    <w:p>
      <w:pPr>
        <w:pStyle w:val="Title"/>
        <w:jc w:val="center"/>
      </w:pPr>
      <w:r>
        <w:t>16. Submission Description (200+ Words)</w:t>
      </w:r>
    </w:p>
    <w:p>
      <w:r>
        <w:t>This project presents a cybersecurity risk assessment for a representative e-governance and digital public-service portal. The purpose of the assessment is to identify common cybersecurity threats that may affect the confidentiality, integrity and availability of government digital services. The report considers eight major risks: data breach, phishing and credential theft, account takeover, injection attacks, distributed denial-of-service attacks, malware and ransomware, insider threats, and outdated software or security misconfiguration. Each risk is evaluated using a likelihood-and-impact approach and assigned an illustrative priority level. The assessment then proposes practical mitigation strategies such as multi-factor authentication, least-privilege access, encryption, secure coding, input validation, patch management, network segmentation, DDoS protection, security monitoring, staff awareness training, protected backups and incident-response planning. The methodology is informed by publicly available cybersecurity guidance, including the NIST Cybersecurity Framework 2.0, the OWASP Top 10 and CERT-In guidance for government entities. The report is intended as a defensive, research-based exercise and does not involve penetration testing or unauthorized access to any real government system. The main outcome is a prioritized view of cybersecurity risks and a practical roadmap for reducing those risks. The project also highlights the importance of continuous monitoring, periodic risk assessment and recovery planning because cybersecurity threats and technology environments change over time. Overall, the assessment demonstrates an understanding of how cybersecurity controls can be combined across people, processes, technology and governance to improve the resilience and trustworthiness of digital public services.</w:t>
      </w:r>
    </w:p>
    <w:p>
      <w:r>
        <w:t>Word count: approximately 260 words.</w:t>
      </w:r>
    </w:p>
    <w:p>
      <w:pPr>
        <w:pStyle w:val="Heading2"/>
        <w:keepNext/>
      </w:pPr>
      <w:r>
        <w:t>Before Uploading</w:t>
      </w:r>
    </w:p>
    <w:p>
      <w:pPr>
        <w:pStyle w:val="ListBullet"/>
        <w:spacing w:after="60"/>
      </w:pPr>
      <w:r>
        <w:t>Replace the blank student/institution fields on the cover page.</w:t>
      </w:r>
    </w:p>
    <w:p>
      <w:pPr>
        <w:pStyle w:val="ListBullet"/>
        <w:spacing w:after="60"/>
      </w:pPr>
      <w:r>
        <w:t>Read the report once and make any corrections or additions requested by the internship portal.</w:t>
      </w:r>
    </w:p>
    <w:p>
      <w:pPr>
        <w:pStyle w:val="ListBullet"/>
        <w:spacing w:after="60"/>
      </w:pPr>
      <w:r>
        <w:t>Save the final document as .DOCX.</w:t>
      </w:r>
    </w:p>
    <w:p>
      <w:pPr>
        <w:pStyle w:val="ListBullet"/>
        <w:spacing w:after="60"/>
      </w:pPr>
      <w:r>
        <w:t>If the portal requires a GitHub URL for this technical task, create a repository containing the project report/materials and paste the repository URL into the submission field.</w:t>
      </w:r>
    </w:p>
    <w:p>
      <w:pPr>
        <w:pStyle w:val="ListBullet"/>
        <w:spacing w:after="60"/>
      </w:pPr>
      <w:r>
        <w:t>Do not claim that a real government system was tested; this report is a hypothetical, public-source risk assessment.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Cyber Security Risk Assessment in E-Governance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Risk Assessment in E-Governance</dc:title>
  <dc:subject>Week 1 Internship Task</dc:subject>
  <dc:creator>Student</dc:creator>
  <cp:keywords>Cybersecurity, E-Governance, Risk Assessment, NIST, OWASP, CERT-In</cp:keywords>
  <dc:description>generated by python-docx</dc:description>
  <cp:lastModifiedBy/>
  <cp:revision>1</cp:revision>
  <dcterms:created xsi:type="dcterms:W3CDTF">2013-12-23T23:15:00Z</dcterms:created>
  <dcterms:modified xsi:type="dcterms:W3CDTF">2013-12-23T23:15:00Z</dcterms:modified>
  <cp:category/>
</cp:coreProperties>
</file>