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28"/>
        </w:rPr>
        <w:t>WEEK 4 INTERNSHIP REPORT</w:t>
      </w:r>
    </w:p>
    <w:p>
      <w:pPr>
        <w:jc w:val="center"/>
      </w:pPr>
      <w:r>
        <w:rPr>
          <w:b/>
          <w:sz w:val="48"/>
        </w:rPr>
        <w:t>SECURITY AUDIT, EVALUATION, AND</w:t>
        <w:br/>
        <w:t>CONTINUOUS IMPROVEMENT IN DIGITAL SERVICES</w:t>
      </w:r>
    </w:p>
    <w:p/>
    <w:p>
      <w:pPr>
        <w:jc w:val="center"/>
      </w:pPr>
      <w:r>
        <w:rPr>
          <w:i/>
        </w:rPr>
        <w:t>Digital Governance Security Audit Simulation</w:t>
      </w:r>
    </w:p>
    <w:p>
      <w:r>
        <w:br/>
      </w:r>
    </w:p>
    <w:tbl>
      <w:tblPr>
        <w:tblStyle w:val="TableGrid"/>
        <w:tblW w:type="auto" w:w="0"/>
        <w:jc w:val="center"/>
        <w:tblLook w:firstColumn="1" w:firstRow="1" w:lastColumn="0" w:lastRow="0" w:noHBand="0" w:noVBand="1" w:val="04A0"/>
      </w:tblPr>
      <w:tblGrid>
        <w:gridCol w:w="5112"/>
        <w:gridCol w:w="5112"/>
      </w:tblGrid>
      <w:tr>
        <w:tc>
          <w:tcPr>
            <w:tcW w:type="dxa" w:w="2880"/>
            <w:vAlign w:val="center"/>
          </w:tcPr>
          <w:p>
            <w:r>
              <w:rPr>
                <w:b/>
                <w:sz w:val="18"/>
              </w:rPr>
              <w:t>DETAIL</w:t>
            </w:r>
          </w:p>
        </w:tc>
        <w:tc>
          <w:tcPr>
            <w:tcW w:type="dxa" w:w="6480"/>
            <w:vAlign w:val="center"/>
          </w:tcPr>
          <w:p>
            <w:r>
              <w:rPr>
                <w:b/>
                <w:sz w:val="18"/>
              </w:rPr>
              <w:t>INFORMATION</w:t>
            </w:r>
          </w:p>
        </w:tc>
      </w:tr>
      <w:tr>
        <w:tc>
          <w:tcPr>
            <w:tcW w:type="dxa" w:w="2880"/>
            <w:vAlign w:val="center"/>
          </w:tcPr>
          <w:p>
            <w:r>
              <w:rPr>
                <w:sz w:val="18"/>
              </w:rPr>
              <w:t>Name</w:t>
            </w:r>
          </w:p>
        </w:tc>
        <w:tc>
          <w:tcPr>
            <w:tcW w:type="dxa" w:w="6480"/>
            <w:vAlign w:val="center"/>
          </w:tcPr>
          <w:p>
            <w:r>
              <w:rPr>
                <w:sz w:val="18"/>
              </w:rPr>
              <w:t>Manasvi</w:t>
            </w:r>
          </w:p>
        </w:tc>
      </w:tr>
      <w:tr>
        <w:tc>
          <w:tcPr>
            <w:tcW w:type="dxa" w:w="2880"/>
            <w:vAlign w:val="center"/>
          </w:tcPr>
          <w:p>
            <w:r>
              <w:rPr>
                <w:sz w:val="18"/>
              </w:rPr>
              <w:t>College</w:t>
            </w:r>
          </w:p>
        </w:tc>
        <w:tc>
          <w:tcPr>
            <w:tcW w:type="dxa" w:w="6480"/>
            <w:vAlign w:val="center"/>
          </w:tcPr>
          <w:p>
            <w:r>
              <w:rPr>
                <w:sz w:val="18"/>
              </w:rPr>
              <w:t>Raja Rajeshwari College of Engineering</w:t>
            </w:r>
          </w:p>
        </w:tc>
      </w:tr>
      <w:tr>
        <w:tc>
          <w:tcPr>
            <w:tcW w:type="dxa" w:w="2880"/>
            <w:vAlign w:val="center"/>
          </w:tcPr>
          <w:p>
            <w:r>
              <w:rPr>
                <w:sz w:val="18"/>
              </w:rPr>
              <w:t>Programme</w:t>
            </w:r>
          </w:p>
        </w:tc>
        <w:tc>
          <w:tcPr>
            <w:tcW w:type="dxa" w:w="6480"/>
            <w:vAlign w:val="center"/>
          </w:tcPr>
          <w:p>
            <w:r>
              <w:rPr>
                <w:sz w:val="18"/>
              </w:rPr>
              <w:t>B.E. Artificial Intelligence (AI-ML)</w:t>
            </w:r>
          </w:p>
        </w:tc>
      </w:tr>
      <w:tr>
        <w:tc>
          <w:tcPr>
            <w:tcW w:type="dxa" w:w="2880"/>
            <w:vAlign w:val="center"/>
          </w:tcPr>
          <w:p>
            <w:r>
              <w:rPr>
                <w:sz w:val="18"/>
              </w:rPr>
              <w:t>Academic Period</w:t>
            </w:r>
          </w:p>
        </w:tc>
        <w:tc>
          <w:tcPr>
            <w:tcW w:type="dxa" w:w="6480"/>
            <w:vAlign w:val="center"/>
          </w:tcPr>
          <w:p>
            <w:r>
              <w:rPr>
                <w:sz w:val="18"/>
              </w:rPr>
              <w:t>2025–2029</w:t>
            </w:r>
          </w:p>
        </w:tc>
      </w:tr>
      <w:tr>
        <w:tc>
          <w:tcPr>
            <w:tcW w:type="dxa" w:w="2880"/>
            <w:vAlign w:val="center"/>
          </w:tcPr>
          <w:p>
            <w:r>
              <w:rPr>
                <w:sz w:val="18"/>
              </w:rPr>
              <w:t>Task</w:t>
            </w:r>
          </w:p>
        </w:tc>
        <w:tc>
          <w:tcPr>
            <w:tcW w:type="dxa" w:w="6480"/>
            <w:vAlign w:val="center"/>
          </w:tcPr>
          <w:p>
            <w:r>
              <w:rPr>
                <w:sz w:val="18"/>
              </w:rPr>
              <w:t>Week 4 – Security Audit, Evaluation and Continuous Improvement</w:t>
            </w:r>
          </w:p>
        </w:tc>
      </w:tr>
    </w:tbl>
    <w:p>
      <w:pPr>
        <w:spacing w:after="20"/>
      </w:pPr>
    </w:p>
    <w:p>
      <w:r>
        <w:br/>
      </w:r>
    </w:p>
    <w:p>
      <w:pPr>
        <w:jc w:val="center"/>
      </w:pPr>
      <w:r>
        <w:rPr>
          <w:sz w:val="18"/>
        </w:rPr>
        <w:t>Prepared as a simulated professional audit report for an e-governance digital service environment.</w:t>
      </w:r>
    </w:p>
    <w:p>
      <w:r>
        <w:br w:type="page"/>
      </w:r>
    </w:p>
    <w:p>
      <w:pPr>
        <w:pStyle w:val="Heading1"/>
      </w:pPr>
      <w:r>
        <w:t>1. Executive Summary</w:t>
      </w:r>
    </w:p>
    <w:p>
      <w:r>
        <w:rPr>
          <w:b w:val="0"/>
          <w:i w:val="0"/>
        </w:rPr>
        <w:t>This report presents a simulated cybersecurity audit of a State Citizen Services Portal (SCSP), a representative e-governance platform used for citizen registration, applications, payments, document submission, status tracking, and administrative services. The audit is designed to evaluate whether governance, policies, technical safeguards, operational practices, monitoring, and recovery capabilities are sufficiently mature to protect citizen-facing digital services.</w:t>
      </w:r>
    </w:p>
    <w:p>
      <w:r>
        <w:rPr>
          <w:b w:val="0"/>
          <w:i w:val="0"/>
        </w:rPr>
        <w:t>The audit approach combines risk-based assessment with recognized public frameworks and standards. NIST Cybersecurity Framework (CSF) 2.0 provides the overarching risk-management structure; CIS Critical Security Controls v8.1 provides prioritized, measurable safeguards; ISO/IEC 27001:2022 provides an information-security-management perspective; and CERT-In guidance for Government Entities provides India-specific context. NIST CSF 2.0 is intended for government and other organizations to assess, prioritize, and communicate cybersecurity risk. CIS Controls v8.1 is a prioritized set of safeguards and includes governance alignment with CSF 2.0. CERT-In publishes dedicated Information Security Practices for Government Entities.</w:t>
      </w:r>
    </w:p>
    <w:p>
      <w:r>
        <w:rPr>
          <w:b w:val="0"/>
          <w:i w:val="0"/>
        </w:rPr>
        <w:t>The simulated audit identified gaps across asset inventory, privileged access, vulnerability and patch management, secure configuration, application security, logging, backup assurance, third-party risk, awareness, incident-response evidence, and continuous monitoring. Findings are ranked using likelihood and impact, producing Critical, High, Medium, or Low risk priorities.</w:t>
      </w:r>
    </w:p>
    <w:p>
      <w:r>
        <w:rPr>
          <w:b w:val="0"/>
          <w:i w:val="0"/>
        </w:rPr>
        <w:t>The report converts findings into an actionable improvement roadmap. Recommendations are assigned owners, target timeframes, implementation evidence, and verification methods. The final improvement cycle uses measurable security indicators, periodic re-audits, management review, staff training, technology upgrades, and a tracked remediation backlog so that the audit becomes a continuous improvement mechanism rather than a one-time compliance exercise.</w:t>
      </w:r>
    </w:p>
    <w:p>
      <w:pPr>
        <w:pStyle w:val="Heading2"/>
      </w:pPr>
      <w:r>
        <w:t>Audit conclusion</w:t>
      </w:r>
    </w:p>
    <w:p>
      <w:r>
        <w:rPr>
          <w:b w:val="0"/>
          <w:i w:val="0"/>
        </w:rPr>
        <w:t>Overall simulated maturity: DEVELOPING. The environment contains important foundational controls, but several high-risk weaknesses could increase the likelihood or impact of a compromise. Priority should be given to privileged access, internet-facing vulnerabilities, centralized logging and monitoring, backup recovery testing, application security, and governance of third parties.</w:t>
      </w:r>
    </w:p>
    <w:p>
      <w:pPr>
        <w:pStyle w:val="Heading1"/>
      </w:pPr>
      <w:r>
        <w:t>2. Audit Scope, Objectives and Assumptions</w:t>
      </w:r>
    </w:p>
    <w:p>
      <w:pPr>
        <w:pStyle w:val="Heading2"/>
      </w:pPr>
      <w:r>
        <w:t>2.1 Scope</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tcPr>
          <w:p>
            <w:r>
              <w:rPr>
                <w:b/>
                <w:sz w:val="14"/>
              </w:rPr>
              <w:t>Domain</w:t>
            </w:r>
          </w:p>
        </w:tc>
        <w:tc>
          <w:tcPr>
            <w:tcW w:type="dxa" w:w="3312"/>
            <w:vAlign w:val="center"/>
          </w:tcPr>
          <w:p>
            <w:r>
              <w:rPr>
                <w:b/>
                <w:sz w:val="14"/>
              </w:rPr>
              <w:t>In Scope</w:t>
            </w:r>
          </w:p>
        </w:tc>
        <w:tc>
          <w:tcPr>
            <w:tcW w:type="dxa" w:w="4032"/>
            <w:vAlign w:val="center"/>
          </w:tcPr>
          <w:p>
            <w:r>
              <w:rPr>
                <w:b/>
                <w:sz w:val="14"/>
              </w:rPr>
              <w:t>Audit Focus</w:t>
            </w:r>
          </w:p>
        </w:tc>
      </w:tr>
      <w:tr>
        <w:tc>
          <w:tcPr>
            <w:tcW w:type="dxa" w:w="1728"/>
            <w:vAlign w:val="center"/>
          </w:tcPr>
          <w:p>
            <w:r>
              <w:rPr>
                <w:sz w:val="14"/>
              </w:rPr>
              <w:t>Governance</w:t>
            </w:r>
          </w:p>
        </w:tc>
        <w:tc>
          <w:tcPr>
            <w:tcW w:type="dxa" w:w="3312"/>
            <w:vAlign w:val="center"/>
          </w:tcPr>
          <w:p>
            <w:r>
              <w:rPr>
                <w:sz w:val="14"/>
              </w:rPr>
              <w:t>Security policies, risk register, roles, approvals</w:t>
            </w:r>
          </w:p>
        </w:tc>
        <w:tc>
          <w:tcPr>
            <w:tcW w:type="dxa" w:w="4032"/>
            <w:vAlign w:val="center"/>
          </w:tcPr>
          <w:p>
            <w:r>
              <w:rPr>
                <w:sz w:val="14"/>
              </w:rPr>
              <w:t>Ownership, review cycle, accountability</w:t>
            </w:r>
          </w:p>
        </w:tc>
      </w:tr>
      <w:tr>
        <w:tc>
          <w:tcPr>
            <w:tcW w:type="dxa" w:w="1728"/>
            <w:vAlign w:val="center"/>
          </w:tcPr>
          <w:p>
            <w:r>
              <w:rPr>
                <w:sz w:val="14"/>
              </w:rPr>
              <w:t>Identity &amp; Access</w:t>
            </w:r>
          </w:p>
        </w:tc>
        <w:tc>
          <w:tcPr>
            <w:tcW w:type="dxa" w:w="3312"/>
            <w:vAlign w:val="center"/>
          </w:tcPr>
          <w:p>
            <w:r>
              <w:rPr>
                <w:sz w:val="14"/>
              </w:rPr>
              <w:t>Citizen/admin authentication, privileged accounts, MFA</w:t>
            </w:r>
          </w:p>
        </w:tc>
        <w:tc>
          <w:tcPr>
            <w:tcW w:type="dxa" w:w="4032"/>
            <w:vAlign w:val="center"/>
          </w:tcPr>
          <w:p>
            <w:r>
              <w:rPr>
                <w:sz w:val="14"/>
              </w:rPr>
              <w:t>Least privilege, joiner/mover/leaver, access review</w:t>
            </w:r>
          </w:p>
        </w:tc>
      </w:tr>
      <w:tr>
        <w:tc>
          <w:tcPr>
            <w:tcW w:type="dxa" w:w="1728"/>
            <w:vAlign w:val="center"/>
          </w:tcPr>
          <w:p>
            <w:r>
              <w:rPr>
                <w:sz w:val="14"/>
              </w:rPr>
              <w:t>Infrastructure</w:t>
            </w:r>
          </w:p>
        </w:tc>
        <w:tc>
          <w:tcPr>
            <w:tcW w:type="dxa" w:w="3312"/>
            <w:vAlign w:val="center"/>
          </w:tcPr>
          <w:p>
            <w:r>
              <w:rPr>
                <w:sz w:val="14"/>
              </w:rPr>
              <w:t>Servers, network, cloud, endpoints</w:t>
            </w:r>
          </w:p>
        </w:tc>
        <w:tc>
          <w:tcPr>
            <w:tcW w:type="dxa" w:w="4032"/>
            <w:vAlign w:val="center"/>
          </w:tcPr>
          <w:p>
            <w:r>
              <w:rPr>
                <w:sz w:val="14"/>
              </w:rPr>
              <w:t>Hardening, segmentation, patching</w:t>
            </w:r>
          </w:p>
        </w:tc>
      </w:tr>
      <w:tr>
        <w:tc>
          <w:tcPr>
            <w:tcW w:type="dxa" w:w="1728"/>
            <w:vAlign w:val="center"/>
          </w:tcPr>
          <w:p>
            <w:r>
              <w:rPr>
                <w:sz w:val="14"/>
              </w:rPr>
              <w:t>Applications</w:t>
            </w:r>
          </w:p>
        </w:tc>
        <w:tc>
          <w:tcPr>
            <w:tcW w:type="dxa" w:w="3312"/>
            <w:vAlign w:val="center"/>
          </w:tcPr>
          <w:p>
            <w:r>
              <w:rPr>
                <w:sz w:val="14"/>
              </w:rPr>
              <w:t>Web portal, APIs, databases</w:t>
            </w:r>
          </w:p>
        </w:tc>
        <w:tc>
          <w:tcPr>
            <w:tcW w:type="dxa" w:w="4032"/>
            <w:vAlign w:val="center"/>
          </w:tcPr>
          <w:p>
            <w:r>
              <w:rPr>
                <w:sz w:val="14"/>
              </w:rPr>
              <w:t>Secure SDLC, vulnerabilities, secrets, authorization</w:t>
            </w:r>
          </w:p>
        </w:tc>
      </w:tr>
      <w:tr>
        <w:tc>
          <w:tcPr>
            <w:tcW w:type="dxa" w:w="1728"/>
            <w:vAlign w:val="center"/>
          </w:tcPr>
          <w:p>
            <w:r>
              <w:rPr>
                <w:sz w:val="14"/>
              </w:rPr>
              <w:t>Data</w:t>
            </w:r>
          </w:p>
        </w:tc>
        <w:tc>
          <w:tcPr>
            <w:tcW w:type="dxa" w:w="3312"/>
            <w:vAlign w:val="center"/>
          </w:tcPr>
          <w:p>
            <w:r>
              <w:rPr>
                <w:sz w:val="14"/>
              </w:rPr>
              <w:t>Citizen records, documents, payment-related data</w:t>
            </w:r>
          </w:p>
        </w:tc>
        <w:tc>
          <w:tcPr>
            <w:tcW w:type="dxa" w:w="4032"/>
            <w:vAlign w:val="center"/>
          </w:tcPr>
          <w:p>
            <w:r>
              <w:rPr>
                <w:sz w:val="14"/>
              </w:rPr>
              <w:t>Classification, encryption, retention, access</w:t>
            </w:r>
          </w:p>
        </w:tc>
      </w:tr>
      <w:tr>
        <w:tc>
          <w:tcPr>
            <w:tcW w:type="dxa" w:w="1728"/>
            <w:vAlign w:val="center"/>
          </w:tcPr>
          <w:p>
            <w:r>
              <w:rPr>
                <w:sz w:val="14"/>
              </w:rPr>
              <w:t>Monitoring</w:t>
            </w:r>
          </w:p>
        </w:tc>
        <w:tc>
          <w:tcPr>
            <w:tcW w:type="dxa" w:w="3312"/>
            <w:vAlign w:val="center"/>
          </w:tcPr>
          <w:p>
            <w:r>
              <w:rPr>
                <w:sz w:val="14"/>
              </w:rPr>
              <w:t>Logs, SIEM, IDS/IPS, alerting</w:t>
            </w:r>
          </w:p>
        </w:tc>
        <w:tc>
          <w:tcPr>
            <w:tcW w:type="dxa" w:w="4032"/>
            <w:vAlign w:val="center"/>
          </w:tcPr>
          <w:p>
            <w:r>
              <w:rPr>
                <w:sz w:val="14"/>
              </w:rPr>
              <w:t>Coverage, retention, review, time sync</w:t>
            </w:r>
          </w:p>
        </w:tc>
      </w:tr>
      <w:tr>
        <w:tc>
          <w:tcPr>
            <w:tcW w:type="dxa" w:w="1728"/>
            <w:vAlign w:val="center"/>
          </w:tcPr>
          <w:p>
            <w:r>
              <w:rPr>
                <w:sz w:val="14"/>
              </w:rPr>
              <w:t>Resilience</w:t>
            </w:r>
          </w:p>
        </w:tc>
        <w:tc>
          <w:tcPr>
            <w:tcW w:type="dxa" w:w="3312"/>
            <w:vAlign w:val="center"/>
          </w:tcPr>
          <w:p>
            <w:r>
              <w:rPr>
                <w:sz w:val="14"/>
              </w:rPr>
              <w:t>Backup, DR, recovery procedures</w:t>
            </w:r>
          </w:p>
        </w:tc>
        <w:tc>
          <w:tcPr>
            <w:tcW w:type="dxa" w:w="4032"/>
            <w:vAlign w:val="center"/>
          </w:tcPr>
          <w:p>
            <w:r>
              <w:rPr>
                <w:sz w:val="14"/>
              </w:rPr>
              <w:t>RPO/RTO, restore tests, resilience</w:t>
            </w:r>
          </w:p>
        </w:tc>
      </w:tr>
      <w:tr>
        <w:tc>
          <w:tcPr>
            <w:tcW w:type="dxa" w:w="1728"/>
            <w:vAlign w:val="center"/>
          </w:tcPr>
          <w:p>
            <w:r>
              <w:rPr>
                <w:sz w:val="14"/>
              </w:rPr>
              <w:t>People</w:t>
            </w:r>
          </w:p>
        </w:tc>
        <w:tc>
          <w:tcPr>
            <w:tcW w:type="dxa" w:w="3312"/>
            <w:vAlign w:val="center"/>
          </w:tcPr>
          <w:p>
            <w:r>
              <w:rPr>
                <w:sz w:val="14"/>
              </w:rPr>
              <w:t>Training, awareness, roles</w:t>
            </w:r>
          </w:p>
        </w:tc>
        <w:tc>
          <w:tcPr>
            <w:tcW w:type="dxa" w:w="4032"/>
            <w:vAlign w:val="center"/>
          </w:tcPr>
          <w:p>
            <w:r>
              <w:rPr>
                <w:sz w:val="14"/>
              </w:rPr>
              <w:t>Competency, phishing resistance, responsibilities</w:t>
            </w:r>
          </w:p>
        </w:tc>
      </w:tr>
      <w:tr>
        <w:tc>
          <w:tcPr>
            <w:tcW w:type="dxa" w:w="1728"/>
            <w:vAlign w:val="center"/>
          </w:tcPr>
          <w:p>
            <w:r>
              <w:rPr>
                <w:sz w:val="14"/>
              </w:rPr>
              <w:t>Third Parties</w:t>
            </w:r>
          </w:p>
        </w:tc>
        <w:tc>
          <w:tcPr>
            <w:tcW w:type="dxa" w:w="3312"/>
            <w:vAlign w:val="center"/>
          </w:tcPr>
          <w:p>
            <w:r>
              <w:rPr>
                <w:sz w:val="14"/>
              </w:rPr>
              <w:t>Cloud, payment, SMS/email, support vendors</w:t>
            </w:r>
          </w:p>
        </w:tc>
        <w:tc>
          <w:tcPr>
            <w:tcW w:type="dxa" w:w="4032"/>
            <w:vAlign w:val="center"/>
          </w:tcPr>
          <w:p>
            <w:r>
              <w:rPr>
                <w:sz w:val="14"/>
              </w:rPr>
              <w:t>Contracts, assurance, access, exit planning</w:t>
            </w:r>
          </w:p>
        </w:tc>
      </w:tr>
      <w:tr>
        <w:tc>
          <w:tcPr>
            <w:tcW w:type="dxa" w:w="1728"/>
            <w:vAlign w:val="center"/>
          </w:tcPr>
          <w:p>
            <w:r>
              <w:rPr>
                <w:sz w:val="14"/>
              </w:rPr>
              <w:t>Incident Response</w:t>
            </w:r>
          </w:p>
        </w:tc>
        <w:tc>
          <w:tcPr>
            <w:tcW w:type="dxa" w:w="3312"/>
            <w:vAlign w:val="center"/>
          </w:tcPr>
          <w:p>
            <w:r>
              <w:rPr>
                <w:sz w:val="14"/>
              </w:rPr>
              <w:t>Plans, playbooks, evidence</w:t>
            </w:r>
          </w:p>
        </w:tc>
        <w:tc>
          <w:tcPr>
            <w:tcW w:type="dxa" w:w="4032"/>
            <w:vAlign w:val="center"/>
          </w:tcPr>
          <w:p>
            <w:r>
              <w:rPr>
                <w:sz w:val="14"/>
              </w:rPr>
              <w:t>Detection, escalation, containment, lessons learned</w:t>
            </w:r>
          </w:p>
        </w:tc>
      </w:tr>
    </w:tbl>
    <w:p>
      <w:pPr>
        <w:spacing w:after="20"/>
      </w:pPr>
    </w:p>
    <w:p>
      <w:pPr>
        <w:pStyle w:val="Heading2"/>
      </w:pPr>
      <w:r>
        <w:t>2.2 Audit objectives</w:t>
      </w:r>
    </w:p>
    <w:p>
      <w:pPr>
        <w:pStyle w:val="ListBullet"/>
        <w:ind w:left="360"/>
      </w:pPr>
      <w:r>
        <w:t>Determine whether security controls are appropriately designed and consistently implemented.</w:t>
      </w:r>
    </w:p>
    <w:p>
      <w:pPr>
        <w:pStyle w:val="ListBullet"/>
        <w:ind w:left="360"/>
      </w:pPr>
      <w:r>
        <w:t>Identify gaps that could expose citizen services, identities, confidential data, or service availability.</w:t>
      </w:r>
    </w:p>
    <w:p>
      <w:pPr>
        <w:pStyle w:val="ListBullet"/>
        <w:ind w:left="360"/>
      </w:pPr>
      <w:r>
        <w:t>Assess whether security evidence is sufficient to demonstrate control operation.</w:t>
      </w:r>
    </w:p>
    <w:p>
      <w:pPr>
        <w:pStyle w:val="ListBullet"/>
        <w:ind w:left="360"/>
      </w:pPr>
      <w:r>
        <w:t>Prioritize findings according to likelihood, impact, and criticality of the service.</w:t>
      </w:r>
    </w:p>
    <w:p>
      <w:pPr>
        <w:pStyle w:val="ListBullet"/>
        <w:ind w:left="360"/>
      </w:pPr>
      <w:r>
        <w:t>Produce practical recommendations, owners, target dates, and verification criteria.</w:t>
      </w:r>
    </w:p>
    <w:p>
      <w:pPr>
        <w:pStyle w:val="ListBullet"/>
        <w:ind w:left="360"/>
      </w:pPr>
      <w:r>
        <w:t>Establish a repeatable continuous-improvement cycle for future audits.</w:t>
      </w:r>
    </w:p>
    <w:p>
      <w:pPr>
        <w:pStyle w:val="Heading2"/>
      </w:pPr>
      <w:r>
        <w:t>2.3 Assumptions</w:t>
      </w:r>
    </w:p>
    <w:p>
      <w:r>
        <w:rPr>
          <w:b w:val="0"/>
          <w:i w:val="0"/>
        </w:rPr>
        <w:t>Because this is an internship simulation rather than an authorized production audit, no real government system was scanned, accessed, exploited, or tested. Evidence is represented through hypothetical documents, sample configurations, sample logs, interview responses, and simulated technical observations. Any real deployment would require written authorization, defined rules of engagement, data-protection safeguards, and controlled testing windows.</w:t>
      </w:r>
    </w:p>
    <w:p>
      <w:pPr>
        <w:pStyle w:val="Heading1"/>
      </w:pPr>
      <w:r>
        <w:t>3. Audit Methodology and Evidence Plan</w:t>
      </w:r>
    </w:p>
    <w:p>
      <w:r>
        <w:rPr>
          <w:b w:val="0"/>
          <w:i w:val="0"/>
        </w:rPr>
        <w:t>The audit uses a four-stage evidence model: document review, interview/observation, technical validation, and sampling. Each control is evaluated as Effective, Partially Effective, Ineffective, or Not Evidenced. A control is not treated as effective merely because a policy exists; the audit expects evidence that the control is implemented, monitored, and periodically reviewed.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440"/>
            <w:vAlign w:val="center"/>
          </w:tcPr>
          <w:p>
            <w:r>
              <w:rPr>
                <w:b/>
                <w:sz w:val="14"/>
              </w:rPr>
              <w:t>Stage</w:t>
            </w:r>
          </w:p>
        </w:tc>
        <w:tc>
          <w:tcPr>
            <w:tcW w:type="dxa" w:w="2448"/>
            <w:vAlign w:val="center"/>
          </w:tcPr>
          <w:p>
            <w:r>
              <w:rPr>
                <w:b/>
                <w:sz w:val="14"/>
              </w:rPr>
              <w:t>Activities</w:t>
            </w:r>
          </w:p>
        </w:tc>
        <w:tc>
          <w:tcPr>
            <w:tcW w:type="dxa" w:w="3744"/>
            <w:vAlign w:val="center"/>
          </w:tcPr>
          <w:p>
            <w:r>
              <w:rPr>
                <w:b/>
                <w:sz w:val="14"/>
              </w:rPr>
              <w:t>Evidence Examples</w:t>
            </w:r>
          </w:p>
        </w:tc>
        <w:tc>
          <w:tcPr>
            <w:tcW w:type="dxa" w:w="1728"/>
            <w:vAlign w:val="center"/>
          </w:tcPr>
          <w:p>
            <w:r>
              <w:rPr>
                <w:b/>
                <w:sz w:val="14"/>
              </w:rPr>
              <w:t>Output</w:t>
            </w:r>
          </w:p>
        </w:tc>
      </w:tr>
      <w:tr>
        <w:tc>
          <w:tcPr>
            <w:tcW w:type="dxa" w:w="1440"/>
            <w:vAlign w:val="center"/>
          </w:tcPr>
          <w:p>
            <w:r>
              <w:rPr>
                <w:sz w:val="14"/>
              </w:rPr>
              <w:t>Plan</w:t>
            </w:r>
          </w:p>
        </w:tc>
        <w:tc>
          <w:tcPr>
            <w:tcW w:type="dxa" w:w="2448"/>
            <w:vAlign w:val="center"/>
          </w:tcPr>
          <w:p>
            <w:r>
              <w:rPr>
                <w:sz w:val="14"/>
              </w:rPr>
              <w:t>Scope, criteria, stakeholders, risk assumptions</w:t>
            </w:r>
          </w:p>
        </w:tc>
        <w:tc>
          <w:tcPr>
            <w:tcW w:type="dxa" w:w="3744"/>
            <w:vAlign w:val="center"/>
          </w:tcPr>
          <w:p>
            <w:r>
              <w:rPr>
                <w:sz w:val="14"/>
              </w:rPr>
              <w:t>System inventory, architecture, policy register</w:t>
            </w:r>
          </w:p>
        </w:tc>
        <w:tc>
          <w:tcPr>
            <w:tcW w:type="dxa" w:w="1728"/>
            <w:vAlign w:val="center"/>
          </w:tcPr>
          <w:p>
            <w:r>
              <w:rPr>
                <w:sz w:val="14"/>
              </w:rPr>
              <w:t>Audit plan</w:t>
            </w:r>
          </w:p>
        </w:tc>
      </w:tr>
      <w:tr>
        <w:tc>
          <w:tcPr>
            <w:tcW w:type="dxa" w:w="1440"/>
            <w:vAlign w:val="center"/>
          </w:tcPr>
          <w:p>
            <w:r>
              <w:rPr>
                <w:sz w:val="14"/>
              </w:rPr>
              <w:t>Collect</w:t>
            </w:r>
          </w:p>
        </w:tc>
        <w:tc>
          <w:tcPr>
            <w:tcW w:type="dxa" w:w="2448"/>
            <w:vAlign w:val="center"/>
          </w:tcPr>
          <w:p>
            <w:r>
              <w:rPr>
                <w:sz w:val="14"/>
              </w:rPr>
              <w:t>Request evidence and conduct interviews</w:t>
            </w:r>
          </w:p>
        </w:tc>
        <w:tc>
          <w:tcPr>
            <w:tcW w:type="dxa" w:w="3744"/>
            <w:vAlign w:val="center"/>
          </w:tcPr>
          <w:p>
            <w:r>
              <w:rPr>
                <w:sz w:val="14"/>
              </w:rPr>
              <w:t>Policies, screenshots, tickets, reports, logs</w:t>
            </w:r>
          </w:p>
        </w:tc>
        <w:tc>
          <w:tcPr>
            <w:tcW w:type="dxa" w:w="1728"/>
            <w:vAlign w:val="center"/>
          </w:tcPr>
          <w:p>
            <w:r>
              <w:rPr>
                <w:sz w:val="14"/>
              </w:rPr>
              <w:t>Evidence register</w:t>
            </w:r>
          </w:p>
        </w:tc>
      </w:tr>
      <w:tr>
        <w:tc>
          <w:tcPr>
            <w:tcW w:type="dxa" w:w="1440"/>
            <w:vAlign w:val="center"/>
          </w:tcPr>
          <w:p>
            <w:r>
              <w:rPr>
                <w:sz w:val="14"/>
              </w:rPr>
              <w:t>Test</w:t>
            </w:r>
          </w:p>
        </w:tc>
        <w:tc>
          <w:tcPr>
            <w:tcW w:type="dxa" w:w="2448"/>
            <w:vAlign w:val="center"/>
          </w:tcPr>
          <w:p>
            <w:r>
              <w:rPr>
                <w:sz w:val="14"/>
              </w:rPr>
              <w:t>Sample and validate control operation</w:t>
            </w:r>
          </w:p>
        </w:tc>
        <w:tc>
          <w:tcPr>
            <w:tcW w:type="dxa" w:w="3744"/>
            <w:vAlign w:val="center"/>
          </w:tcPr>
          <w:p>
            <w:r>
              <w:rPr>
                <w:sz w:val="14"/>
              </w:rPr>
              <w:t>Access samples, patch records, backup tests</w:t>
            </w:r>
          </w:p>
        </w:tc>
        <w:tc>
          <w:tcPr>
            <w:tcW w:type="dxa" w:w="1728"/>
            <w:vAlign w:val="center"/>
          </w:tcPr>
          <w:p>
            <w:r>
              <w:rPr>
                <w:sz w:val="14"/>
              </w:rPr>
              <w:t>Test results</w:t>
            </w:r>
          </w:p>
        </w:tc>
      </w:tr>
      <w:tr>
        <w:tc>
          <w:tcPr>
            <w:tcW w:type="dxa" w:w="1440"/>
            <w:vAlign w:val="center"/>
          </w:tcPr>
          <w:p>
            <w:r>
              <w:rPr>
                <w:sz w:val="14"/>
              </w:rPr>
              <w:t>Evaluate</w:t>
            </w:r>
          </w:p>
        </w:tc>
        <w:tc>
          <w:tcPr>
            <w:tcW w:type="dxa" w:w="2448"/>
            <w:vAlign w:val="center"/>
          </w:tcPr>
          <w:p>
            <w:r>
              <w:rPr>
                <w:sz w:val="14"/>
              </w:rPr>
              <w:t>Score gaps and risk</w:t>
            </w:r>
          </w:p>
        </w:tc>
        <w:tc>
          <w:tcPr>
            <w:tcW w:type="dxa" w:w="3744"/>
            <w:vAlign w:val="center"/>
          </w:tcPr>
          <w:p>
            <w:r>
              <w:rPr>
                <w:sz w:val="14"/>
              </w:rPr>
              <w:t>Likelihood/impact matrix</w:t>
            </w:r>
          </w:p>
        </w:tc>
        <w:tc>
          <w:tcPr>
            <w:tcW w:type="dxa" w:w="1728"/>
            <w:vAlign w:val="center"/>
          </w:tcPr>
          <w:p>
            <w:r>
              <w:rPr>
                <w:sz w:val="14"/>
              </w:rPr>
              <w:t>Findings</w:t>
            </w:r>
          </w:p>
        </w:tc>
      </w:tr>
      <w:tr>
        <w:tc>
          <w:tcPr>
            <w:tcW w:type="dxa" w:w="1440"/>
            <w:vAlign w:val="center"/>
          </w:tcPr>
          <w:p>
            <w:r>
              <w:rPr>
                <w:sz w:val="14"/>
              </w:rPr>
              <w:t>Report</w:t>
            </w:r>
          </w:p>
        </w:tc>
        <w:tc>
          <w:tcPr>
            <w:tcW w:type="dxa" w:w="2448"/>
            <w:vAlign w:val="center"/>
          </w:tcPr>
          <w:p>
            <w:r>
              <w:rPr>
                <w:sz w:val="14"/>
              </w:rPr>
              <w:t>Discuss findings and actions</w:t>
            </w:r>
          </w:p>
        </w:tc>
        <w:tc>
          <w:tcPr>
            <w:tcW w:type="dxa" w:w="3744"/>
            <w:vAlign w:val="center"/>
          </w:tcPr>
          <w:p>
            <w:r>
              <w:rPr>
                <w:sz w:val="14"/>
              </w:rPr>
              <w:t>Management responses</w:t>
            </w:r>
          </w:p>
        </w:tc>
        <w:tc>
          <w:tcPr>
            <w:tcW w:type="dxa" w:w="1728"/>
            <w:vAlign w:val="center"/>
          </w:tcPr>
          <w:p>
            <w:r>
              <w:rPr>
                <w:sz w:val="14"/>
              </w:rPr>
              <w:t>Audit report</w:t>
            </w:r>
          </w:p>
        </w:tc>
      </w:tr>
      <w:tr>
        <w:tc>
          <w:tcPr>
            <w:tcW w:type="dxa" w:w="1440"/>
            <w:vAlign w:val="center"/>
          </w:tcPr>
          <w:p>
            <w:r>
              <w:rPr>
                <w:sz w:val="14"/>
              </w:rPr>
              <w:t>Follow-up</w:t>
            </w:r>
          </w:p>
        </w:tc>
        <w:tc>
          <w:tcPr>
            <w:tcW w:type="dxa" w:w="2448"/>
            <w:vAlign w:val="center"/>
          </w:tcPr>
          <w:p>
            <w:r>
              <w:rPr>
                <w:sz w:val="14"/>
              </w:rPr>
              <w:t>Verify remediation</w:t>
            </w:r>
          </w:p>
        </w:tc>
        <w:tc>
          <w:tcPr>
            <w:tcW w:type="dxa" w:w="3744"/>
            <w:vAlign w:val="center"/>
          </w:tcPr>
          <w:p>
            <w:r>
              <w:rPr>
                <w:sz w:val="14"/>
              </w:rPr>
              <w:t>Retest evidence, updated metrics</w:t>
            </w:r>
          </w:p>
        </w:tc>
        <w:tc>
          <w:tcPr>
            <w:tcW w:type="dxa" w:w="1728"/>
            <w:vAlign w:val="center"/>
          </w:tcPr>
          <w:p>
            <w:r>
              <w:rPr>
                <w:sz w:val="14"/>
              </w:rPr>
              <w:t>Closure/re-audit</w:t>
            </w:r>
          </w:p>
        </w:tc>
      </w:tr>
    </w:tbl>
    <w:p>
      <w:pPr>
        <w:spacing w:after="20"/>
      </w:pPr>
    </w:p>
    <w:p>
      <w:pPr>
        <w:pStyle w:val="Heading2"/>
      </w:pPr>
      <w:r>
        <w:t>3.1 Audit evidence hierarchy</w:t>
      </w:r>
    </w:p>
    <w:p>
      <w:pPr>
        <w:pStyle w:val="ListBullet"/>
        <w:ind w:left="360"/>
      </w:pPr>
      <w:r>
        <w:t>Strong evidence: independently verifiable technical output, system report, ticket history, signed approval, or repeatable test result.</w:t>
      </w:r>
    </w:p>
    <w:p>
      <w:pPr>
        <w:pStyle w:val="ListBullet"/>
        <w:ind w:left="360"/>
      </w:pPr>
      <w:r>
        <w:t>Moderate evidence: documented procedure plus operational records demonstrating use.</w:t>
      </w:r>
    </w:p>
    <w:p>
      <w:pPr>
        <w:pStyle w:val="ListBullet"/>
        <w:ind w:left="360"/>
      </w:pPr>
      <w:r>
        <w:t>Weak evidence: informal statement without supporting records.</w:t>
      </w:r>
    </w:p>
    <w:p>
      <w:pPr>
        <w:pStyle w:val="ListBullet"/>
        <w:ind w:left="360"/>
      </w:pPr>
      <w:r>
        <w:t>Missing evidence: no reliable proof that the control exists or operates.</w:t>
      </w:r>
    </w:p>
    <w:p>
      <w:pPr>
        <w:pStyle w:val="Heading2"/>
      </w:pPr>
      <w:r>
        <w:t>3.2 Control rating</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tcPr>
          <w:p>
            <w:r>
              <w:rPr>
                <w:b/>
                <w:sz w:val="16"/>
              </w:rPr>
              <w:t>Rating</w:t>
            </w:r>
          </w:p>
        </w:tc>
        <w:tc>
          <w:tcPr>
            <w:tcW w:type="dxa" w:w="4464"/>
            <w:vAlign w:val="center"/>
          </w:tcPr>
          <w:p>
            <w:r>
              <w:rPr>
                <w:b/>
                <w:sz w:val="16"/>
              </w:rPr>
              <w:t>Meaning</w:t>
            </w:r>
          </w:p>
        </w:tc>
        <w:tc>
          <w:tcPr>
            <w:tcW w:type="dxa" w:w="3312"/>
            <w:vAlign w:val="center"/>
          </w:tcPr>
          <w:p>
            <w:r>
              <w:rPr>
                <w:b/>
                <w:sz w:val="16"/>
              </w:rPr>
              <w:t>Audit Treatment</w:t>
            </w:r>
          </w:p>
        </w:tc>
      </w:tr>
      <w:tr>
        <w:tc>
          <w:tcPr>
            <w:tcW w:type="dxa" w:w="1728"/>
            <w:vAlign w:val="center"/>
          </w:tcPr>
          <w:p>
            <w:r>
              <w:rPr>
                <w:sz w:val="16"/>
              </w:rPr>
              <w:t>Effective</w:t>
            </w:r>
          </w:p>
        </w:tc>
        <w:tc>
          <w:tcPr>
            <w:tcW w:type="dxa" w:w="4464"/>
            <w:vAlign w:val="center"/>
          </w:tcPr>
          <w:p>
            <w:r>
              <w:rPr>
                <w:sz w:val="16"/>
              </w:rPr>
              <w:t>Control is designed, implemented, evidenced and monitored.</w:t>
            </w:r>
          </w:p>
        </w:tc>
        <w:tc>
          <w:tcPr>
            <w:tcW w:type="dxa" w:w="3312"/>
            <w:vAlign w:val="center"/>
          </w:tcPr>
          <w:p>
            <w:r>
              <w:rPr>
                <w:sz w:val="16"/>
              </w:rPr>
              <w:t>Maintain and periodically retest.</w:t>
            </w:r>
          </w:p>
        </w:tc>
      </w:tr>
      <w:tr>
        <w:tc>
          <w:tcPr>
            <w:tcW w:type="dxa" w:w="1728"/>
            <w:vAlign w:val="center"/>
          </w:tcPr>
          <w:p>
            <w:r>
              <w:rPr>
                <w:sz w:val="16"/>
              </w:rPr>
              <w:t>Partially Effective</w:t>
            </w:r>
          </w:p>
        </w:tc>
        <w:tc>
          <w:tcPr>
            <w:tcW w:type="dxa" w:w="4464"/>
            <w:vAlign w:val="center"/>
          </w:tcPr>
          <w:p>
            <w:r>
              <w:rPr>
                <w:sz w:val="16"/>
              </w:rPr>
              <w:t>Control exists but coverage, consistency or evidence is incomplete.</w:t>
            </w:r>
          </w:p>
        </w:tc>
        <w:tc>
          <w:tcPr>
            <w:tcW w:type="dxa" w:w="3312"/>
            <w:vAlign w:val="center"/>
          </w:tcPr>
          <w:p>
            <w:r>
              <w:rPr>
                <w:sz w:val="16"/>
              </w:rPr>
              <w:t>Correct identified weakness.</w:t>
            </w:r>
          </w:p>
        </w:tc>
      </w:tr>
      <w:tr>
        <w:tc>
          <w:tcPr>
            <w:tcW w:type="dxa" w:w="1728"/>
            <w:vAlign w:val="center"/>
          </w:tcPr>
          <w:p>
            <w:r>
              <w:rPr>
                <w:sz w:val="16"/>
              </w:rPr>
              <w:t>Ineffective</w:t>
            </w:r>
          </w:p>
        </w:tc>
        <w:tc>
          <w:tcPr>
            <w:tcW w:type="dxa" w:w="4464"/>
            <w:vAlign w:val="center"/>
          </w:tcPr>
          <w:p>
            <w:r>
              <w:rPr>
                <w:sz w:val="16"/>
              </w:rPr>
              <w:t>Control is absent, poorly designed or not operating.</w:t>
            </w:r>
          </w:p>
        </w:tc>
        <w:tc>
          <w:tcPr>
            <w:tcW w:type="dxa" w:w="3312"/>
            <w:vAlign w:val="center"/>
          </w:tcPr>
          <w:p>
            <w:r>
              <w:rPr>
                <w:sz w:val="16"/>
              </w:rPr>
              <w:t>Prioritize remediation based on risk.</w:t>
            </w:r>
          </w:p>
        </w:tc>
      </w:tr>
      <w:tr>
        <w:tc>
          <w:tcPr>
            <w:tcW w:type="dxa" w:w="1728"/>
            <w:vAlign w:val="center"/>
          </w:tcPr>
          <w:p>
            <w:r>
              <w:rPr>
                <w:sz w:val="16"/>
              </w:rPr>
              <w:t>Not Evidenced</w:t>
            </w:r>
          </w:p>
        </w:tc>
        <w:tc>
          <w:tcPr>
            <w:tcW w:type="dxa" w:w="4464"/>
            <w:vAlign w:val="center"/>
          </w:tcPr>
          <w:p>
            <w:r>
              <w:rPr>
                <w:sz w:val="16"/>
              </w:rPr>
              <w:t>No reliable evidence was supplied in the simulation.</w:t>
            </w:r>
          </w:p>
        </w:tc>
        <w:tc>
          <w:tcPr>
            <w:tcW w:type="dxa" w:w="3312"/>
            <w:vAlign w:val="center"/>
          </w:tcPr>
          <w:p>
            <w:r>
              <w:rPr>
                <w:sz w:val="16"/>
              </w:rPr>
              <w:t>Treat as a verification gap until demonstrated.</w:t>
            </w:r>
          </w:p>
        </w:tc>
      </w:tr>
    </w:tbl>
    <w:p>
      <w:pPr>
        <w:spacing w:after="20"/>
      </w:pPr>
    </w:p>
    <w:p>
      <w:pPr>
        <w:pStyle w:val="Heading1"/>
      </w:pPr>
      <w:r>
        <w:t>4. Audit Checklist and Criteria</w:t>
      </w:r>
    </w:p>
    <w:p>
      <w:r>
        <w:rPr>
          <w:b w:val="0"/>
          <w:i w:val="0"/>
        </w:rPr>
        <w:t>The checklist below is designed to be reused in future audits. It draws on NIST CSF 2.0 outcomes, CIS Controls v8.1 safeguards, ISO/IEC 27001:2022 principles, and CERT-In guidance for Government Entities. CIS also provides an assessment specification that structures measurement around inputs, operations, measures, metrics, and procedure review.</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936"/>
            <w:vAlign w:val="center"/>
          </w:tcPr>
          <w:p>
            <w:r>
              <w:rPr>
                <w:b/>
                <w:sz w:val="13"/>
              </w:rPr>
              <w:t>ID</w:t>
            </w:r>
          </w:p>
        </w:tc>
        <w:tc>
          <w:tcPr>
            <w:tcW w:type="dxa" w:w="1440"/>
            <w:vAlign w:val="center"/>
          </w:tcPr>
          <w:p>
            <w:r>
              <w:rPr>
                <w:b/>
                <w:sz w:val="13"/>
              </w:rPr>
              <w:t>Area</w:t>
            </w:r>
          </w:p>
        </w:tc>
        <w:tc>
          <w:tcPr>
            <w:tcW w:type="dxa" w:w="4032"/>
            <w:vAlign w:val="center"/>
          </w:tcPr>
          <w:p>
            <w:r>
              <w:rPr>
                <w:b/>
                <w:sz w:val="13"/>
              </w:rPr>
              <w:t>Criterion</w:t>
            </w:r>
          </w:p>
        </w:tc>
        <w:tc>
          <w:tcPr>
            <w:tcW w:type="dxa" w:w="936"/>
            <w:vAlign w:val="center"/>
          </w:tcPr>
          <w:p>
            <w:r>
              <w:rPr>
                <w:b/>
                <w:sz w:val="13"/>
              </w:rPr>
              <w:t>Risk</w:t>
            </w:r>
          </w:p>
        </w:tc>
        <w:tc>
          <w:tcPr>
            <w:tcW w:type="dxa" w:w="1440"/>
            <w:vAlign w:val="center"/>
          </w:tcPr>
          <w:p>
            <w:r>
              <w:rPr>
                <w:b/>
                <w:sz w:val="13"/>
              </w:rPr>
              <w:t>Owner</w:t>
            </w:r>
          </w:p>
        </w:tc>
        <w:tc>
          <w:tcPr>
            <w:tcW w:type="dxa" w:w="1728"/>
            <w:vAlign w:val="center"/>
          </w:tcPr>
          <w:p>
            <w:r>
              <w:rPr>
                <w:b/>
                <w:sz w:val="13"/>
              </w:rPr>
              <w:t>Simulated Result</w:t>
            </w:r>
          </w:p>
        </w:tc>
      </w:tr>
      <w:tr>
        <w:tc>
          <w:tcPr>
            <w:tcW w:type="dxa" w:w="936"/>
            <w:vAlign w:val="center"/>
          </w:tcPr>
          <w:p>
            <w:r>
              <w:rPr>
                <w:sz w:val="13"/>
              </w:rPr>
              <w:t>GOV-01</w:t>
            </w:r>
          </w:p>
        </w:tc>
        <w:tc>
          <w:tcPr>
            <w:tcW w:type="dxa" w:w="1440"/>
            <w:vAlign w:val="center"/>
          </w:tcPr>
          <w:p>
            <w:r>
              <w:rPr>
                <w:sz w:val="13"/>
              </w:rPr>
              <w:t>Governance</w:t>
            </w:r>
          </w:p>
        </w:tc>
        <w:tc>
          <w:tcPr>
            <w:tcW w:type="dxa" w:w="4032"/>
            <w:vAlign w:val="center"/>
          </w:tcPr>
          <w:p>
            <w:r>
              <w:rPr>
                <w:sz w:val="13"/>
              </w:rPr>
              <w:t>Approved information-security policy and accountable owner</w:t>
            </w:r>
          </w:p>
        </w:tc>
        <w:tc>
          <w:tcPr>
            <w:tcW w:type="dxa" w:w="936"/>
            <w:vAlign w:val="center"/>
          </w:tcPr>
          <w:p>
            <w:r>
              <w:rPr>
                <w:sz w:val="13"/>
              </w:rPr>
              <w:t>High</w:t>
            </w:r>
          </w:p>
        </w:tc>
        <w:tc>
          <w:tcPr>
            <w:tcW w:type="dxa" w:w="1440"/>
            <w:vAlign w:val="center"/>
          </w:tcPr>
          <w:p>
            <w:r>
              <w:rPr>
                <w:sz w:val="13"/>
              </w:rPr>
              <w:t>Security Lead</w:t>
            </w:r>
          </w:p>
        </w:tc>
        <w:tc>
          <w:tcPr>
            <w:tcW w:type="dxa" w:w="1728"/>
            <w:vAlign w:val="center"/>
          </w:tcPr>
          <w:p>
            <w:r>
              <w:rPr>
                <w:sz w:val="13"/>
              </w:rPr>
              <w:t>Partially Effective</w:t>
            </w:r>
          </w:p>
        </w:tc>
      </w:tr>
      <w:tr>
        <w:tc>
          <w:tcPr>
            <w:tcW w:type="dxa" w:w="936"/>
            <w:vAlign w:val="center"/>
          </w:tcPr>
          <w:p>
            <w:r>
              <w:rPr>
                <w:sz w:val="13"/>
              </w:rPr>
              <w:t>GOV-02</w:t>
            </w:r>
          </w:p>
        </w:tc>
        <w:tc>
          <w:tcPr>
            <w:tcW w:type="dxa" w:w="1440"/>
            <w:vAlign w:val="center"/>
          </w:tcPr>
          <w:p>
            <w:r>
              <w:rPr>
                <w:sz w:val="13"/>
              </w:rPr>
              <w:t>Governance</w:t>
            </w:r>
          </w:p>
        </w:tc>
        <w:tc>
          <w:tcPr>
            <w:tcW w:type="dxa" w:w="4032"/>
            <w:vAlign w:val="center"/>
          </w:tcPr>
          <w:p>
            <w:r>
              <w:rPr>
                <w:sz w:val="13"/>
              </w:rPr>
              <w:t>Current risk register with treatment decisions</w:t>
            </w:r>
          </w:p>
        </w:tc>
        <w:tc>
          <w:tcPr>
            <w:tcW w:type="dxa" w:w="936"/>
            <w:vAlign w:val="center"/>
          </w:tcPr>
          <w:p>
            <w:r>
              <w:rPr>
                <w:sz w:val="13"/>
              </w:rPr>
              <w:t>High</w:t>
            </w:r>
          </w:p>
        </w:tc>
        <w:tc>
          <w:tcPr>
            <w:tcW w:type="dxa" w:w="1440"/>
            <w:vAlign w:val="center"/>
          </w:tcPr>
          <w:p>
            <w:r>
              <w:rPr>
                <w:sz w:val="13"/>
              </w:rPr>
              <w:t>CISO</w:t>
            </w:r>
          </w:p>
        </w:tc>
        <w:tc>
          <w:tcPr>
            <w:tcW w:type="dxa" w:w="1728"/>
            <w:vAlign w:val="center"/>
          </w:tcPr>
          <w:p>
            <w:r>
              <w:rPr>
                <w:sz w:val="13"/>
              </w:rPr>
              <w:t>Partially Effective</w:t>
            </w:r>
          </w:p>
        </w:tc>
      </w:tr>
      <w:tr>
        <w:tc>
          <w:tcPr>
            <w:tcW w:type="dxa" w:w="936"/>
            <w:vAlign w:val="center"/>
          </w:tcPr>
          <w:p>
            <w:r>
              <w:rPr>
                <w:sz w:val="13"/>
              </w:rPr>
              <w:t>AST-01</w:t>
            </w:r>
          </w:p>
        </w:tc>
        <w:tc>
          <w:tcPr>
            <w:tcW w:type="dxa" w:w="1440"/>
            <w:vAlign w:val="center"/>
          </w:tcPr>
          <w:p>
            <w:r>
              <w:rPr>
                <w:sz w:val="13"/>
              </w:rPr>
              <w:t>Assets</w:t>
            </w:r>
          </w:p>
        </w:tc>
        <w:tc>
          <w:tcPr>
            <w:tcW w:type="dxa" w:w="4032"/>
            <w:vAlign w:val="center"/>
          </w:tcPr>
          <w:p>
            <w:r>
              <w:rPr>
                <w:sz w:val="13"/>
              </w:rPr>
              <w:t>Complete authorized hardware/software/cloud inventory</w:t>
            </w:r>
          </w:p>
        </w:tc>
        <w:tc>
          <w:tcPr>
            <w:tcW w:type="dxa" w:w="936"/>
            <w:vAlign w:val="center"/>
          </w:tcPr>
          <w:p>
            <w:r>
              <w:rPr>
                <w:sz w:val="13"/>
              </w:rPr>
              <w:t>Critical</w:t>
            </w:r>
          </w:p>
        </w:tc>
        <w:tc>
          <w:tcPr>
            <w:tcW w:type="dxa" w:w="1440"/>
            <w:vAlign w:val="center"/>
          </w:tcPr>
          <w:p>
            <w:r>
              <w:rPr>
                <w:sz w:val="13"/>
              </w:rPr>
              <w:t>IT Ops</w:t>
            </w:r>
          </w:p>
        </w:tc>
        <w:tc>
          <w:tcPr>
            <w:tcW w:type="dxa" w:w="1728"/>
            <w:vAlign w:val="center"/>
          </w:tcPr>
          <w:p>
            <w:r>
              <w:rPr>
                <w:sz w:val="13"/>
              </w:rPr>
              <w:t>Partially Effective</w:t>
            </w:r>
          </w:p>
        </w:tc>
      </w:tr>
      <w:tr>
        <w:tc>
          <w:tcPr>
            <w:tcW w:type="dxa" w:w="936"/>
            <w:vAlign w:val="center"/>
          </w:tcPr>
          <w:p>
            <w:r>
              <w:rPr>
                <w:sz w:val="13"/>
              </w:rPr>
              <w:t>IAM-01</w:t>
            </w:r>
          </w:p>
        </w:tc>
        <w:tc>
          <w:tcPr>
            <w:tcW w:type="dxa" w:w="1440"/>
            <w:vAlign w:val="center"/>
          </w:tcPr>
          <w:p>
            <w:r>
              <w:rPr>
                <w:sz w:val="13"/>
              </w:rPr>
              <w:t>Access</w:t>
            </w:r>
          </w:p>
        </w:tc>
        <w:tc>
          <w:tcPr>
            <w:tcW w:type="dxa" w:w="4032"/>
            <w:vAlign w:val="center"/>
          </w:tcPr>
          <w:p>
            <w:r>
              <w:rPr>
                <w:sz w:val="13"/>
              </w:rPr>
              <w:t>MFA for privileged and sensitive access</w:t>
            </w:r>
          </w:p>
        </w:tc>
        <w:tc>
          <w:tcPr>
            <w:tcW w:type="dxa" w:w="936"/>
            <w:vAlign w:val="center"/>
          </w:tcPr>
          <w:p>
            <w:r>
              <w:rPr>
                <w:sz w:val="13"/>
              </w:rPr>
              <w:t>Critical</w:t>
            </w:r>
          </w:p>
        </w:tc>
        <w:tc>
          <w:tcPr>
            <w:tcW w:type="dxa" w:w="1440"/>
            <w:vAlign w:val="center"/>
          </w:tcPr>
          <w:p>
            <w:r>
              <w:rPr>
                <w:sz w:val="13"/>
              </w:rPr>
              <w:t>IAM Admin</w:t>
            </w:r>
          </w:p>
        </w:tc>
        <w:tc>
          <w:tcPr>
            <w:tcW w:type="dxa" w:w="1728"/>
            <w:vAlign w:val="center"/>
          </w:tcPr>
          <w:p>
            <w:r>
              <w:rPr>
                <w:sz w:val="13"/>
              </w:rPr>
              <w:t>Ineffective</w:t>
            </w:r>
          </w:p>
        </w:tc>
      </w:tr>
      <w:tr>
        <w:tc>
          <w:tcPr>
            <w:tcW w:type="dxa" w:w="936"/>
            <w:vAlign w:val="center"/>
          </w:tcPr>
          <w:p>
            <w:r>
              <w:rPr>
                <w:sz w:val="13"/>
              </w:rPr>
              <w:t>IAM-02</w:t>
            </w:r>
          </w:p>
        </w:tc>
        <w:tc>
          <w:tcPr>
            <w:tcW w:type="dxa" w:w="1440"/>
            <w:vAlign w:val="center"/>
          </w:tcPr>
          <w:p>
            <w:r>
              <w:rPr>
                <w:sz w:val="13"/>
              </w:rPr>
              <w:t>Access</w:t>
            </w:r>
          </w:p>
        </w:tc>
        <w:tc>
          <w:tcPr>
            <w:tcW w:type="dxa" w:w="4032"/>
            <w:vAlign w:val="center"/>
          </w:tcPr>
          <w:p>
            <w:r>
              <w:rPr>
                <w:sz w:val="13"/>
              </w:rPr>
              <w:t>Quarterly privileged-access review</w:t>
            </w:r>
          </w:p>
        </w:tc>
        <w:tc>
          <w:tcPr>
            <w:tcW w:type="dxa" w:w="936"/>
            <w:vAlign w:val="center"/>
          </w:tcPr>
          <w:p>
            <w:r>
              <w:rPr>
                <w:sz w:val="13"/>
              </w:rPr>
              <w:t>High</w:t>
            </w:r>
          </w:p>
        </w:tc>
        <w:tc>
          <w:tcPr>
            <w:tcW w:type="dxa" w:w="1440"/>
            <w:vAlign w:val="center"/>
          </w:tcPr>
          <w:p>
            <w:r>
              <w:rPr>
                <w:sz w:val="13"/>
              </w:rPr>
              <w:t>System Owners</w:t>
            </w:r>
          </w:p>
        </w:tc>
        <w:tc>
          <w:tcPr>
            <w:tcW w:type="dxa" w:w="1728"/>
            <w:vAlign w:val="center"/>
          </w:tcPr>
          <w:p>
            <w:r>
              <w:rPr>
                <w:sz w:val="13"/>
              </w:rPr>
              <w:t>Partially Effective</w:t>
            </w:r>
          </w:p>
        </w:tc>
      </w:tr>
      <w:tr>
        <w:tc>
          <w:tcPr>
            <w:tcW w:type="dxa" w:w="936"/>
            <w:vAlign w:val="center"/>
          </w:tcPr>
          <w:p>
            <w:r>
              <w:rPr>
                <w:sz w:val="13"/>
              </w:rPr>
              <w:t>IAM-03</w:t>
            </w:r>
          </w:p>
        </w:tc>
        <w:tc>
          <w:tcPr>
            <w:tcW w:type="dxa" w:w="1440"/>
            <w:vAlign w:val="center"/>
          </w:tcPr>
          <w:p>
            <w:r>
              <w:rPr>
                <w:sz w:val="13"/>
              </w:rPr>
              <w:t>Access</w:t>
            </w:r>
          </w:p>
        </w:tc>
        <w:tc>
          <w:tcPr>
            <w:tcW w:type="dxa" w:w="4032"/>
            <w:vAlign w:val="center"/>
          </w:tcPr>
          <w:p>
            <w:r>
              <w:rPr>
                <w:sz w:val="13"/>
              </w:rPr>
              <w:t>Joiner/mover/leaver access workflow</w:t>
            </w:r>
          </w:p>
        </w:tc>
        <w:tc>
          <w:tcPr>
            <w:tcW w:type="dxa" w:w="936"/>
            <w:vAlign w:val="center"/>
          </w:tcPr>
          <w:p>
            <w:r>
              <w:rPr>
                <w:sz w:val="13"/>
              </w:rPr>
              <w:t>High</w:t>
            </w:r>
          </w:p>
        </w:tc>
        <w:tc>
          <w:tcPr>
            <w:tcW w:type="dxa" w:w="1440"/>
            <w:vAlign w:val="center"/>
          </w:tcPr>
          <w:p>
            <w:r>
              <w:rPr>
                <w:sz w:val="13"/>
              </w:rPr>
              <w:t>HR + IT</w:t>
            </w:r>
          </w:p>
        </w:tc>
        <w:tc>
          <w:tcPr>
            <w:tcW w:type="dxa" w:w="1728"/>
            <w:vAlign w:val="center"/>
          </w:tcPr>
          <w:p>
            <w:r>
              <w:rPr>
                <w:sz w:val="13"/>
              </w:rPr>
              <w:t>Partially Effective</w:t>
            </w:r>
          </w:p>
        </w:tc>
      </w:tr>
      <w:tr>
        <w:tc>
          <w:tcPr>
            <w:tcW w:type="dxa" w:w="936"/>
            <w:vAlign w:val="center"/>
          </w:tcPr>
          <w:p>
            <w:r>
              <w:rPr>
                <w:sz w:val="13"/>
              </w:rPr>
              <w:t>CFG-01</w:t>
            </w:r>
          </w:p>
        </w:tc>
        <w:tc>
          <w:tcPr>
            <w:tcW w:type="dxa" w:w="1440"/>
            <w:vAlign w:val="center"/>
          </w:tcPr>
          <w:p>
            <w:r>
              <w:rPr>
                <w:sz w:val="13"/>
              </w:rPr>
              <w:t>Configuration</w:t>
            </w:r>
          </w:p>
        </w:tc>
        <w:tc>
          <w:tcPr>
            <w:tcW w:type="dxa" w:w="4032"/>
            <w:vAlign w:val="center"/>
          </w:tcPr>
          <w:p>
            <w:r>
              <w:rPr>
                <w:sz w:val="13"/>
              </w:rPr>
              <w:t>Secure baseline and configuration compliance</w:t>
            </w:r>
          </w:p>
        </w:tc>
        <w:tc>
          <w:tcPr>
            <w:tcW w:type="dxa" w:w="936"/>
            <w:vAlign w:val="center"/>
          </w:tcPr>
          <w:p>
            <w:r>
              <w:rPr>
                <w:sz w:val="13"/>
              </w:rPr>
              <w:t>High</w:t>
            </w:r>
          </w:p>
        </w:tc>
        <w:tc>
          <w:tcPr>
            <w:tcW w:type="dxa" w:w="1440"/>
            <w:vAlign w:val="center"/>
          </w:tcPr>
          <w:p>
            <w:r>
              <w:rPr>
                <w:sz w:val="13"/>
              </w:rPr>
              <w:t>Infrastructure</w:t>
            </w:r>
          </w:p>
        </w:tc>
        <w:tc>
          <w:tcPr>
            <w:tcW w:type="dxa" w:w="1728"/>
            <w:vAlign w:val="center"/>
          </w:tcPr>
          <w:p>
            <w:r>
              <w:rPr>
                <w:sz w:val="13"/>
              </w:rPr>
              <w:t>Partially Effective</w:t>
            </w:r>
          </w:p>
        </w:tc>
      </w:tr>
      <w:tr>
        <w:tc>
          <w:tcPr>
            <w:tcW w:type="dxa" w:w="936"/>
            <w:vAlign w:val="center"/>
          </w:tcPr>
          <w:p>
            <w:r>
              <w:rPr>
                <w:sz w:val="13"/>
              </w:rPr>
              <w:t>VUL-01</w:t>
            </w:r>
          </w:p>
        </w:tc>
        <w:tc>
          <w:tcPr>
            <w:tcW w:type="dxa" w:w="1440"/>
            <w:vAlign w:val="center"/>
          </w:tcPr>
          <w:p>
            <w:r>
              <w:rPr>
                <w:sz w:val="13"/>
              </w:rPr>
              <w:t>Vulnerability</w:t>
            </w:r>
          </w:p>
        </w:tc>
        <w:tc>
          <w:tcPr>
            <w:tcW w:type="dxa" w:w="4032"/>
            <w:vAlign w:val="center"/>
          </w:tcPr>
          <w:p>
            <w:r>
              <w:rPr>
                <w:sz w:val="13"/>
              </w:rPr>
              <w:t>Authenticated vulnerability scanning and remediation SLA</w:t>
            </w:r>
          </w:p>
        </w:tc>
        <w:tc>
          <w:tcPr>
            <w:tcW w:type="dxa" w:w="936"/>
            <w:vAlign w:val="center"/>
          </w:tcPr>
          <w:p>
            <w:r>
              <w:rPr>
                <w:sz w:val="13"/>
              </w:rPr>
              <w:t>Critical</w:t>
            </w:r>
          </w:p>
        </w:tc>
        <w:tc>
          <w:tcPr>
            <w:tcW w:type="dxa" w:w="1440"/>
            <w:vAlign w:val="center"/>
          </w:tcPr>
          <w:p>
            <w:r>
              <w:rPr>
                <w:sz w:val="13"/>
              </w:rPr>
              <w:t>Security Team</w:t>
            </w:r>
          </w:p>
        </w:tc>
        <w:tc>
          <w:tcPr>
            <w:tcW w:type="dxa" w:w="1728"/>
            <w:vAlign w:val="center"/>
          </w:tcPr>
          <w:p>
            <w:r>
              <w:rPr>
                <w:sz w:val="13"/>
              </w:rPr>
              <w:t>Ineffective</w:t>
            </w:r>
          </w:p>
        </w:tc>
      </w:tr>
      <w:tr>
        <w:tc>
          <w:tcPr>
            <w:tcW w:type="dxa" w:w="936"/>
            <w:vAlign w:val="center"/>
          </w:tcPr>
          <w:p>
            <w:r>
              <w:rPr>
                <w:sz w:val="13"/>
              </w:rPr>
              <w:t>APP-01</w:t>
            </w:r>
          </w:p>
        </w:tc>
        <w:tc>
          <w:tcPr>
            <w:tcW w:type="dxa" w:w="1440"/>
            <w:vAlign w:val="center"/>
          </w:tcPr>
          <w:p>
            <w:r>
              <w:rPr>
                <w:sz w:val="13"/>
              </w:rPr>
              <w:t>Application</w:t>
            </w:r>
          </w:p>
        </w:tc>
        <w:tc>
          <w:tcPr>
            <w:tcW w:type="dxa" w:w="4032"/>
            <w:vAlign w:val="center"/>
          </w:tcPr>
          <w:p>
            <w:r>
              <w:rPr>
                <w:sz w:val="13"/>
              </w:rPr>
              <w:t>Secure SDLC and code review before release</w:t>
            </w:r>
          </w:p>
        </w:tc>
        <w:tc>
          <w:tcPr>
            <w:tcW w:type="dxa" w:w="936"/>
            <w:vAlign w:val="center"/>
          </w:tcPr>
          <w:p>
            <w:r>
              <w:rPr>
                <w:sz w:val="13"/>
              </w:rPr>
              <w:t>High</w:t>
            </w:r>
          </w:p>
        </w:tc>
        <w:tc>
          <w:tcPr>
            <w:tcW w:type="dxa" w:w="1440"/>
            <w:vAlign w:val="center"/>
          </w:tcPr>
          <w:p>
            <w:r>
              <w:rPr>
                <w:sz w:val="13"/>
              </w:rPr>
              <w:t>App Team</w:t>
            </w:r>
          </w:p>
        </w:tc>
        <w:tc>
          <w:tcPr>
            <w:tcW w:type="dxa" w:w="1728"/>
            <w:vAlign w:val="center"/>
          </w:tcPr>
          <w:p>
            <w:r>
              <w:rPr>
                <w:sz w:val="13"/>
              </w:rPr>
              <w:t>Partially Effective</w:t>
            </w:r>
          </w:p>
        </w:tc>
      </w:tr>
      <w:tr>
        <w:tc>
          <w:tcPr>
            <w:tcW w:type="dxa" w:w="936"/>
            <w:vAlign w:val="center"/>
          </w:tcPr>
          <w:p>
            <w:r>
              <w:rPr>
                <w:sz w:val="13"/>
              </w:rPr>
              <w:t>APP-02</w:t>
            </w:r>
          </w:p>
        </w:tc>
        <w:tc>
          <w:tcPr>
            <w:tcW w:type="dxa" w:w="1440"/>
            <w:vAlign w:val="center"/>
          </w:tcPr>
          <w:p>
            <w:r>
              <w:rPr>
                <w:sz w:val="13"/>
              </w:rPr>
              <w:t>Application</w:t>
            </w:r>
          </w:p>
        </w:tc>
        <w:tc>
          <w:tcPr>
            <w:tcW w:type="dxa" w:w="4032"/>
            <w:vAlign w:val="center"/>
          </w:tcPr>
          <w:p>
            <w:r>
              <w:rPr>
                <w:sz w:val="13"/>
              </w:rPr>
              <w:t>API authorization and input-validation testing</w:t>
            </w:r>
          </w:p>
        </w:tc>
        <w:tc>
          <w:tcPr>
            <w:tcW w:type="dxa" w:w="936"/>
            <w:vAlign w:val="center"/>
          </w:tcPr>
          <w:p>
            <w:r>
              <w:rPr>
                <w:sz w:val="13"/>
              </w:rPr>
              <w:t>Critical</w:t>
            </w:r>
          </w:p>
        </w:tc>
        <w:tc>
          <w:tcPr>
            <w:tcW w:type="dxa" w:w="1440"/>
            <w:vAlign w:val="center"/>
          </w:tcPr>
          <w:p>
            <w:r>
              <w:rPr>
                <w:sz w:val="13"/>
              </w:rPr>
              <w:t>AppSec</w:t>
            </w:r>
          </w:p>
        </w:tc>
        <w:tc>
          <w:tcPr>
            <w:tcW w:type="dxa" w:w="1728"/>
            <w:vAlign w:val="center"/>
          </w:tcPr>
          <w:p>
            <w:r>
              <w:rPr>
                <w:sz w:val="13"/>
              </w:rPr>
              <w:t>Partially Effective</w:t>
            </w:r>
          </w:p>
        </w:tc>
      </w:tr>
      <w:tr>
        <w:tc>
          <w:tcPr>
            <w:tcW w:type="dxa" w:w="936"/>
            <w:vAlign w:val="center"/>
          </w:tcPr>
          <w:p>
            <w:r>
              <w:rPr>
                <w:sz w:val="13"/>
              </w:rPr>
              <w:t>LOG-01</w:t>
            </w:r>
          </w:p>
        </w:tc>
        <w:tc>
          <w:tcPr>
            <w:tcW w:type="dxa" w:w="1440"/>
            <w:vAlign w:val="center"/>
          </w:tcPr>
          <w:p>
            <w:r>
              <w:rPr>
                <w:sz w:val="13"/>
              </w:rPr>
              <w:t>Logging</w:t>
            </w:r>
          </w:p>
        </w:tc>
        <w:tc>
          <w:tcPr>
            <w:tcW w:type="dxa" w:w="4032"/>
            <w:vAlign w:val="center"/>
          </w:tcPr>
          <w:p>
            <w:r>
              <w:rPr>
                <w:sz w:val="13"/>
              </w:rPr>
              <w:t>Centralized collection of security-relevant logs</w:t>
            </w:r>
          </w:p>
        </w:tc>
        <w:tc>
          <w:tcPr>
            <w:tcW w:type="dxa" w:w="936"/>
            <w:vAlign w:val="center"/>
          </w:tcPr>
          <w:p>
            <w:r>
              <w:rPr>
                <w:sz w:val="13"/>
              </w:rPr>
              <w:t>Critical</w:t>
            </w:r>
          </w:p>
        </w:tc>
        <w:tc>
          <w:tcPr>
            <w:tcW w:type="dxa" w:w="1440"/>
            <w:vAlign w:val="center"/>
          </w:tcPr>
          <w:p>
            <w:r>
              <w:rPr>
                <w:sz w:val="13"/>
              </w:rPr>
              <w:t>SOC</w:t>
            </w:r>
          </w:p>
        </w:tc>
        <w:tc>
          <w:tcPr>
            <w:tcW w:type="dxa" w:w="1728"/>
            <w:vAlign w:val="center"/>
          </w:tcPr>
          <w:p>
            <w:r>
              <w:rPr>
                <w:sz w:val="13"/>
              </w:rPr>
              <w:t>Partially Effective</w:t>
            </w:r>
          </w:p>
        </w:tc>
      </w:tr>
      <w:tr>
        <w:tc>
          <w:tcPr>
            <w:tcW w:type="dxa" w:w="936"/>
            <w:vAlign w:val="center"/>
          </w:tcPr>
          <w:p>
            <w:r>
              <w:rPr>
                <w:sz w:val="13"/>
              </w:rPr>
              <w:t>LOG-02</w:t>
            </w:r>
          </w:p>
        </w:tc>
        <w:tc>
          <w:tcPr>
            <w:tcW w:type="dxa" w:w="1440"/>
            <w:vAlign w:val="center"/>
          </w:tcPr>
          <w:p>
            <w:r>
              <w:rPr>
                <w:sz w:val="13"/>
              </w:rPr>
              <w:t>Logging</w:t>
            </w:r>
          </w:p>
        </w:tc>
        <w:tc>
          <w:tcPr>
            <w:tcW w:type="dxa" w:w="4032"/>
            <w:vAlign w:val="center"/>
          </w:tcPr>
          <w:p>
            <w:r>
              <w:rPr>
                <w:sz w:val="13"/>
              </w:rPr>
              <w:t>Log retention, integrity and time synchronization</w:t>
            </w:r>
          </w:p>
        </w:tc>
        <w:tc>
          <w:tcPr>
            <w:tcW w:type="dxa" w:w="936"/>
            <w:vAlign w:val="center"/>
          </w:tcPr>
          <w:p>
            <w:r>
              <w:rPr>
                <w:sz w:val="13"/>
              </w:rPr>
              <w:t>High</w:t>
            </w:r>
          </w:p>
        </w:tc>
        <w:tc>
          <w:tcPr>
            <w:tcW w:type="dxa" w:w="1440"/>
            <w:vAlign w:val="center"/>
          </w:tcPr>
          <w:p>
            <w:r>
              <w:rPr>
                <w:sz w:val="13"/>
              </w:rPr>
              <w:t>SOC</w:t>
            </w:r>
          </w:p>
        </w:tc>
        <w:tc>
          <w:tcPr>
            <w:tcW w:type="dxa" w:w="1728"/>
            <w:vAlign w:val="center"/>
          </w:tcPr>
          <w:p>
            <w:r>
              <w:rPr>
                <w:sz w:val="13"/>
              </w:rPr>
              <w:t>Partially Effective</w:t>
            </w:r>
          </w:p>
        </w:tc>
      </w:tr>
      <w:tr>
        <w:tc>
          <w:tcPr>
            <w:tcW w:type="dxa" w:w="936"/>
            <w:vAlign w:val="center"/>
          </w:tcPr>
          <w:p>
            <w:r>
              <w:rPr>
                <w:sz w:val="13"/>
              </w:rPr>
              <w:t>MON-01</w:t>
            </w:r>
          </w:p>
        </w:tc>
        <w:tc>
          <w:tcPr>
            <w:tcW w:type="dxa" w:w="1440"/>
            <w:vAlign w:val="center"/>
          </w:tcPr>
          <w:p>
            <w:r>
              <w:rPr>
                <w:sz w:val="13"/>
              </w:rPr>
              <w:t>Monitoring</w:t>
            </w:r>
          </w:p>
        </w:tc>
        <w:tc>
          <w:tcPr>
            <w:tcW w:type="dxa" w:w="4032"/>
            <w:vAlign w:val="center"/>
          </w:tcPr>
          <w:p>
            <w:r>
              <w:rPr>
                <w:sz w:val="13"/>
              </w:rPr>
              <w:t>24x7 alerting/escalation for critical services</w:t>
            </w:r>
          </w:p>
        </w:tc>
        <w:tc>
          <w:tcPr>
            <w:tcW w:type="dxa" w:w="936"/>
            <w:vAlign w:val="center"/>
          </w:tcPr>
          <w:p>
            <w:r>
              <w:rPr>
                <w:sz w:val="13"/>
              </w:rPr>
              <w:t>High</w:t>
            </w:r>
          </w:p>
        </w:tc>
        <w:tc>
          <w:tcPr>
            <w:tcW w:type="dxa" w:w="1440"/>
            <w:vAlign w:val="center"/>
          </w:tcPr>
          <w:p>
            <w:r>
              <w:rPr>
                <w:sz w:val="13"/>
              </w:rPr>
              <w:t>SOC</w:t>
            </w:r>
          </w:p>
        </w:tc>
        <w:tc>
          <w:tcPr>
            <w:tcW w:type="dxa" w:w="1728"/>
            <w:vAlign w:val="center"/>
          </w:tcPr>
          <w:p>
            <w:r>
              <w:rPr>
                <w:sz w:val="13"/>
              </w:rPr>
              <w:t>Partially Effective</w:t>
            </w:r>
          </w:p>
        </w:tc>
      </w:tr>
      <w:tr>
        <w:tc>
          <w:tcPr>
            <w:tcW w:type="dxa" w:w="936"/>
            <w:vAlign w:val="center"/>
          </w:tcPr>
          <w:p>
            <w:r>
              <w:rPr>
                <w:sz w:val="13"/>
              </w:rPr>
              <w:t>BKP-01</w:t>
            </w:r>
          </w:p>
        </w:tc>
        <w:tc>
          <w:tcPr>
            <w:tcW w:type="dxa" w:w="1440"/>
            <w:vAlign w:val="center"/>
          </w:tcPr>
          <w:p>
            <w:r>
              <w:rPr>
                <w:sz w:val="13"/>
              </w:rPr>
              <w:t>Recovery</w:t>
            </w:r>
          </w:p>
        </w:tc>
        <w:tc>
          <w:tcPr>
            <w:tcW w:type="dxa" w:w="4032"/>
            <w:vAlign w:val="center"/>
          </w:tcPr>
          <w:p>
            <w:r>
              <w:rPr>
                <w:sz w:val="13"/>
              </w:rPr>
              <w:t>Offline/immutable backup strategy and restore tests</w:t>
            </w:r>
          </w:p>
        </w:tc>
        <w:tc>
          <w:tcPr>
            <w:tcW w:type="dxa" w:w="936"/>
            <w:vAlign w:val="center"/>
          </w:tcPr>
          <w:p>
            <w:r>
              <w:rPr>
                <w:sz w:val="13"/>
              </w:rPr>
              <w:t>Critical</w:t>
            </w:r>
          </w:p>
        </w:tc>
        <w:tc>
          <w:tcPr>
            <w:tcW w:type="dxa" w:w="1440"/>
            <w:vAlign w:val="center"/>
          </w:tcPr>
          <w:p>
            <w:r>
              <w:rPr>
                <w:sz w:val="13"/>
              </w:rPr>
              <w:t>BCP Owner</w:t>
            </w:r>
          </w:p>
        </w:tc>
        <w:tc>
          <w:tcPr>
            <w:tcW w:type="dxa" w:w="1728"/>
            <w:vAlign w:val="center"/>
          </w:tcPr>
          <w:p>
            <w:r>
              <w:rPr>
                <w:sz w:val="13"/>
              </w:rPr>
              <w:t>Partially Effective</w:t>
            </w:r>
          </w:p>
        </w:tc>
      </w:tr>
      <w:tr>
        <w:tc>
          <w:tcPr>
            <w:tcW w:type="dxa" w:w="936"/>
            <w:vAlign w:val="center"/>
          </w:tcPr>
          <w:p>
            <w:r>
              <w:rPr>
                <w:sz w:val="13"/>
              </w:rPr>
              <w:t>BCP-01</w:t>
            </w:r>
          </w:p>
        </w:tc>
        <w:tc>
          <w:tcPr>
            <w:tcW w:type="dxa" w:w="1440"/>
            <w:vAlign w:val="center"/>
          </w:tcPr>
          <w:p>
            <w:r>
              <w:rPr>
                <w:sz w:val="13"/>
              </w:rPr>
              <w:t>Continuity</w:t>
            </w:r>
          </w:p>
        </w:tc>
        <w:tc>
          <w:tcPr>
            <w:tcW w:type="dxa" w:w="4032"/>
            <w:vAlign w:val="center"/>
          </w:tcPr>
          <w:p>
            <w:r>
              <w:rPr>
                <w:sz w:val="13"/>
              </w:rPr>
              <w:t>Documented RTO/RPO and annual exercise</w:t>
            </w:r>
          </w:p>
        </w:tc>
        <w:tc>
          <w:tcPr>
            <w:tcW w:type="dxa" w:w="936"/>
            <w:vAlign w:val="center"/>
          </w:tcPr>
          <w:p>
            <w:r>
              <w:rPr>
                <w:sz w:val="13"/>
              </w:rPr>
              <w:t>High</w:t>
            </w:r>
          </w:p>
        </w:tc>
        <w:tc>
          <w:tcPr>
            <w:tcW w:type="dxa" w:w="1440"/>
            <w:vAlign w:val="center"/>
          </w:tcPr>
          <w:p>
            <w:r>
              <w:rPr>
                <w:sz w:val="13"/>
              </w:rPr>
              <w:t>BCP Owner</w:t>
            </w:r>
          </w:p>
        </w:tc>
        <w:tc>
          <w:tcPr>
            <w:tcW w:type="dxa" w:w="1728"/>
            <w:vAlign w:val="center"/>
          </w:tcPr>
          <w:p>
            <w:r>
              <w:rPr>
                <w:sz w:val="13"/>
              </w:rPr>
              <w:t>Partially Effective</w:t>
            </w:r>
          </w:p>
        </w:tc>
      </w:tr>
      <w:tr>
        <w:tc>
          <w:tcPr>
            <w:tcW w:type="dxa" w:w="936"/>
            <w:vAlign w:val="center"/>
          </w:tcPr>
          <w:p>
            <w:r>
              <w:rPr>
                <w:sz w:val="13"/>
              </w:rPr>
              <w:t>TPR-01</w:t>
            </w:r>
          </w:p>
        </w:tc>
        <w:tc>
          <w:tcPr>
            <w:tcW w:type="dxa" w:w="1440"/>
            <w:vAlign w:val="center"/>
          </w:tcPr>
          <w:p>
            <w:r>
              <w:rPr>
                <w:sz w:val="13"/>
              </w:rPr>
              <w:t>Third Party</w:t>
            </w:r>
          </w:p>
        </w:tc>
        <w:tc>
          <w:tcPr>
            <w:tcW w:type="dxa" w:w="4032"/>
            <w:vAlign w:val="center"/>
          </w:tcPr>
          <w:p>
            <w:r>
              <w:rPr>
                <w:sz w:val="13"/>
              </w:rPr>
              <w:t>Security requirements and assurance in contracts</w:t>
            </w:r>
          </w:p>
        </w:tc>
        <w:tc>
          <w:tcPr>
            <w:tcW w:type="dxa" w:w="936"/>
            <w:vAlign w:val="center"/>
          </w:tcPr>
          <w:p>
            <w:r>
              <w:rPr>
                <w:sz w:val="13"/>
              </w:rPr>
              <w:t>High</w:t>
            </w:r>
          </w:p>
        </w:tc>
        <w:tc>
          <w:tcPr>
            <w:tcW w:type="dxa" w:w="1440"/>
            <w:vAlign w:val="center"/>
          </w:tcPr>
          <w:p>
            <w:r>
              <w:rPr>
                <w:sz w:val="13"/>
              </w:rPr>
              <w:t>Procurement</w:t>
            </w:r>
          </w:p>
        </w:tc>
        <w:tc>
          <w:tcPr>
            <w:tcW w:type="dxa" w:w="1728"/>
            <w:vAlign w:val="center"/>
          </w:tcPr>
          <w:p>
            <w:r>
              <w:rPr>
                <w:sz w:val="13"/>
              </w:rPr>
              <w:t>Ineffective</w:t>
            </w:r>
          </w:p>
        </w:tc>
      </w:tr>
      <w:tr>
        <w:tc>
          <w:tcPr>
            <w:tcW w:type="dxa" w:w="936"/>
            <w:vAlign w:val="center"/>
          </w:tcPr>
          <w:p>
            <w:r>
              <w:rPr>
                <w:sz w:val="13"/>
              </w:rPr>
              <w:t>IR-01</w:t>
            </w:r>
          </w:p>
        </w:tc>
        <w:tc>
          <w:tcPr>
            <w:tcW w:type="dxa" w:w="1440"/>
            <w:vAlign w:val="center"/>
          </w:tcPr>
          <w:p>
            <w:r>
              <w:rPr>
                <w:sz w:val="13"/>
              </w:rPr>
              <w:t>Incident Response</w:t>
            </w:r>
          </w:p>
        </w:tc>
        <w:tc>
          <w:tcPr>
            <w:tcW w:type="dxa" w:w="4032"/>
            <w:vAlign w:val="center"/>
          </w:tcPr>
          <w:p>
            <w:r>
              <w:rPr>
                <w:sz w:val="13"/>
              </w:rPr>
              <w:t>Incident plan, severity model and playbooks</w:t>
            </w:r>
          </w:p>
        </w:tc>
        <w:tc>
          <w:tcPr>
            <w:tcW w:type="dxa" w:w="936"/>
            <w:vAlign w:val="center"/>
          </w:tcPr>
          <w:p>
            <w:r>
              <w:rPr>
                <w:sz w:val="13"/>
              </w:rPr>
              <w:t>High</w:t>
            </w:r>
          </w:p>
        </w:tc>
        <w:tc>
          <w:tcPr>
            <w:tcW w:type="dxa" w:w="1440"/>
            <w:vAlign w:val="center"/>
          </w:tcPr>
          <w:p>
            <w:r>
              <w:rPr>
                <w:sz w:val="13"/>
              </w:rPr>
              <w:t>IR Lead</w:t>
            </w:r>
          </w:p>
        </w:tc>
        <w:tc>
          <w:tcPr>
            <w:tcW w:type="dxa" w:w="1728"/>
            <w:vAlign w:val="center"/>
          </w:tcPr>
          <w:p>
            <w:r>
              <w:rPr>
                <w:sz w:val="13"/>
              </w:rPr>
              <w:t>Effective</w:t>
            </w:r>
          </w:p>
        </w:tc>
      </w:tr>
      <w:tr>
        <w:tc>
          <w:tcPr>
            <w:tcW w:type="dxa" w:w="936"/>
            <w:vAlign w:val="center"/>
          </w:tcPr>
          <w:p>
            <w:r>
              <w:rPr>
                <w:sz w:val="13"/>
              </w:rPr>
              <w:t>IR-02</w:t>
            </w:r>
          </w:p>
        </w:tc>
        <w:tc>
          <w:tcPr>
            <w:tcW w:type="dxa" w:w="1440"/>
            <w:vAlign w:val="center"/>
          </w:tcPr>
          <w:p>
            <w:r>
              <w:rPr>
                <w:sz w:val="13"/>
              </w:rPr>
              <w:t>Incident Response</w:t>
            </w:r>
          </w:p>
        </w:tc>
        <w:tc>
          <w:tcPr>
            <w:tcW w:type="dxa" w:w="4032"/>
            <w:vAlign w:val="center"/>
          </w:tcPr>
          <w:p>
            <w:r>
              <w:rPr>
                <w:sz w:val="13"/>
              </w:rPr>
              <w:t>Evidence preservation and lessons-learned process</w:t>
            </w:r>
          </w:p>
        </w:tc>
        <w:tc>
          <w:tcPr>
            <w:tcW w:type="dxa" w:w="936"/>
            <w:vAlign w:val="center"/>
          </w:tcPr>
          <w:p>
            <w:r>
              <w:rPr>
                <w:sz w:val="13"/>
              </w:rPr>
              <w:t>Medium</w:t>
            </w:r>
          </w:p>
        </w:tc>
        <w:tc>
          <w:tcPr>
            <w:tcW w:type="dxa" w:w="1440"/>
            <w:vAlign w:val="center"/>
          </w:tcPr>
          <w:p>
            <w:r>
              <w:rPr>
                <w:sz w:val="13"/>
              </w:rPr>
              <w:t>IR Lead</w:t>
            </w:r>
          </w:p>
        </w:tc>
        <w:tc>
          <w:tcPr>
            <w:tcW w:type="dxa" w:w="1728"/>
            <w:vAlign w:val="center"/>
          </w:tcPr>
          <w:p>
            <w:r>
              <w:rPr>
                <w:sz w:val="13"/>
              </w:rPr>
              <w:t>Partially Effective</w:t>
            </w:r>
          </w:p>
        </w:tc>
      </w:tr>
      <w:tr>
        <w:tc>
          <w:tcPr>
            <w:tcW w:type="dxa" w:w="936"/>
            <w:vAlign w:val="center"/>
          </w:tcPr>
          <w:p>
            <w:r>
              <w:rPr>
                <w:sz w:val="13"/>
              </w:rPr>
              <w:t>AWR-01</w:t>
            </w:r>
          </w:p>
        </w:tc>
        <w:tc>
          <w:tcPr>
            <w:tcW w:type="dxa" w:w="1440"/>
            <w:vAlign w:val="center"/>
          </w:tcPr>
          <w:p>
            <w:r>
              <w:rPr>
                <w:sz w:val="13"/>
              </w:rPr>
              <w:t>People</w:t>
            </w:r>
          </w:p>
        </w:tc>
        <w:tc>
          <w:tcPr>
            <w:tcW w:type="dxa" w:w="4032"/>
            <w:vAlign w:val="center"/>
          </w:tcPr>
          <w:p>
            <w:r>
              <w:rPr>
                <w:sz w:val="13"/>
              </w:rPr>
              <w:t>Annual awareness plus role-based training</w:t>
            </w:r>
          </w:p>
        </w:tc>
        <w:tc>
          <w:tcPr>
            <w:tcW w:type="dxa" w:w="936"/>
            <w:vAlign w:val="center"/>
          </w:tcPr>
          <w:p>
            <w:r>
              <w:rPr>
                <w:sz w:val="13"/>
              </w:rPr>
              <w:t>Medium</w:t>
            </w:r>
          </w:p>
        </w:tc>
        <w:tc>
          <w:tcPr>
            <w:tcW w:type="dxa" w:w="1440"/>
            <w:vAlign w:val="center"/>
          </w:tcPr>
          <w:p>
            <w:r>
              <w:rPr>
                <w:sz w:val="13"/>
              </w:rPr>
              <w:t>HR/CISO</w:t>
            </w:r>
          </w:p>
        </w:tc>
        <w:tc>
          <w:tcPr>
            <w:tcW w:type="dxa" w:w="1728"/>
            <w:vAlign w:val="center"/>
          </w:tcPr>
          <w:p>
            <w:r>
              <w:rPr>
                <w:sz w:val="13"/>
              </w:rPr>
              <w:t>Partially Effective</w:t>
            </w:r>
          </w:p>
        </w:tc>
      </w:tr>
      <w:tr>
        <w:tc>
          <w:tcPr>
            <w:tcW w:type="dxa" w:w="936"/>
            <w:vAlign w:val="center"/>
          </w:tcPr>
          <w:p>
            <w:r>
              <w:rPr>
                <w:sz w:val="13"/>
              </w:rPr>
              <w:t>AUD-01</w:t>
            </w:r>
          </w:p>
        </w:tc>
        <w:tc>
          <w:tcPr>
            <w:tcW w:type="dxa" w:w="1440"/>
            <w:vAlign w:val="center"/>
          </w:tcPr>
          <w:p>
            <w:r>
              <w:rPr>
                <w:sz w:val="13"/>
              </w:rPr>
              <w:t>Audit</w:t>
            </w:r>
          </w:p>
        </w:tc>
        <w:tc>
          <w:tcPr>
            <w:tcW w:type="dxa" w:w="4032"/>
            <w:vAlign w:val="center"/>
          </w:tcPr>
          <w:p>
            <w:r>
              <w:rPr>
                <w:sz w:val="13"/>
              </w:rPr>
              <w:t>Remediation register with due dates and owners</w:t>
            </w:r>
          </w:p>
        </w:tc>
        <w:tc>
          <w:tcPr>
            <w:tcW w:type="dxa" w:w="936"/>
            <w:vAlign w:val="center"/>
          </w:tcPr>
          <w:p>
            <w:r>
              <w:rPr>
                <w:sz w:val="13"/>
              </w:rPr>
              <w:t>High</w:t>
            </w:r>
          </w:p>
        </w:tc>
        <w:tc>
          <w:tcPr>
            <w:tcW w:type="dxa" w:w="1440"/>
            <w:vAlign w:val="center"/>
          </w:tcPr>
          <w:p>
            <w:r>
              <w:rPr>
                <w:sz w:val="13"/>
              </w:rPr>
              <w:t>CISO</w:t>
            </w:r>
          </w:p>
        </w:tc>
        <w:tc>
          <w:tcPr>
            <w:tcW w:type="dxa" w:w="1728"/>
            <w:vAlign w:val="center"/>
          </w:tcPr>
          <w:p>
            <w:r>
              <w:rPr>
                <w:sz w:val="13"/>
              </w:rPr>
              <w:t>Partially Effective</w:t>
            </w:r>
          </w:p>
        </w:tc>
      </w:tr>
    </w:tbl>
    <w:p>
      <w:pPr>
        <w:spacing w:after="20"/>
      </w:pPr>
    </w:p>
    <w:p>
      <w:pPr>
        <w:pStyle w:val="Heading1"/>
      </w:pPr>
      <w:r>
        <w:t>5. Simulated Audit Execution and Findings</w:t>
      </w:r>
    </w:p>
    <w:p>
      <w:r>
        <w:rPr>
          <w:b w:val="0"/>
          <w:i w:val="0"/>
        </w:rPr>
        <w:t>The following findings are deliberately realistic for a medium-sized public digital service. They represent the results of a simulated audit and should not be interpreted as findings against any real government organization.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792"/>
            <w:vAlign w:val="center"/>
          </w:tcPr>
          <w:p>
            <w:r>
              <w:rPr>
                <w:b/>
                <w:sz w:val="13"/>
              </w:rPr>
              <w:t>ID</w:t>
            </w:r>
          </w:p>
        </w:tc>
        <w:tc>
          <w:tcPr>
            <w:tcW w:type="dxa" w:w="4032"/>
            <w:vAlign w:val="center"/>
          </w:tcPr>
          <w:p>
            <w:r>
              <w:rPr>
                <w:b/>
                <w:sz w:val="13"/>
              </w:rPr>
              <w:t>Observation</w:t>
            </w:r>
          </w:p>
        </w:tc>
        <w:tc>
          <w:tcPr>
            <w:tcW w:type="dxa" w:w="936"/>
            <w:vAlign w:val="center"/>
          </w:tcPr>
          <w:p>
            <w:r>
              <w:rPr>
                <w:b/>
                <w:sz w:val="13"/>
              </w:rPr>
              <w:t>Risk</w:t>
            </w:r>
          </w:p>
        </w:tc>
        <w:tc>
          <w:tcPr>
            <w:tcW w:type="dxa" w:w="3024"/>
            <w:vAlign w:val="center"/>
          </w:tcPr>
          <w:p>
            <w:r>
              <w:rPr>
                <w:b/>
                <w:sz w:val="13"/>
              </w:rPr>
              <w:t>Potential Impact</w:t>
            </w:r>
          </w:p>
        </w:tc>
        <w:tc>
          <w:tcPr>
            <w:tcW w:type="dxa" w:w="1584"/>
            <w:vAlign w:val="center"/>
          </w:tcPr>
          <w:p>
            <w:r>
              <w:rPr>
                <w:b/>
                <w:sz w:val="13"/>
              </w:rPr>
              <w:t>Owner</w:t>
            </w:r>
          </w:p>
        </w:tc>
      </w:tr>
      <w:tr>
        <w:tc>
          <w:tcPr>
            <w:tcW w:type="dxa" w:w="792"/>
            <w:vAlign w:val="center"/>
          </w:tcPr>
          <w:p>
            <w:r>
              <w:rPr>
                <w:sz w:val="13"/>
              </w:rPr>
              <w:t>F-01</w:t>
            </w:r>
          </w:p>
        </w:tc>
        <w:tc>
          <w:tcPr>
            <w:tcW w:type="dxa" w:w="4032"/>
            <w:vAlign w:val="center"/>
          </w:tcPr>
          <w:p>
            <w:r>
              <w:rPr>
                <w:sz w:val="13"/>
              </w:rPr>
              <w:t>Privileged accounts do not consistently use MFA; several administrative paths rely on password-only authentication.</w:t>
            </w:r>
          </w:p>
        </w:tc>
        <w:tc>
          <w:tcPr>
            <w:tcW w:type="dxa" w:w="936"/>
            <w:vAlign w:val="center"/>
          </w:tcPr>
          <w:p>
            <w:r>
              <w:rPr>
                <w:sz w:val="13"/>
              </w:rPr>
              <w:t>Critical</w:t>
            </w:r>
          </w:p>
        </w:tc>
        <w:tc>
          <w:tcPr>
            <w:tcW w:type="dxa" w:w="3024"/>
            <w:vAlign w:val="center"/>
          </w:tcPr>
          <w:p>
            <w:r>
              <w:rPr>
                <w:sz w:val="13"/>
              </w:rPr>
              <w:t>Credential compromise could enable broad administrative access.</w:t>
            </w:r>
          </w:p>
        </w:tc>
        <w:tc>
          <w:tcPr>
            <w:tcW w:type="dxa" w:w="1584"/>
            <w:vAlign w:val="center"/>
          </w:tcPr>
          <w:p>
            <w:r>
              <w:rPr>
                <w:sz w:val="13"/>
              </w:rPr>
              <w:t>IAM/CISO</w:t>
            </w:r>
          </w:p>
        </w:tc>
      </w:tr>
      <w:tr>
        <w:tc>
          <w:tcPr>
            <w:tcW w:type="dxa" w:w="792"/>
            <w:vAlign w:val="center"/>
          </w:tcPr>
          <w:p>
            <w:r>
              <w:rPr>
                <w:sz w:val="13"/>
              </w:rPr>
              <w:t>F-02</w:t>
            </w:r>
          </w:p>
        </w:tc>
        <w:tc>
          <w:tcPr>
            <w:tcW w:type="dxa" w:w="4032"/>
            <w:vAlign w:val="center"/>
          </w:tcPr>
          <w:p>
            <w:r>
              <w:rPr>
                <w:sz w:val="13"/>
              </w:rPr>
              <w:t>Internet-facing systems have inconsistent patch verification and no unified vulnerability SLA.</w:t>
            </w:r>
          </w:p>
        </w:tc>
        <w:tc>
          <w:tcPr>
            <w:tcW w:type="dxa" w:w="936"/>
            <w:vAlign w:val="center"/>
          </w:tcPr>
          <w:p>
            <w:r>
              <w:rPr>
                <w:sz w:val="13"/>
              </w:rPr>
              <w:t>Critical</w:t>
            </w:r>
          </w:p>
        </w:tc>
        <w:tc>
          <w:tcPr>
            <w:tcW w:type="dxa" w:w="3024"/>
            <w:vAlign w:val="center"/>
          </w:tcPr>
          <w:p>
            <w:r>
              <w:rPr>
                <w:sz w:val="13"/>
              </w:rPr>
              <w:t>Known vulnerabilities may remain exploitable.</w:t>
            </w:r>
          </w:p>
        </w:tc>
        <w:tc>
          <w:tcPr>
            <w:tcW w:type="dxa" w:w="1584"/>
            <w:vAlign w:val="center"/>
          </w:tcPr>
          <w:p>
            <w:r>
              <w:rPr>
                <w:sz w:val="13"/>
              </w:rPr>
              <w:t>Infrastructure/Security</w:t>
            </w:r>
          </w:p>
        </w:tc>
      </w:tr>
      <w:tr>
        <w:tc>
          <w:tcPr>
            <w:tcW w:type="dxa" w:w="792"/>
            <w:vAlign w:val="center"/>
          </w:tcPr>
          <w:p>
            <w:r>
              <w:rPr>
                <w:sz w:val="13"/>
              </w:rPr>
              <w:t>F-03</w:t>
            </w:r>
          </w:p>
        </w:tc>
        <w:tc>
          <w:tcPr>
            <w:tcW w:type="dxa" w:w="4032"/>
            <w:vAlign w:val="center"/>
          </w:tcPr>
          <w:p>
            <w:r>
              <w:rPr>
                <w:sz w:val="13"/>
              </w:rPr>
              <w:t>Logs from application, database, cloud and network layers are only partially centralized.</w:t>
            </w:r>
          </w:p>
        </w:tc>
        <w:tc>
          <w:tcPr>
            <w:tcW w:type="dxa" w:w="936"/>
            <w:vAlign w:val="center"/>
          </w:tcPr>
          <w:p>
            <w:r>
              <w:rPr>
                <w:sz w:val="13"/>
              </w:rPr>
              <w:t>High</w:t>
            </w:r>
          </w:p>
        </w:tc>
        <w:tc>
          <w:tcPr>
            <w:tcW w:type="dxa" w:w="3024"/>
            <w:vAlign w:val="center"/>
          </w:tcPr>
          <w:p>
            <w:r>
              <w:rPr>
                <w:sz w:val="13"/>
              </w:rPr>
              <w:t>Delayed detection and incomplete forensic visibility.</w:t>
            </w:r>
          </w:p>
        </w:tc>
        <w:tc>
          <w:tcPr>
            <w:tcW w:type="dxa" w:w="1584"/>
            <w:vAlign w:val="center"/>
          </w:tcPr>
          <w:p>
            <w:r>
              <w:rPr>
                <w:sz w:val="13"/>
              </w:rPr>
              <w:t>SOC</w:t>
            </w:r>
          </w:p>
        </w:tc>
      </w:tr>
      <w:tr>
        <w:tc>
          <w:tcPr>
            <w:tcW w:type="dxa" w:w="792"/>
            <w:vAlign w:val="center"/>
          </w:tcPr>
          <w:p>
            <w:r>
              <w:rPr>
                <w:sz w:val="13"/>
              </w:rPr>
              <w:t>F-04</w:t>
            </w:r>
          </w:p>
        </w:tc>
        <w:tc>
          <w:tcPr>
            <w:tcW w:type="dxa" w:w="4032"/>
            <w:vAlign w:val="center"/>
          </w:tcPr>
          <w:p>
            <w:r>
              <w:rPr>
                <w:sz w:val="13"/>
              </w:rPr>
              <w:t>Backup jobs report success, but full restore tests are not performed on a defined schedule.</w:t>
            </w:r>
          </w:p>
        </w:tc>
        <w:tc>
          <w:tcPr>
            <w:tcW w:type="dxa" w:w="936"/>
            <w:vAlign w:val="center"/>
          </w:tcPr>
          <w:p>
            <w:r>
              <w:rPr>
                <w:sz w:val="13"/>
              </w:rPr>
              <w:t>High</w:t>
            </w:r>
          </w:p>
        </w:tc>
        <w:tc>
          <w:tcPr>
            <w:tcW w:type="dxa" w:w="3024"/>
            <w:vAlign w:val="center"/>
          </w:tcPr>
          <w:p>
            <w:r>
              <w:rPr>
                <w:sz w:val="13"/>
              </w:rPr>
              <w:t>A backup may be unusable during ransomware or outage.</w:t>
            </w:r>
          </w:p>
        </w:tc>
        <w:tc>
          <w:tcPr>
            <w:tcW w:type="dxa" w:w="1584"/>
            <w:vAlign w:val="center"/>
          </w:tcPr>
          <w:p>
            <w:r>
              <w:rPr>
                <w:sz w:val="13"/>
              </w:rPr>
              <w:t>BCP/IT Ops</w:t>
            </w:r>
          </w:p>
        </w:tc>
      </w:tr>
      <w:tr>
        <w:tc>
          <w:tcPr>
            <w:tcW w:type="dxa" w:w="792"/>
            <w:vAlign w:val="center"/>
          </w:tcPr>
          <w:p>
            <w:r>
              <w:rPr>
                <w:sz w:val="13"/>
              </w:rPr>
              <w:t>F-05</w:t>
            </w:r>
          </w:p>
        </w:tc>
        <w:tc>
          <w:tcPr>
            <w:tcW w:type="dxa" w:w="4032"/>
            <w:vAlign w:val="center"/>
          </w:tcPr>
          <w:p>
            <w:r>
              <w:rPr>
                <w:sz w:val="13"/>
              </w:rPr>
              <w:t>Third-party contracts do not consistently define security evidence, incident notification, access restrictions and exit requirements.</w:t>
            </w:r>
          </w:p>
        </w:tc>
        <w:tc>
          <w:tcPr>
            <w:tcW w:type="dxa" w:w="936"/>
            <w:vAlign w:val="center"/>
          </w:tcPr>
          <w:p>
            <w:r>
              <w:rPr>
                <w:sz w:val="13"/>
              </w:rPr>
              <w:t>High</w:t>
            </w:r>
          </w:p>
        </w:tc>
        <w:tc>
          <w:tcPr>
            <w:tcW w:type="dxa" w:w="3024"/>
            <w:vAlign w:val="center"/>
          </w:tcPr>
          <w:p>
            <w:r>
              <w:rPr>
                <w:sz w:val="13"/>
              </w:rPr>
              <w:t>Supplier compromise may affect citizen services and data.</w:t>
            </w:r>
          </w:p>
        </w:tc>
        <w:tc>
          <w:tcPr>
            <w:tcW w:type="dxa" w:w="1584"/>
            <w:vAlign w:val="center"/>
          </w:tcPr>
          <w:p>
            <w:r>
              <w:rPr>
                <w:sz w:val="13"/>
              </w:rPr>
              <w:t>Procurement/CISO</w:t>
            </w:r>
          </w:p>
        </w:tc>
      </w:tr>
      <w:tr>
        <w:tc>
          <w:tcPr>
            <w:tcW w:type="dxa" w:w="792"/>
            <w:vAlign w:val="center"/>
          </w:tcPr>
          <w:p>
            <w:r>
              <w:rPr>
                <w:sz w:val="13"/>
              </w:rPr>
              <w:t>F-06</w:t>
            </w:r>
          </w:p>
        </w:tc>
        <w:tc>
          <w:tcPr>
            <w:tcW w:type="dxa" w:w="4032"/>
            <w:vAlign w:val="center"/>
          </w:tcPr>
          <w:p>
            <w:r>
              <w:rPr>
                <w:sz w:val="13"/>
              </w:rPr>
              <w:t>Secure-development evidence varies by project; API authorization tests are not consistently retained.</w:t>
            </w:r>
          </w:p>
        </w:tc>
        <w:tc>
          <w:tcPr>
            <w:tcW w:type="dxa" w:w="936"/>
            <w:vAlign w:val="center"/>
          </w:tcPr>
          <w:p>
            <w:r>
              <w:rPr>
                <w:sz w:val="13"/>
              </w:rPr>
              <w:t>High</w:t>
            </w:r>
          </w:p>
        </w:tc>
        <w:tc>
          <w:tcPr>
            <w:tcW w:type="dxa" w:w="3024"/>
            <w:vAlign w:val="center"/>
          </w:tcPr>
          <w:p>
            <w:r>
              <w:rPr>
                <w:sz w:val="13"/>
              </w:rPr>
              <w:t>Application flaws may reach production.</w:t>
            </w:r>
          </w:p>
        </w:tc>
        <w:tc>
          <w:tcPr>
            <w:tcW w:type="dxa" w:w="1584"/>
            <w:vAlign w:val="center"/>
          </w:tcPr>
          <w:p>
            <w:r>
              <w:rPr>
                <w:sz w:val="13"/>
              </w:rPr>
              <w:t>Application Team</w:t>
            </w:r>
          </w:p>
        </w:tc>
      </w:tr>
      <w:tr>
        <w:tc>
          <w:tcPr>
            <w:tcW w:type="dxa" w:w="792"/>
            <w:vAlign w:val="center"/>
          </w:tcPr>
          <w:p>
            <w:r>
              <w:rPr>
                <w:sz w:val="13"/>
              </w:rPr>
              <w:t>F-07</w:t>
            </w:r>
          </w:p>
        </w:tc>
        <w:tc>
          <w:tcPr>
            <w:tcW w:type="dxa" w:w="4032"/>
            <w:vAlign w:val="center"/>
          </w:tcPr>
          <w:p>
            <w:r>
              <w:rPr>
                <w:sz w:val="13"/>
              </w:rPr>
              <w:t>Security awareness exists, but role-based training and phishing measurement are limited.</w:t>
            </w:r>
          </w:p>
        </w:tc>
        <w:tc>
          <w:tcPr>
            <w:tcW w:type="dxa" w:w="936"/>
            <w:vAlign w:val="center"/>
          </w:tcPr>
          <w:p>
            <w:r>
              <w:rPr>
                <w:sz w:val="13"/>
              </w:rPr>
              <w:t>Medium</w:t>
            </w:r>
          </w:p>
        </w:tc>
        <w:tc>
          <w:tcPr>
            <w:tcW w:type="dxa" w:w="3024"/>
            <w:vAlign w:val="center"/>
          </w:tcPr>
          <w:p>
            <w:r>
              <w:rPr>
                <w:sz w:val="13"/>
              </w:rPr>
              <w:t>Human error remains a preventable attack path.</w:t>
            </w:r>
          </w:p>
        </w:tc>
        <w:tc>
          <w:tcPr>
            <w:tcW w:type="dxa" w:w="1584"/>
            <w:vAlign w:val="center"/>
          </w:tcPr>
          <w:p>
            <w:r>
              <w:rPr>
                <w:sz w:val="13"/>
              </w:rPr>
              <w:t>HR/CISO</w:t>
            </w:r>
          </w:p>
        </w:tc>
      </w:tr>
      <w:tr>
        <w:tc>
          <w:tcPr>
            <w:tcW w:type="dxa" w:w="792"/>
            <w:vAlign w:val="center"/>
          </w:tcPr>
          <w:p>
            <w:r>
              <w:rPr>
                <w:sz w:val="13"/>
              </w:rPr>
              <w:t>F-08</w:t>
            </w:r>
          </w:p>
        </w:tc>
        <w:tc>
          <w:tcPr>
            <w:tcW w:type="dxa" w:w="4032"/>
            <w:vAlign w:val="center"/>
          </w:tcPr>
          <w:p>
            <w:r>
              <w:rPr>
                <w:sz w:val="13"/>
              </w:rPr>
              <w:t>Audit remediation items are tracked informally without a single risk-ranked register.</w:t>
            </w:r>
          </w:p>
        </w:tc>
        <w:tc>
          <w:tcPr>
            <w:tcW w:type="dxa" w:w="936"/>
            <w:vAlign w:val="center"/>
          </w:tcPr>
          <w:p>
            <w:r>
              <w:rPr>
                <w:sz w:val="13"/>
              </w:rPr>
              <w:t>Medium</w:t>
            </w:r>
          </w:p>
        </w:tc>
        <w:tc>
          <w:tcPr>
            <w:tcW w:type="dxa" w:w="3024"/>
            <w:vAlign w:val="center"/>
          </w:tcPr>
          <w:p>
            <w:r>
              <w:rPr>
                <w:sz w:val="13"/>
              </w:rPr>
              <w:t>Overdue weaknesses may remain unresolved.</w:t>
            </w:r>
          </w:p>
        </w:tc>
        <w:tc>
          <w:tcPr>
            <w:tcW w:type="dxa" w:w="1584"/>
            <w:vAlign w:val="center"/>
          </w:tcPr>
          <w:p>
            <w:r>
              <w:rPr>
                <w:sz w:val="13"/>
              </w:rPr>
              <w:t>CISO</w:t>
            </w:r>
          </w:p>
        </w:tc>
      </w:tr>
    </w:tbl>
    <w:p>
      <w:pPr>
        <w:spacing w:after="20"/>
      </w:pPr>
    </w:p>
    <w:p>
      <w:pPr>
        <w:pStyle w:val="Heading2"/>
      </w:pPr>
      <w:r>
        <w:t>5.1 Root-cause themes</w:t>
      </w:r>
    </w:p>
    <w:p>
      <w:pPr>
        <w:pStyle w:val="ListBullet"/>
        <w:ind w:left="360"/>
      </w:pPr>
      <w:r>
        <w:t>Control ownership is sometimes distributed without a single accountable risk owner.</w:t>
      </w:r>
    </w:p>
    <w:p>
      <w:pPr>
        <w:pStyle w:val="ListBullet"/>
        <w:ind w:left="360"/>
      </w:pPr>
      <w:r>
        <w:t>Technical controls are implemented unevenly across legacy and modern components.</w:t>
      </w:r>
    </w:p>
    <w:p>
      <w:pPr>
        <w:pStyle w:val="ListBullet"/>
        <w:ind w:left="360"/>
      </w:pPr>
      <w:r>
        <w:t>Evidence collection is treated as an audit activity instead of a continuous operational process.</w:t>
      </w:r>
    </w:p>
    <w:p>
      <w:pPr>
        <w:pStyle w:val="ListBullet"/>
        <w:ind w:left="360"/>
      </w:pPr>
      <w:r>
        <w:t>Security requirements are not always embedded early enough into procurement and software delivery.</w:t>
      </w:r>
    </w:p>
    <w:p>
      <w:pPr>
        <w:pStyle w:val="ListBullet"/>
        <w:ind w:left="360"/>
      </w:pPr>
      <w:r>
        <w:t>Recovery assurance focuses on backup completion rather than successful restoration and business-service recovery.</w:t>
      </w:r>
    </w:p>
    <w:p>
      <w:pPr>
        <w:pStyle w:val="Heading1"/>
      </w:pPr>
      <w:r>
        <w:t>6. Risk Assessment and Prioritization</w:t>
      </w:r>
    </w:p>
    <w:p>
      <w:r>
        <w:rPr>
          <w:b w:val="0"/>
          <w:i w:val="0"/>
        </w:rPr>
        <w:t>Risk is prioritized using Likelihood × Impact. Likelihood considers exposure, exploitability, control maturity and evidence of recurring weakness. Impact considers confidentiality, integrity, availability, citizen harm, regulatory consequences, operational disruption and reputational damage.</w:t>
      </w:r>
    </w:p>
    <w:tbl>
      <w:tblPr>
        <w:tblStyle w:val="TableGrid"/>
        <w:tblW w:type="auto" w:w="0"/>
        <w:jc w:val="center"/>
        <w:tblLook w:firstColumn="1" w:firstRow="1" w:lastColumn="0" w:lastRow="0" w:noHBand="0" w:noVBand="1" w:val="04A0"/>
      </w:tblPr>
      <w:tblGrid>
        <w:gridCol w:w="3408"/>
        <w:gridCol w:w="3408"/>
        <w:gridCol w:w="3408"/>
      </w:tblGrid>
      <w:tr>
        <w:tc>
          <w:tcPr>
            <w:tcW w:type="dxa" w:w="1440"/>
            <w:vAlign w:val="center"/>
          </w:tcPr>
          <w:p>
            <w:r>
              <w:rPr>
                <w:b/>
                <w:sz w:val="16"/>
              </w:rPr>
              <w:t>Score</w:t>
            </w:r>
          </w:p>
        </w:tc>
        <w:tc>
          <w:tcPr>
            <w:tcW w:type="dxa" w:w="1728"/>
            <w:vAlign w:val="center"/>
          </w:tcPr>
          <w:p>
            <w:r>
              <w:rPr>
                <w:b/>
                <w:sz w:val="16"/>
              </w:rPr>
              <w:t>Level</w:t>
            </w:r>
          </w:p>
        </w:tc>
        <w:tc>
          <w:tcPr>
            <w:tcW w:type="dxa" w:w="6480"/>
            <w:vAlign w:val="center"/>
          </w:tcPr>
          <w:p>
            <w:r>
              <w:rPr>
                <w:b/>
                <w:sz w:val="16"/>
              </w:rPr>
              <w:t>Response Expectation</w:t>
            </w:r>
          </w:p>
        </w:tc>
      </w:tr>
      <w:tr>
        <w:tc>
          <w:tcPr>
            <w:tcW w:type="dxa" w:w="1440"/>
            <w:vAlign w:val="center"/>
          </w:tcPr>
          <w:p>
            <w:r>
              <w:rPr>
                <w:sz w:val="16"/>
              </w:rPr>
              <w:t>15–25</w:t>
            </w:r>
          </w:p>
        </w:tc>
        <w:tc>
          <w:tcPr>
            <w:tcW w:type="dxa" w:w="1728"/>
            <w:vAlign w:val="center"/>
          </w:tcPr>
          <w:p>
            <w:r>
              <w:rPr>
                <w:sz w:val="16"/>
              </w:rPr>
              <w:t>Critical</w:t>
            </w:r>
          </w:p>
        </w:tc>
        <w:tc>
          <w:tcPr>
            <w:tcW w:type="dxa" w:w="6480"/>
            <w:vAlign w:val="center"/>
          </w:tcPr>
          <w:p>
            <w:r>
              <w:rPr>
                <w:sz w:val="16"/>
              </w:rPr>
              <w:t>Immediate executive attention; containment and remediation plan within days.</w:t>
            </w:r>
          </w:p>
        </w:tc>
      </w:tr>
      <w:tr>
        <w:tc>
          <w:tcPr>
            <w:tcW w:type="dxa" w:w="1440"/>
            <w:vAlign w:val="center"/>
          </w:tcPr>
          <w:p>
            <w:r>
              <w:rPr>
                <w:sz w:val="16"/>
              </w:rPr>
              <w:t>8–14</w:t>
            </w:r>
          </w:p>
        </w:tc>
        <w:tc>
          <w:tcPr>
            <w:tcW w:type="dxa" w:w="1728"/>
            <w:vAlign w:val="center"/>
          </w:tcPr>
          <w:p>
            <w:r>
              <w:rPr>
                <w:sz w:val="16"/>
              </w:rPr>
              <w:t>High</w:t>
            </w:r>
          </w:p>
        </w:tc>
        <w:tc>
          <w:tcPr>
            <w:tcW w:type="dxa" w:w="6480"/>
            <w:vAlign w:val="center"/>
          </w:tcPr>
          <w:p>
            <w:r>
              <w:rPr>
                <w:sz w:val="16"/>
              </w:rPr>
              <w:t>Formal owner and target date; remediation normally within 30–60 days.</w:t>
            </w:r>
          </w:p>
        </w:tc>
      </w:tr>
      <w:tr>
        <w:tc>
          <w:tcPr>
            <w:tcW w:type="dxa" w:w="1440"/>
            <w:vAlign w:val="center"/>
          </w:tcPr>
          <w:p>
            <w:r>
              <w:rPr>
                <w:sz w:val="16"/>
              </w:rPr>
              <w:t>4–7</w:t>
            </w:r>
          </w:p>
        </w:tc>
        <w:tc>
          <w:tcPr>
            <w:tcW w:type="dxa" w:w="1728"/>
            <w:vAlign w:val="center"/>
          </w:tcPr>
          <w:p>
            <w:r>
              <w:rPr>
                <w:sz w:val="16"/>
              </w:rPr>
              <w:t>Medium</w:t>
            </w:r>
          </w:p>
        </w:tc>
        <w:tc>
          <w:tcPr>
            <w:tcW w:type="dxa" w:w="6480"/>
            <w:vAlign w:val="center"/>
          </w:tcPr>
          <w:p>
            <w:r>
              <w:rPr>
                <w:sz w:val="16"/>
              </w:rPr>
              <w:t>Remediate within a planned quarter and monitor.</w:t>
            </w:r>
          </w:p>
        </w:tc>
      </w:tr>
      <w:tr>
        <w:tc>
          <w:tcPr>
            <w:tcW w:type="dxa" w:w="1440"/>
            <w:vAlign w:val="center"/>
          </w:tcPr>
          <w:p>
            <w:r>
              <w:rPr>
                <w:sz w:val="16"/>
              </w:rPr>
              <w:t>1–3</w:t>
            </w:r>
          </w:p>
        </w:tc>
        <w:tc>
          <w:tcPr>
            <w:tcW w:type="dxa" w:w="1728"/>
            <w:vAlign w:val="center"/>
          </w:tcPr>
          <w:p>
            <w:r>
              <w:rPr>
                <w:sz w:val="16"/>
              </w:rPr>
              <w:t>Low</w:t>
            </w:r>
          </w:p>
        </w:tc>
        <w:tc>
          <w:tcPr>
            <w:tcW w:type="dxa" w:w="6480"/>
            <w:vAlign w:val="center"/>
          </w:tcPr>
          <w:p>
            <w:r>
              <w:rPr>
                <w:sz w:val="16"/>
              </w:rPr>
              <w:t>Address through routine improvement; accept only with documented rationale.</w:t>
            </w:r>
          </w:p>
        </w:tc>
      </w:tr>
    </w:tbl>
    <w:p>
      <w:pPr>
        <w:spacing w:after="20"/>
      </w:pP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008"/>
            <w:vAlign w:val="center"/>
          </w:tcPr>
          <w:p>
            <w:r>
              <w:rPr>
                <w:b/>
                <w:sz w:val="15"/>
              </w:rPr>
              <w:t>Finding</w:t>
            </w:r>
          </w:p>
        </w:tc>
        <w:tc>
          <w:tcPr>
            <w:tcW w:type="dxa" w:w="1152"/>
            <w:vAlign w:val="center"/>
          </w:tcPr>
          <w:p>
            <w:r>
              <w:rPr>
                <w:b/>
                <w:sz w:val="15"/>
              </w:rPr>
              <w:t>Likelihood</w:t>
            </w:r>
          </w:p>
        </w:tc>
        <w:tc>
          <w:tcPr>
            <w:tcW w:type="dxa" w:w="1008"/>
            <w:vAlign w:val="center"/>
          </w:tcPr>
          <w:p>
            <w:r>
              <w:rPr>
                <w:b/>
                <w:sz w:val="15"/>
              </w:rPr>
              <w:t>Impact</w:t>
            </w:r>
          </w:p>
        </w:tc>
        <w:tc>
          <w:tcPr>
            <w:tcW w:type="dxa" w:w="1008"/>
            <w:vAlign w:val="center"/>
          </w:tcPr>
          <w:p>
            <w:r>
              <w:rPr>
                <w:b/>
                <w:sz w:val="15"/>
              </w:rPr>
              <w:t>Score</w:t>
            </w:r>
          </w:p>
        </w:tc>
        <w:tc>
          <w:tcPr>
            <w:tcW w:type="dxa" w:w="1872"/>
            <w:vAlign w:val="center"/>
          </w:tcPr>
          <w:p>
            <w:r>
              <w:rPr>
                <w:b/>
                <w:sz w:val="15"/>
              </w:rPr>
              <w:t>Priority</w:t>
            </w:r>
          </w:p>
        </w:tc>
        <w:tc>
          <w:tcPr>
            <w:tcW w:type="dxa" w:w="1584"/>
            <w:vAlign w:val="center"/>
          </w:tcPr>
          <w:p>
            <w:r>
              <w:rPr>
                <w:b/>
                <w:sz w:val="15"/>
              </w:rPr>
              <w:t>Target</w:t>
            </w:r>
          </w:p>
        </w:tc>
      </w:tr>
      <w:tr>
        <w:tc>
          <w:tcPr>
            <w:tcW w:type="dxa" w:w="1008"/>
            <w:vAlign w:val="center"/>
          </w:tcPr>
          <w:p>
            <w:r>
              <w:rPr>
                <w:sz w:val="15"/>
              </w:rPr>
              <w:t>F-01</w:t>
            </w:r>
          </w:p>
        </w:tc>
        <w:tc>
          <w:tcPr>
            <w:tcW w:type="dxa" w:w="1152"/>
            <w:vAlign w:val="center"/>
          </w:tcPr>
          <w:p>
            <w:r>
              <w:rPr>
                <w:sz w:val="15"/>
              </w:rPr>
              <w:t>5</w:t>
            </w:r>
          </w:p>
        </w:tc>
        <w:tc>
          <w:tcPr>
            <w:tcW w:type="dxa" w:w="1008"/>
            <w:vAlign w:val="center"/>
          </w:tcPr>
          <w:p>
            <w:r>
              <w:rPr>
                <w:sz w:val="15"/>
              </w:rPr>
              <w:t>5</w:t>
            </w:r>
          </w:p>
        </w:tc>
        <w:tc>
          <w:tcPr>
            <w:tcW w:type="dxa" w:w="1008"/>
            <w:vAlign w:val="center"/>
          </w:tcPr>
          <w:p>
            <w:r>
              <w:rPr>
                <w:sz w:val="15"/>
              </w:rPr>
              <w:t>25</w:t>
            </w:r>
          </w:p>
        </w:tc>
        <w:tc>
          <w:tcPr>
            <w:tcW w:type="dxa" w:w="1872"/>
            <w:vAlign w:val="center"/>
          </w:tcPr>
          <w:p>
            <w:r>
              <w:rPr>
                <w:sz w:val="15"/>
              </w:rPr>
              <w:t>Critical</w:t>
            </w:r>
          </w:p>
        </w:tc>
        <w:tc>
          <w:tcPr>
            <w:tcW w:type="dxa" w:w="1584"/>
            <w:vAlign w:val="center"/>
          </w:tcPr>
          <w:p>
            <w:r>
              <w:rPr>
                <w:sz w:val="15"/>
              </w:rPr>
              <w:t>Immediate</w:t>
            </w:r>
          </w:p>
        </w:tc>
      </w:tr>
      <w:tr>
        <w:tc>
          <w:tcPr>
            <w:tcW w:type="dxa" w:w="1008"/>
            <w:vAlign w:val="center"/>
          </w:tcPr>
          <w:p>
            <w:r>
              <w:rPr>
                <w:sz w:val="15"/>
              </w:rPr>
              <w:t>F-02</w:t>
            </w:r>
          </w:p>
        </w:tc>
        <w:tc>
          <w:tcPr>
            <w:tcW w:type="dxa" w:w="1152"/>
            <w:vAlign w:val="center"/>
          </w:tcPr>
          <w:p>
            <w:r>
              <w:rPr>
                <w:sz w:val="15"/>
              </w:rPr>
              <w:t>5</w:t>
            </w:r>
          </w:p>
        </w:tc>
        <w:tc>
          <w:tcPr>
            <w:tcW w:type="dxa" w:w="1008"/>
            <w:vAlign w:val="center"/>
          </w:tcPr>
          <w:p>
            <w:r>
              <w:rPr>
                <w:sz w:val="15"/>
              </w:rPr>
              <w:t>5</w:t>
            </w:r>
          </w:p>
        </w:tc>
        <w:tc>
          <w:tcPr>
            <w:tcW w:type="dxa" w:w="1008"/>
            <w:vAlign w:val="center"/>
          </w:tcPr>
          <w:p>
            <w:r>
              <w:rPr>
                <w:sz w:val="15"/>
              </w:rPr>
              <w:t>25</w:t>
            </w:r>
          </w:p>
        </w:tc>
        <w:tc>
          <w:tcPr>
            <w:tcW w:type="dxa" w:w="1872"/>
            <w:vAlign w:val="center"/>
          </w:tcPr>
          <w:p>
            <w:r>
              <w:rPr>
                <w:sz w:val="15"/>
              </w:rPr>
              <w:t>Critical</w:t>
            </w:r>
          </w:p>
        </w:tc>
        <w:tc>
          <w:tcPr>
            <w:tcW w:type="dxa" w:w="1584"/>
            <w:vAlign w:val="center"/>
          </w:tcPr>
          <w:p>
            <w:r>
              <w:rPr>
                <w:sz w:val="15"/>
              </w:rPr>
              <w:t>Immediate</w:t>
            </w:r>
          </w:p>
        </w:tc>
      </w:tr>
      <w:tr>
        <w:tc>
          <w:tcPr>
            <w:tcW w:type="dxa" w:w="1008"/>
            <w:vAlign w:val="center"/>
          </w:tcPr>
          <w:p>
            <w:r>
              <w:rPr>
                <w:sz w:val="15"/>
              </w:rPr>
              <w:t>F-03</w:t>
            </w:r>
          </w:p>
        </w:tc>
        <w:tc>
          <w:tcPr>
            <w:tcW w:type="dxa" w:w="1152"/>
            <w:vAlign w:val="center"/>
          </w:tcPr>
          <w:p>
            <w:r>
              <w:rPr>
                <w:sz w:val="15"/>
              </w:rPr>
              <w:t>4</w:t>
            </w:r>
          </w:p>
        </w:tc>
        <w:tc>
          <w:tcPr>
            <w:tcW w:type="dxa" w:w="1008"/>
            <w:vAlign w:val="center"/>
          </w:tcPr>
          <w:p>
            <w:r>
              <w:rPr>
                <w:sz w:val="15"/>
              </w:rPr>
              <w:t>5</w:t>
            </w:r>
          </w:p>
        </w:tc>
        <w:tc>
          <w:tcPr>
            <w:tcW w:type="dxa" w:w="1008"/>
            <w:vAlign w:val="center"/>
          </w:tcPr>
          <w:p>
            <w:r>
              <w:rPr>
                <w:sz w:val="15"/>
              </w:rPr>
              <w:t>20</w:t>
            </w:r>
          </w:p>
        </w:tc>
        <w:tc>
          <w:tcPr>
            <w:tcW w:type="dxa" w:w="1872"/>
            <w:vAlign w:val="center"/>
          </w:tcPr>
          <w:p>
            <w:r>
              <w:rPr>
                <w:sz w:val="15"/>
              </w:rPr>
              <w:t>Critical/High</w:t>
            </w:r>
          </w:p>
        </w:tc>
        <w:tc>
          <w:tcPr>
            <w:tcW w:type="dxa" w:w="1584"/>
            <w:vAlign w:val="center"/>
          </w:tcPr>
          <w:p>
            <w:r>
              <w:rPr>
                <w:sz w:val="15"/>
              </w:rPr>
              <w:t>30 days</w:t>
            </w:r>
          </w:p>
        </w:tc>
      </w:tr>
      <w:tr>
        <w:tc>
          <w:tcPr>
            <w:tcW w:type="dxa" w:w="1008"/>
            <w:vAlign w:val="center"/>
          </w:tcPr>
          <w:p>
            <w:r>
              <w:rPr>
                <w:sz w:val="15"/>
              </w:rPr>
              <w:t>F-04</w:t>
            </w:r>
          </w:p>
        </w:tc>
        <w:tc>
          <w:tcPr>
            <w:tcW w:type="dxa" w:w="1152"/>
            <w:vAlign w:val="center"/>
          </w:tcPr>
          <w:p>
            <w:r>
              <w:rPr>
                <w:sz w:val="15"/>
              </w:rPr>
              <w:t>4</w:t>
            </w:r>
          </w:p>
        </w:tc>
        <w:tc>
          <w:tcPr>
            <w:tcW w:type="dxa" w:w="1008"/>
            <w:vAlign w:val="center"/>
          </w:tcPr>
          <w:p>
            <w:r>
              <w:rPr>
                <w:sz w:val="15"/>
              </w:rPr>
              <w:t>5</w:t>
            </w:r>
          </w:p>
        </w:tc>
        <w:tc>
          <w:tcPr>
            <w:tcW w:type="dxa" w:w="1008"/>
            <w:vAlign w:val="center"/>
          </w:tcPr>
          <w:p>
            <w:r>
              <w:rPr>
                <w:sz w:val="15"/>
              </w:rPr>
              <w:t>20</w:t>
            </w:r>
          </w:p>
        </w:tc>
        <w:tc>
          <w:tcPr>
            <w:tcW w:type="dxa" w:w="1872"/>
            <w:vAlign w:val="center"/>
          </w:tcPr>
          <w:p>
            <w:r>
              <w:rPr>
                <w:sz w:val="15"/>
              </w:rPr>
              <w:t>Critical/High</w:t>
            </w:r>
          </w:p>
        </w:tc>
        <w:tc>
          <w:tcPr>
            <w:tcW w:type="dxa" w:w="1584"/>
            <w:vAlign w:val="center"/>
          </w:tcPr>
          <w:p>
            <w:r>
              <w:rPr>
                <w:sz w:val="15"/>
              </w:rPr>
              <w:t>30–45 days</w:t>
            </w:r>
          </w:p>
        </w:tc>
      </w:tr>
      <w:tr>
        <w:tc>
          <w:tcPr>
            <w:tcW w:type="dxa" w:w="1008"/>
            <w:vAlign w:val="center"/>
          </w:tcPr>
          <w:p>
            <w:r>
              <w:rPr>
                <w:sz w:val="15"/>
              </w:rPr>
              <w:t>F-05</w:t>
            </w:r>
          </w:p>
        </w:tc>
        <w:tc>
          <w:tcPr>
            <w:tcW w:type="dxa" w:w="1152"/>
            <w:vAlign w:val="center"/>
          </w:tcPr>
          <w:p>
            <w:r>
              <w:rPr>
                <w:sz w:val="15"/>
              </w:rPr>
              <w:t>4</w:t>
            </w:r>
          </w:p>
        </w:tc>
        <w:tc>
          <w:tcPr>
            <w:tcW w:type="dxa" w:w="1008"/>
            <w:vAlign w:val="center"/>
          </w:tcPr>
          <w:p>
            <w:r>
              <w:rPr>
                <w:sz w:val="15"/>
              </w:rPr>
              <w:t>4</w:t>
            </w:r>
          </w:p>
        </w:tc>
        <w:tc>
          <w:tcPr>
            <w:tcW w:type="dxa" w:w="1008"/>
            <w:vAlign w:val="center"/>
          </w:tcPr>
          <w:p>
            <w:r>
              <w:rPr>
                <w:sz w:val="15"/>
              </w:rPr>
              <w:t>16</w:t>
            </w:r>
          </w:p>
        </w:tc>
        <w:tc>
          <w:tcPr>
            <w:tcW w:type="dxa" w:w="1872"/>
            <w:vAlign w:val="center"/>
          </w:tcPr>
          <w:p>
            <w:r>
              <w:rPr>
                <w:sz w:val="15"/>
              </w:rPr>
              <w:t>Critical/High</w:t>
            </w:r>
          </w:p>
        </w:tc>
        <w:tc>
          <w:tcPr>
            <w:tcW w:type="dxa" w:w="1584"/>
            <w:vAlign w:val="center"/>
          </w:tcPr>
          <w:p>
            <w:r>
              <w:rPr>
                <w:sz w:val="15"/>
              </w:rPr>
              <w:t>45 days</w:t>
            </w:r>
          </w:p>
        </w:tc>
      </w:tr>
      <w:tr>
        <w:tc>
          <w:tcPr>
            <w:tcW w:type="dxa" w:w="1008"/>
            <w:vAlign w:val="center"/>
          </w:tcPr>
          <w:p>
            <w:r>
              <w:rPr>
                <w:sz w:val="15"/>
              </w:rPr>
              <w:t>F-06</w:t>
            </w:r>
          </w:p>
        </w:tc>
        <w:tc>
          <w:tcPr>
            <w:tcW w:type="dxa" w:w="1152"/>
            <w:vAlign w:val="center"/>
          </w:tcPr>
          <w:p>
            <w:r>
              <w:rPr>
                <w:sz w:val="15"/>
              </w:rPr>
              <w:t>4</w:t>
            </w:r>
          </w:p>
        </w:tc>
        <w:tc>
          <w:tcPr>
            <w:tcW w:type="dxa" w:w="1008"/>
            <w:vAlign w:val="center"/>
          </w:tcPr>
          <w:p>
            <w:r>
              <w:rPr>
                <w:sz w:val="15"/>
              </w:rPr>
              <w:t>4</w:t>
            </w:r>
          </w:p>
        </w:tc>
        <w:tc>
          <w:tcPr>
            <w:tcW w:type="dxa" w:w="1008"/>
            <w:vAlign w:val="center"/>
          </w:tcPr>
          <w:p>
            <w:r>
              <w:rPr>
                <w:sz w:val="15"/>
              </w:rPr>
              <w:t>16</w:t>
            </w:r>
          </w:p>
        </w:tc>
        <w:tc>
          <w:tcPr>
            <w:tcW w:type="dxa" w:w="1872"/>
            <w:vAlign w:val="center"/>
          </w:tcPr>
          <w:p>
            <w:r>
              <w:rPr>
                <w:sz w:val="15"/>
              </w:rPr>
              <w:t>Critical/High</w:t>
            </w:r>
          </w:p>
        </w:tc>
        <w:tc>
          <w:tcPr>
            <w:tcW w:type="dxa" w:w="1584"/>
            <w:vAlign w:val="center"/>
          </w:tcPr>
          <w:p>
            <w:r>
              <w:rPr>
                <w:sz w:val="15"/>
              </w:rPr>
              <w:t>45 days</w:t>
            </w:r>
          </w:p>
        </w:tc>
      </w:tr>
      <w:tr>
        <w:tc>
          <w:tcPr>
            <w:tcW w:type="dxa" w:w="1008"/>
            <w:vAlign w:val="center"/>
          </w:tcPr>
          <w:p>
            <w:r>
              <w:rPr>
                <w:sz w:val="15"/>
              </w:rPr>
              <w:t>F-07</w:t>
            </w:r>
          </w:p>
        </w:tc>
        <w:tc>
          <w:tcPr>
            <w:tcW w:type="dxa" w:w="1152"/>
            <w:vAlign w:val="center"/>
          </w:tcPr>
          <w:p>
            <w:r>
              <w:rPr>
                <w:sz w:val="15"/>
              </w:rPr>
              <w:t>3</w:t>
            </w:r>
          </w:p>
        </w:tc>
        <w:tc>
          <w:tcPr>
            <w:tcW w:type="dxa" w:w="1008"/>
            <w:vAlign w:val="center"/>
          </w:tcPr>
          <w:p>
            <w:r>
              <w:rPr>
                <w:sz w:val="15"/>
              </w:rPr>
              <w:t>3</w:t>
            </w:r>
          </w:p>
        </w:tc>
        <w:tc>
          <w:tcPr>
            <w:tcW w:type="dxa" w:w="1008"/>
            <w:vAlign w:val="center"/>
          </w:tcPr>
          <w:p>
            <w:r>
              <w:rPr>
                <w:sz w:val="15"/>
              </w:rPr>
              <w:t>9</w:t>
            </w:r>
          </w:p>
        </w:tc>
        <w:tc>
          <w:tcPr>
            <w:tcW w:type="dxa" w:w="1872"/>
            <w:vAlign w:val="center"/>
          </w:tcPr>
          <w:p>
            <w:r>
              <w:rPr>
                <w:sz w:val="15"/>
              </w:rPr>
              <w:t>High/Medium</w:t>
            </w:r>
          </w:p>
        </w:tc>
        <w:tc>
          <w:tcPr>
            <w:tcW w:type="dxa" w:w="1584"/>
            <w:vAlign w:val="center"/>
          </w:tcPr>
          <w:p>
            <w:r>
              <w:rPr>
                <w:sz w:val="15"/>
              </w:rPr>
              <w:t>60–90 days</w:t>
            </w:r>
          </w:p>
        </w:tc>
      </w:tr>
      <w:tr>
        <w:tc>
          <w:tcPr>
            <w:tcW w:type="dxa" w:w="1008"/>
            <w:vAlign w:val="center"/>
          </w:tcPr>
          <w:p>
            <w:r>
              <w:rPr>
                <w:sz w:val="15"/>
              </w:rPr>
              <w:t>F-08</w:t>
            </w:r>
          </w:p>
        </w:tc>
        <w:tc>
          <w:tcPr>
            <w:tcW w:type="dxa" w:w="1152"/>
            <w:vAlign w:val="center"/>
          </w:tcPr>
          <w:p>
            <w:r>
              <w:rPr>
                <w:sz w:val="15"/>
              </w:rPr>
              <w:t>3</w:t>
            </w:r>
          </w:p>
        </w:tc>
        <w:tc>
          <w:tcPr>
            <w:tcW w:type="dxa" w:w="1008"/>
            <w:vAlign w:val="center"/>
          </w:tcPr>
          <w:p>
            <w:r>
              <w:rPr>
                <w:sz w:val="15"/>
              </w:rPr>
              <w:t>3</w:t>
            </w:r>
          </w:p>
        </w:tc>
        <w:tc>
          <w:tcPr>
            <w:tcW w:type="dxa" w:w="1008"/>
            <w:vAlign w:val="center"/>
          </w:tcPr>
          <w:p>
            <w:r>
              <w:rPr>
                <w:sz w:val="15"/>
              </w:rPr>
              <w:t>9</w:t>
            </w:r>
          </w:p>
        </w:tc>
        <w:tc>
          <w:tcPr>
            <w:tcW w:type="dxa" w:w="1872"/>
            <w:vAlign w:val="center"/>
          </w:tcPr>
          <w:p>
            <w:r>
              <w:rPr>
                <w:sz w:val="15"/>
              </w:rPr>
              <w:t>High/Medium</w:t>
            </w:r>
          </w:p>
        </w:tc>
        <w:tc>
          <w:tcPr>
            <w:tcW w:type="dxa" w:w="1584"/>
            <w:vAlign w:val="center"/>
          </w:tcPr>
          <w:p>
            <w:r>
              <w:rPr>
                <w:sz w:val="15"/>
              </w:rPr>
              <w:t>60 days</w:t>
            </w:r>
          </w:p>
        </w:tc>
      </w:tr>
    </w:tbl>
    <w:p>
      <w:pPr>
        <w:spacing w:after="20"/>
      </w:pPr>
    </w:p>
    <w:p>
      <w:pPr>
        <w:pStyle w:val="Heading2"/>
      </w:pPr>
      <w:r>
        <w:t>6.1 Risk treatment options</w:t>
      </w:r>
    </w:p>
    <w:p>
      <w:r>
        <w:rPr>
          <w:b w:val="0"/>
          <w:i w:val="0"/>
        </w:rPr>
        <w:t>For each risk, management may mitigate, transfer, avoid, or formally accept the risk. Acceptance should be explicit, time-bound, assigned to an accountable authority, and supported by rationale. Critical findings should not be treated as accepted merely because remediation is inconvenient.</w:t>
      </w:r>
    </w:p>
    <w:p>
      <w:pPr>
        <w:pStyle w:val="Heading1"/>
      </w:pPr>
      <w:r>
        <w:t>7. Detailed Recommendations and Remediation Plan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936"/>
            <w:vAlign w:val="center"/>
          </w:tcPr>
          <w:p>
            <w:r>
              <w:rPr>
                <w:b/>
                <w:sz w:val="13"/>
              </w:rPr>
              <w:t>Finding</w:t>
            </w:r>
          </w:p>
        </w:tc>
        <w:tc>
          <w:tcPr>
            <w:tcW w:type="dxa" w:w="4176"/>
            <w:vAlign w:val="center"/>
          </w:tcPr>
          <w:p>
            <w:r>
              <w:rPr>
                <w:b/>
                <w:sz w:val="13"/>
              </w:rPr>
              <w:t>Action</w:t>
            </w:r>
          </w:p>
        </w:tc>
        <w:tc>
          <w:tcPr>
            <w:tcW w:type="dxa" w:w="1440"/>
            <w:vAlign w:val="center"/>
          </w:tcPr>
          <w:p>
            <w:r>
              <w:rPr>
                <w:b/>
                <w:sz w:val="13"/>
              </w:rPr>
              <w:t>Owner</w:t>
            </w:r>
          </w:p>
        </w:tc>
        <w:tc>
          <w:tcPr>
            <w:tcW w:type="dxa" w:w="1440"/>
            <w:vAlign w:val="center"/>
          </w:tcPr>
          <w:p>
            <w:r>
              <w:rPr>
                <w:b/>
                <w:sz w:val="13"/>
              </w:rPr>
              <w:t>Timeframe</w:t>
            </w:r>
          </w:p>
        </w:tc>
        <w:tc>
          <w:tcPr>
            <w:tcW w:type="dxa" w:w="2016"/>
            <w:vAlign w:val="center"/>
          </w:tcPr>
          <w:p>
            <w:r>
              <w:rPr>
                <w:b/>
                <w:sz w:val="13"/>
              </w:rPr>
              <w:t>Verification Evidence</w:t>
            </w:r>
          </w:p>
        </w:tc>
      </w:tr>
      <w:tr>
        <w:tc>
          <w:tcPr>
            <w:tcW w:type="dxa" w:w="936"/>
            <w:vAlign w:val="center"/>
          </w:tcPr>
          <w:p>
            <w:r>
              <w:rPr>
                <w:sz w:val="13"/>
              </w:rPr>
              <w:t>F-01</w:t>
            </w:r>
          </w:p>
        </w:tc>
        <w:tc>
          <w:tcPr>
            <w:tcW w:type="dxa" w:w="4176"/>
            <w:vAlign w:val="center"/>
          </w:tcPr>
          <w:p>
            <w:r>
              <w:rPr>
                <w:sz w:val="13"/>
              </w:rPr>
              <w:t>Enforce phishing-resistant or strong MFA for all privileged accounts; remove shared admin credentials; implement privileged access management; review emergency accounts.</w:t>
            </w:r>
          </w:p>
        </w:tc>
        <w:tc>
          <w:tcPr>
            <w:tcW w:type="dxa" w:w="1440"/>
            <w:vAlign w:val="center"/>
          </w:tcPr>
          <w:p>
            <w:r>
              <w:rPr>
                <w:sz w:val="13"/>
              </w:rPr>
              <w:t>CISO + IAM</w:t>
            </w:r>
          </w:p>
        </w:tc>
        <w:tc>
          <w:tcPr>
            <w:tcW w:type="dxa" w:w="1440"/>
            <w:vAlign w:val="center"/>
          </w:tcPr>
          <w:p>
            <w:r>
              <w:rPr>
                <w:sz w:val="13"/>
              </w:rPr>
              <w:t>0–30 days</w:t>
            </w:r>
          </w:p>
        </w:tc>
        <w:tc>
          <w:tcPr>
            <w:tcW w:type="dxa" w:w="2016"/>
            <w:vAlign w:val="center"/>
          </w:tcPr>
          <w:p>
            <w:r>
              <w:rPr>
                <w:sz w:val="13"/>
              </w:rPr>
              <w:t>MFA coverage report; privileged-access review</w:t>
            </w:r>
          </w:p>
        </w:tc>
      </w:tr>
      <w:tr>
        <w:tc>
          <w:tcPr>
            <w:tcW w:type="dxa" w:w="936"/>
            <w:vAlign w:val="center"/>
          </w:tcPr>
          <w:p>
            <w:r>
              <w:rPr>
                <w:sz w:val="13"/>
              </w:rPr>
              <w:t>F-02</w:t>
            </w:r>
          </w:p>
        </w:tc>
        <w:tc>
          <w:tcPr>
            <w:tcW w:type="dxa" w:w="4176"/>
            <w:vAlign w:val="center"/>
          </w:tcPr>
          <w:p>
            <w:r>
              <w:rPr>
                <w:sz w:val="13"/>
              </w:rPr>
              <w:t>Create asset-to-vulnerability ownership; define severity-based remediation SLAs; automate authenticated scans and exception tracking.</w:t>
            </w:r>
          </w:p>
        </w:tc>
        <w:tc>
          <w:tcPr>
            <w:tcW w:type="dxa" w:w="1440"/>
            <w:vAlign w:val="center"/>
          </w:tcPr>
          <w:p>
            <w:r>
              <w:rPr>
                <w:sz w:val="13"/>
              </w:rPr>
              <w:t>Security + IT Ops</w:t>
            </w:r>
          </w:p>
        </w:tc>
        <w:tc>
          <w:tcPr>
            <w:tcW w:type="dxa" w:w="1440"/>
            <w:vAlign w:val="center"/>
          </w:tcPr>
          <w:p>
            <w:r>
              <w:rPr>
                <w:sz w:val="13"/>
              </w:rPr>
              <w:t>0–30 days</w:t>
            </w:r>
          </w:p>
        </w:tc>
        <w:tc>
          <w:tcPr>
            <w:tcW w:type="dxa" w:w="2016"/>
            <w:vAlign w:val="center"/>
          </w:tcPr>
          <w:p>
            <w:r>
              <w:rPr>
                <w:sz w:val="13"/>
              </w:rPr>
              <w:t>Scan report; SLA dashboard; closure samples</w:t>
            </w:r>
          </w:p>
        </w:tc>
      </w:tr>
      <w:tr>
        <w:tc>
          <w:tcPr>
            <w:tcW w:type="dxa" w:w="936"/>
            <w:vAlign w:val="center"/>
          </w:tcPr>
          <w:p>
            <w:r>
              <w:rPr>
                <w:sz w:val="13"/>
              </w:rPr>
              <w:t>F-03</w:t>
            </w:r>
          </w:p>
        </w:tc>
        <w:tc>
          <w:tcPr>
            <w:tcW w:type="dxa" w:w="4176"/>
            <w:vAlign w:val="center"/>
          </w:tcPr>
          <w:p>
            <w:r>
              <w:rPr>
                <w:sz w:val="13"/>
              </w:rPr>
              <w:t>Centralize critical logs into SIEM; define collection standards; synchronize time; create detection use cases and alert escalation.</w:t>
            </w:r>
          </w:p>
        </w:tc>
        <w:tc>
          <w:tcPr>
            <w:tcW w:type="dxa" w:w="1440"/>
            <w:vAlign w:val="center"/>
          </w:tcPr>
          <w:p>
            <w:r>
              <w:rPr>
                <w:sz w:val="13"/>
              </w:rPr>
              <w:t>SOC</w:t>
            </w:r>
          </w:p>
        </w:tc>
        <w:tc>
          <w:tcPr>
            <w:tcW w:type="dxa" w:w="1440"/>
            <w:vAlign w:val="center"/>
          </w:tcPr>
          <w:p>
            <w:r>
              <w:rPr>
                <w:sz w:val="13"/>
              </w:rPr>
              <w:t>0–45 days</w:t>
            </w:r>
          </w:p>
        </w:tc>
        <w:tc>
          <w:tcPr>
            <w:tcW w:type="dxa" w:w="2016"/>
            <w:vAlign w:val="center"/>
          </w:tcPr>
          <w:p>
            <w:r>
              <w:rPr>
                <w:sz w:val="13"/>
              </w:rPr>
              <w:t>Log coverage matrix; alert tests</w:t>
            </w:r>
          </w:p>
        </w:tc>
      </w:tr>
      <w:tr>
        <w:tc>
          <w:tcPr>
            <w:tcW w:type="dxa" w:w="936"/>
            <w:vAlign w:val="center"/>
          </w:tcPr>
          <w:p>
            <w:r>
              <w:rPr>
                <w:sz w:val="13"/>
              </w:rPr>
              <w:t>F-04</w:t>
            </w:r>
          </w:p>
        </w:tc>
        <w:tc>
          <w:tcPr>
            <w:tcW w:type="dxa" w:w="4176"/>
            <w:vAlign w:val="center"/>
          </w:tcPr>
          <w:p>
            <w:r>
              <w:rPr>
                <w:sz w:val="13"/>
              </w:rPr>
              <w:t>Implement immutable/offline backup controls and perform documented restore tests for priority services.</w:t>
            </w:r>
          </w:p>
        </w:tc>
        <w:tc>
          <w:tcPr>
            <w:tcW w:type="dxa" w:w="1440"/>
            <w:vAlign w:val="center"/>
          </w:tcPr>
          <w:p>
            <w:r>
              <w:rPr>
                <w:sz w:val="13"/>
              </w:rPr>
              <w:t>BCP + IT Ops</w:t>
            </w:r>
          </w:p>
        </w:tc>
        <w:tc>
          <w:tcPr>
            <w:tcW w:type="dxa" w:w="1440"/>
            <w:vAlign w:val="center"/>
          </w:tcPr>
          <w:p>
            <w:r>
              <w:rPr>
                <w:sz w:val="13"/>
              </w:rPr>
              <w:t>0–45 days</w:t>
            </w:r>
          </w:p>
        </w:tc>
        <w:tc>
          <w:tcPr>
            <w:tcW w:type="dxa" w:w="2016"/>
            <w:vAlign w:val="center"/>
          </w:tcPr>
          <w:p>
            <w:r>
              <w:rPr>
                <w:sz w:val="13"/>
              </w:rPr>
              <w:t>Restore evidence; RTO/RPO results</w:t>
            </w:r>
          </w:p>
        </w:tc>
      </w:tr>
      <w:tr>
        <w:tc>
          <w:tcPr>
            <w:tcW w:type="dxa" w:w="936"/>
            <w:vAlign w:val="center"/>
          </w:tcPr>
          <w:p>
            <w:r>
              <w:rPr>
                <w:sz w:val="13"/>
              </w:rPr>
              <w:t>F-05</w:t>
            </w:r>
          </w:p>
        </w:tc>
        <w:tc>
          <w:tcPr>
            <w:tcW w:type="dxa" w:w="4176"/>
            <w:vAlign w:val="center"/>
          </w:tcPr>
          <w:p>
            <w:r>
              <w:rPr>
                <w:sz w:val="13"/>
              </w:rPr>
              <w:t>Add security clauses to supplier contracts: access, breach reporting, logging, vulnerability handling, evidence, subcontractors and exit/deletion.</w:t>
            </w:r>
          </w:p>
        </w:tc>
        <w:tc>
          <w:tcPr>
            <w:tcW w:type="dxa" w:w="1440"/>
            <w:vAlign w:val="center"/>
          </w:tcPr>
          <w:p>
            <w:r>
              <w:rPr>
                <w:sz w:val="13"/>
              </w:rPr>
              <w:t>CISO + Procurement</w:t>
            </w:r>
          </w:p>
        </w:tc>
        <w:tc>
          <w:tcPr>
            <w:tcW w:type="dxa" w:w="1440"/>
            <w:vAlign w:val="center"/>
          </w:tcPr>
          <w:p>
            <w:r>
              <w:rPr>
                <w:sz w:val="13"/>
              </w:rPr>
              <w:t>0–60 days</w:t>
            </w:r>
          </w:p>
        </w:tc>
        <w:tc>
          <w:tcPr>
            <w:tcW w:type="dxa" w:w="2016"/>
            <w:vAlign w:val="center"/>
          </w:tcPr>
          <w:p>
            <w:r>
              <w:rPr>
                <w:sz w:val="13"/>
              </w:rPr>
              <w:t>Contract checklist; supplier assessments</w:t>
            </w:r>
          </w:p>
        </w:tc>
      </w:tr>
      <w:tr>
        <w:tc>
          <w:tcPr>
            <w:tcW w:type="dxa" w:w="936"/>
            <w:vAlign w:val="center"/>
          </w:tcPr>
          <w:p>
            <w:r>
              <w:rPr>
                <w:sz w:val="13"/>
              </w:rPr>
              <w:t>F-06</w:t>
            </w:r>
          </w:p>
        </w:tc>
        <w:tc>
          <w:tcPr>
            <w:tcW w:type="dxa" w:w="4176"/>
            <w:vAlign w:val="center"/>
          </w:tcPr>
          <w:p>
            <w:r>
              <w:rPr>
                <w:sz w:val="13"/>
              </w:rPr>
              <w:t>Embed threat modeling, SAST/DAST/API testing, dependency scanning and release security gates into SDLC.</w:t>
            </w:r>
          </w:p>
        </w:tc>
        <w:tc>
          <w:tcPr>
            <w:tcW w:type="dxa" w:w="1440"/>
            <w:vAlign w:val="center"/>
          </w:tcPr>
          <w:p>
            <w:r>
              <w:rPr>
                <w:sz w:val="13"/>
              </w:rPr>
              <w:t>AppSec + Dev</w:t>
            </w:r>
          </w:p>
        </w:tc>
        <w:tc>
          <w:tcPr>
            <w:tcW w:type="dxa" w:w="1440"/>
            <w:vAlign w:val="center"/>
          </w:tcPr>
          <w:p>
            <w:r>
              <w:rPr>
                <w:sz w:val="13"/>
              </w:rPr>
              <w:t>0–60 days</w:t>
            </w:r>
          </w:p>
        </w:tc>
        <w:tc>
          <w:tcPr>
            <w:tcW w:type="dxa" w:w="2016"/>
            <w:vAlign w:val="center"/>
          </w:tcPr>
          <w:p>
            <w:r>
              <w:rPr>
                <w:sz w:val="13"/>
              </w:rPr>
              <w:t>Pipeline evidence; test reports</w:t>
            </w:r>
          </w:p>
        </w:tc>
      </w:tr>
      <w:tr>
        <w:tc>
          <w:tcPr>
            <w:tcW w:type="dxa" w:w="936"/>
            <w:vAlign w:val="center"/>
          </w:tcPr>
          <w:p>
            <w:r>
              <w:rPr>
                <w:sz w:val="13"/>
              </w:rPr>
              <w:t>F-07</w:t>
            </w:r>
          </w:p>
        </w:tc>
        <w:tc>
          <w:tcPr>
            <w:tcW w:type="dxa" w:w="4176"/>
            <w:vAlign w:val="center"/>
          </w:tcPr>
          <w:p>
            <w:r>
              <w:rPr>
                <w:sz w:val="13"/>
              </w:rPr>
              <w:t>Introduce role-based training for administrators/developers and quarterly simulated phishing exercises.</w:t>
            </w:r>
          </w:p>
        </w:tc>
        <w:tc>
          <w:tcPr>
            <w:tcW w:type="dxa" w:w="1440"/>
            <w:vAlign w:val="center"/>
          </w:tcPr>
          <w:p>
            <w:r>
              <w:rPr>
                <w:sz w:val="13"/>
              </w:rPr>
              <w:t>HR + CISO</w:t>
            </w:r>
          </w:p>
        </w:tc>
        <w:tc>
          <w:tcPr>
            <w:tcW w:type="dxa" w:w="1440"/>
            <w:vAlign w:val="center"/>
          </w:tcPr>
          <w:p>
            <w:r>
              <w:rPr>
                <w:sz w:val="13"/>
              </w:rPr>
              <w:t>30–90 days</w:t>
            </w:r>
          </w:p>
        </w:tc>
        <w:tc>
          <w:tcPr>
            <w:tcW w:type="dxa" w:w="2016"/>
            <w:vAlign w:val="center"/>
          </w:tcPr>
          <w:p>
            <w:r>
              <w:rPr>
                <w:sz w:val="13"/>
              </w:rPr>
              <w:t>Completion and simulation metrics</w:t>
            </w:r>
          </w:p>
        </w:tc>
      </w:tr>
      <w:tr>
        <w:tc>
          <w:tcPr>
            <w:tcW w:type="dxa" w:w="936"/>
            <w:vAlign w:val="center"/>
          </w:tcPr>
          <w:p>
            <w:r>
              <w:rPr>
                <w:sz w:val="13"/>
              </w:rPr>
              <w:t>F-08</w:t>
            </w:r>
          </w:p>
        </w:tc>
        <w:tc>
          <w:tcPr>
            <w:tcW w:type="dxa" w:w="4176"/>
            <w:vAlign w:val="center"/>
          </w:tcPr>
          <w:p>
            <w:r>
              <w:rPr>
                <w:sz w:val="13"/>
              </w:rPr>
              <w:t>Create one risk-ranked remediation register with owners, dates, status, evidence and escalation rules.</w:t>
            </w:r>
          </w:p>
        </w:tc>
        <w:tc>
          <w:tcPr>
            <w:tcW w:type="dxa" w:w="1440"/>
            <w:vAlign w:val="center"/>
          </w:tcPr>
          <w:p>
            <w:r>
              <w:rPr>
                <w:sz w:val="13"/>
              </w:rPr>
              <w:t>CISO</w:t>
            </w:r>
          </w:p>
        </w:tc>
        <w:tc>
          <w:tcPr>
            <w:tcW w:type="dxa" w:w="1440"/>
            <w:vAlign w:val="center"/>
          </w:tcPr>
          <w:p>
            <w:r>
              <w:rPr>
                <w:sz w:val="13"/>
              </w:rPr>
              <w:t>0–30 days</w:t>
            </w:r>
          </w:p>
        </w:tc>
        <w:tc>
          <w:tcPr>
            <w:tcW w:type="dxa" w:w="2016"/>
            <w:vAlign w:val="center"/>
          </w:tcPr>
          <w:p>
            <w:r>
              <w:rPr>
                <w:sz w:val="13"/>
              </w:rPr>
              <w:t>Live risk register; overdue report</w:t>
            </w:r>
          </w:p>
        </w:tc>
      </w:tr>
    </w:tbl>
    <w:p>
      <w:pPr>
        <w:spacing w:after="20"/>
      </w:pPr>
    </w:p>
    <w:p>
      <w:pPr>
        <w:pStyle w:val="Heading1"/>
      </w:pPr>
      <w:r>
        <w:t>8. Continuous Improvement Programme</w:t>
      </w:r>
    </w:p>
    <w:p>
      <w:r>
        <w:rPr>
          <w:b w:val="0"/>
          <w:i w:val="0"/>
        </w:rPr>
        <w:t>Continuous improvement is organized as a repeating Plan–Do–Check–Act cycle. Audit findings become measurable work items; technical changes are tested; control performance is measured; management reviews results; and the next audit updates priorities based on changes in technology, threats, suppliers and service criticality.</w:t>
      </w:r>
    </w:p>
    <w:tbl>
      <w:tblPr>
        <w:tblStyle w:val="TableGrid"/>
        <w:tblW w:type="auto" w:w="0"/>
        <w:jc w:val="center"/>
        <w:tblLook w:firstColumn="1" w:firstRow="1" w:lastColumn="0" w:lastRow="0" w:noHBand="0" w:noVBand="1" w:val="04A0"/>
      </w:tblPr>
      <w:tblGrid>
        <w:gridCol w:w="3408"/>
        <w:gridCol w:w="3408"/>
        <w:gridCol w:w="3408"/>
      </w:tblGrid>
      <w:tr>
        <w:tc>
          <w:tcPr>
            <w:tcW w:type="dxa" w:w="1440"/>
            <w:vAlign w:val="center"/>
          </w:tcPr>
          <w:p>
            <w:r>
              <w:rPr>
                <w:b/>
                <w:sz w:val="16"/>
              </w:rPr>
              <w:t>Cycle</w:t>
            </w:r>
          </w:p>
        </w:tc>
        <w:tc>
          <w:tcPr>
            <w:tcW w:type="dxa" w:w="4320"/>
            <w:vAlign w:val="center"/>
          </w:tcPr>
          <w:p>
            <w:r>
              <w:rPr>
                <w:b/>
                <w:sz w:val="16"/>
              </w:rPr>
              <w:t>Key Activities</w:t>
            </w:r>
          </w:p>
        </w:tc>
        <w:tc>
          <w:tcPr>
            <w:tcW w:type="dxa" w:w="3600"/>
            <w:vAlign w:val="center"/>
          </w:tcPr>
          <w:p>
            <w:r>
              <w:rPr>
                <w:b/>
                <w:sz w:val="16"/>
              </w:rPr>
              <w:t>Example Outputs</w:t>
            </w:r>
          </w:p>
        </w:tc>
      </w:tr>
      <w:tr>
        <w:tc>
          <w:tcPr>
            <w:tcW w:type="dxa" w:w="1440"/>
            <w:vAlign w:val="center"/>
          </w:tcPr>
          <w:p>
            <w:r>
              <w:rPr>
                <w:sz w:val="16"/>
              </w:rPr>
              <w:t>Plan</w:t>
            </w:r>
          </w:p>
        </w:tc>
        <w:tc>
          <w:tcPr>
            <w:tcW w:type="dxa" w:w="4320"/>
            <w:vAlign w:val="center"/>
          </w:tcPr>
          <w:p>
            <w:r>
              <w:rPr>
                <w:sz w:val="16"/>
              </w:rPr>
              <w:t>Risk review, objectives, architecture changes, threat trends</w:t>
            </w:r>
          </w:p>
        </w:tc>
        <w:tc>
          <w:tcPr>
            <w:tcW w:type="dxa" w:w="3600"/>
            <w:vAlign w:val="center"/>
          </w:tcPr>
          <w:p>
            <w:r>
              <w:rPr>
                <w:sz w:val="16"/>
              </w:rPr>
              <w:t>Annual security plan; updated risk register</w:t>
            </w:r>
          </w:p>
        </w:tc>
      </w:tr>
      <w:tr>
        <w:tc>
          <w:tcPr>
            <w:tcW w:type="dxa" w:w="1440"/>
            <w:vAlign w:val="center"/>
          </w:tcPr>
          <w:p>
            <w:r>
              <w:rPr>
                <w:sz w:val="16"/>
              </w:rPr>
              <w:t>Do</w:t>
            </w:r>
          </w:p>
        </w:tc>
        <w:tc>
          <w:tcPr>
            <w:tcW w:type="dxa" w:w="4320"/>
            <w:vAlign w:val="center"/>
          </w:tcPr>
          <w:p>
            <w:r>
              <w:rPr>
                <w:sz w:val="16"/>
              </w:rPr>
              <w:t>Implement controls, training, tooling and procedures</w:t>
            </w:r>
          </w:p>
        </w:tc>
        <w:tc>
          <w:tcPr>
            <w:tcW w:type="dxa" w:w="3600"/>
            <w:vAlign w:val="center"/>
          </w:tcPr>
          <w:p>
            <w:r>
              <w:rPr>
                <w:sz w:val="16"/>
              </w:rPr>
              <w:t>Configured controls; training records</w:t>
            </w:r>
          </w:p>
        </w:tc>
      </w:tr>
      <w:tr>
        <w:tc>
          <w:tcPr>
            <w:tcW w:type="dxa" w:w="1440"/>
            <w:vAlign w:val="center"/>
          </w:tcPr>
          <w:p>
            <w:r>
              <w:rPr>
                <w:sz w:val="16"/>
              </w:rPr>
              <w:t>Check</w:t>
            </w:r>
          </w:p>
        </w:tc>
        <w:tc>
          <w:tcPr>
            <w:tcW w:type="dxa" w:w="4320"/>
            <w:vAlign w:val="center"/>
          </w:tcPr>
          <w:p>
            <w:r>
              <w:rPr>
                <w:sz w:val="16"/>
              </w:rPr>
              <w:t>KPIs, control tests, vulnerability scans, audits</w:t>
            </w:r>
          </w:p>
        </w:tc>
        <w:tc>
          <w:tcPr>
            <w:tcW w:type="dxa" w:w="3600"/>
            <w:vAlign w:val="center"/>
          </w:tcPr>
          <w:p>
            <w:r>
              <w:rPr>
                <w:sz w:val="16"/>
              </w:rPr>
              <w:t>Dashboards; assurance reports</w:t>
            </w:r>
          </w:p>
        </w:tc>
      </w:tr>
      <w:tr>
        <w:tc>
          <w:tcPr>
            <w:tcW w:type="dxa" w:w="1440"/>
            <w:vAlign w:val="center"/>
          </w:tcPr>
          <w:p>
            <w:r>
              <w:rPr>
                <w:sz w:val="16"/>
              </w:rPr>
              <w:t>Act</w:t>
            </w:r>
          </w:p>
        </w:tc>
        <w:tc>
          <w:tcPr>
            <w:tcW w:type="dxa" w:w="4320"/>
            <w:vAlign w:val="center"/>
          </w:tcPr>
          <w:p>
            <w:r>
              <w:rPr>
                <w:sz w:val="16"/>
              </w:rPr>
              <w:t>Correct systemic causes, fund improvements, update policies</w:t>
            </w:r>
          </w:p>
        </w:tc>
        <w:tc>
          <w:tcPr>
            <w:tcW w:type="dxa" w:w="3600"/>
            <w:vAlign w:val="center"/>
          </w:tcPr>
          <w:p>
            <w:r>
              <w:rPr>
                <w:sz w:val="16"/>
              </w:rPr>
              <w:t>Improvement backlog; revised standards</w:t>
            </w:r>
          </w:p>
        </w:tc>
      </w:tr>
    </w:tbl>
    <w:p>
      <w:pPr>
        <w:spacing w:after="20"/>
      </w:pPr>
    </w:p>
    <w:p>
      <w:pPr>
        <w:pStyle w:val="Heading2"/>
      </w:pPr>
      <w:r>
        <w:t>8.1 Security metrics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888"/>
            <w:vAlign w:val="center"/>
          </w:tcPr>
          <w:p>
            <w:r>
              <w:rPr>
                <w:b/>
                <w:sz w:val="15"/>
              </w:rPr>
              <w:t>Metric</w:t>
            </w:r>
          </w:p>
        </w:tc>
        <w:tc>
          <w:tcPr>
            <w:tcW w:type="dxa" w:w="1728"/>
            <w:vAlign w:val="center"/>
          </w:tcPr>
          <w:p>
            <w:r>
              <w:rPr>
                <w:b/>
                <w:sz w:val="15"/>
              </w:rPr>
              <w:t>Target</w:t>
            </w:r>
          </w:p>
        </w:tc>
        <w:tc>
          <w:tcPr>
            <w:tcW w:type="dxa" w:w="1872"/>
            <w:vAlign w:val="center"/>
          </w:tcPr>
          <w:p>
            <w:r>
              <w:rPr>
                <w:b/>
                <w:sz w:val="15"/>
              </w:rPr>
              <w:t>Frequency</w:t>
            </w:r>
          </w:p>
        </w:tc>
        <w:tc>
          <w:tcPr>
            <w:tcW w:type="dxa" w:w="1728"/>
            <w:vAlign w:val="center"/>
          </w:tcPr>
          <w:p>
            <w:r>
              <w:rPr>
                <w:b/>
                <w:sz w:val="15"/>
              </w:rPr>
              <w:t>Owner</w:t>
            </w:r>
          </w:p>
        </w:tc>
      </w:tr>
      <w:tr>
        <w:tc>
          <w:tcPr>
            <w:tcW w:type="dxa" w:w="3888"/>
            <w:vAlign w:val="center"/>
          </w:tcPr>
          <w:p>
            <w:r>
              <w:rPr>
                <w:sz w:val="15"/>
              </w:rPr>
              <w:t>Critical vulnerabilities overdue</w:t>
            </w:r>
          </w:p>
        </w:tc>
        <w:tc>
          <w:tcPr>
            <w:tcW w:type="dxa" w:w="1728"/>
            <w:vAlign w:val="center"/>
          </w:tcPr>
          <w:p>
            <w:r>
              <w:rPr>
                <w:sz w:val="15"/>
              </w:rPr>
              <w:t>0</w:t>
            </w:r>
          </w:p>
        </w:tc>
        <w:tc>
          <w:tcPr>
            <w:tcW w:type="dxa" w:w="1872"/>
            <w:vAlign w:val="center"/>
          </w:tcPr>
          <w:p>
            <w:r>
              <w:rPr>
                <w:sz w:val="15"/>
              </w:rPr>
              <w:t>Weekly</w:t>
            </w:r>
          </w:p>
        </w:tc>
        <w:tc>
          <w:tcPr>
            <w:tcW w:type="dxa" w:w="1728"/>
            <w:vAlign w:val="center"/>
          </w:tcPr>
          <w:p>
            <w:r>
              <w:rPr>
                <w:sz w:val="15"/>
              </w:rPr>
              <w:t>Security Lead</w:t>
            </w:r>
          </w:p>
        </w:tc>
      </w:tr>
      <w:tr>
        <w:tc>
          <w:tcPr>
            <w:tcW w:type="dxa" w:w="3888"/>
            <w:vAlign w:val="center"/>
          </w:tcPr>
          <w:p>
            <w:r>
              <w:rPr>
                <w:sz w:val="15"/>
              </w:rPr>
              <w:t>Privileged accounts protected by MFA</w:t>
            </w:r>
          </w:p>
        </w:tc>
        <w:tc>
          <w:tcPr>
            <w:tcW w:type="dxa" w:w="1728"/>
            <w:vAlign w:val="center"/>
          </w:tcPr>
          <w:p>
            <w:r>
              <w:rPr>
                <w:sz w:val="15"/>
              </w:rPr>
              <w:t>100%</w:t>
            </w:r>
          </w:p>
        </w:tc>
        <w:tc>
          <w:tcPr>
            <w:tcW w:type="dxa" w:w="1872"/>
            <w:vAlign w:val="center"/>
          </w:tcPr>
          <w:p>
            <w:r>
              <w:rPr>
                <w:sz w:val="15"/>
              </w:rPr>
              <w:t>Monthly</w:t>
            </w:r>
          </w:p>
        </w:tc>
        <w:tc>
          <w:tcPr>
            <w:tcW w:type="dxa" w:w="1728"/>
            <w:vAlign w:val="center"/>
          </w:tcPr>
          <w:p>
            <w:r>
              <w:rPr>
                <w:sz w:val="15"/>
              </w:rPr>
              <w:t>IAM</w:t>
            </w:r>
          </w:p>
        </w:tc>
      </w:tr>
      <w:tr>
        <w:tc>
          <w:tcPr>
            <w:tcW w:type="dxa" w:w="3888"/>
            <w:vAlign w:val="center"/>
          </w:tcPr>
          <w:p>
            <w:r>
              <w:rPr>
                <w:sz w:val="15"/>
              </w:rPr>
              <w:t>Critical log-source coverage</w:t>
            </w:r>
          </w:p>
        </w:tc>
        <w:tc>
          <w:tcPr>
            <w:tcW w:type="dxa" w:w="1728"/>
            <w:vAlign w:val="center"/>
          </w:tcPr>
          <w:p>
            <w:r>
              <w:rPr>
                <w:sz w:val="15"/>
              </w:rPr>
              <w:t>≥95%</w:t>
            </w:r>
          </w:p>
        </w:tc>
        <w:tc>
          <w:tcPr>
            <w:tcW w:type="dxa" w:w="1872"/>
            <w:vAlign w:val="center"/>
          </w:tcPr>
          <w:p>
            <w:r>
              <w:rPr>
                <w:sz w:val="15"/>
              </w:rPr>
              <w:t>Monthly</w:t>
            </w:r>
          </w:p>
        </w:tc>
        <w:tc>
          <w:tcPr>
            <w:tcW w:type="dxa" w:w="1728"/>
            <w:vAlign w:val="center"/>
          </w:tcPr>
          <w:p>
            <w:r>
              <w:rPr>
                <w:sz w:val="15"/>
              </w:rPr>
              <w:t>SOC</w:t>
            </w:r>
          </w:p>
        </w:tc>
      </w:tr>
      <w:tr>
        <w:tc>
          <w:tcPr>
            <w:tcW w:type="dxa" w:w="3888"/>
            <w:vAlign w:val="center"/>
          </w:tcPr>
          <w:p>
            <w:r>
              <w:rPr>
                <w:sz w:val="15"/>
              </w:rPr>
              <w:t>Successful restore tests for critical services</w:t>
            </w:r>
          </w:p>
        </w:tc>
        <w:tc>
          <w:tcPr>
            <w:tcW w:type="dxa" w:w="1728"/>
            <w:vAlign w:val="center"/>
          </w:tcPr>
          <w:p>
            <w:r>
              <w:rPr>
                <w:sz w:val="15"/>
              </w:rPr>
              <w:t>100% scheduled</w:t>
            </w:r>
          </w:p>
        </w:tc>
        <w:tc>
          <w:tcPr>
            <w:tcW w:type="dxa" w:w="1872"/>
            <w:vAlign w:val="center"/>
          </w:tcPr>
          <w:p>
            <w:r>
              <w:rPr>
                <w:sz w:val="15"/>
              </w:rPr>
              <w:t>Quarterly</w:t>
            </w:r>
          </w:p>
        </w:tc>
        <w:tc>
          <w:tcPr>
            <w:tcW w:type="dxa" w:w="1728"/>
            <w:vAlign w:val="center"/>
          </w:tcPr>
          <w:p>
            <w:r>
              <w:rPr>
                <w:sz w:val="15"/>
              </w:rPr>
              <w:t>BCP</w:t>
            </w:r>
          </w:p>
        </w:tc>
      </w:tr>
      <w:tr>
        <w:tc>
          <w:tcPr>
            <w:tcW w:type="dxa" w:w="3888"/>
            <w:vAlign w:val="center"/>
          </w:tcPr>
          <w:p>
            <w:r>
              <w:rPr>
                <w:sz w:val="15"/>
              </w:rPr>
              <w:t>Critical incidents with completed lessons learned</w:t>
            </w:r>
          </w:p>
        </w:tc>
        <w:tc>
          <w:tcPr>
            <w:tcW w:type="dxa" w:w="1728"/>
            <w:vAlign w:val="center"/>
          </w:tcPr>
          <w:p>
            <w:r>
              <w:rPr>
                <w:sz w:val="15"/>
              </w:rPr>
              <w:t>100%</w:t>
            </w:r>
          </w:p>
        </w:tc>
        <w:tc>
          <w:tcPr>
            <w:tcW w:type="dxa" w:w="1872"/>
            <w:vAlign w:val="center"/>
          </w:tcPr>
          <w:p>
            <w:r>
              <w:rPr>
                <w:sz w:val="15"/>
              </w:rPr>
              <w:t>Per incident</w:t>
            </w:r>
          </w:p>
        </w:tc>
        <w:tc>
          <w:tcPr>
            <w:tcW w:type="dxa" w:w="1728"/>
            <w:vAlign w:val="center"/>
          </w:tcPr>
          <w:p>
            <w:r>
              <w:rPr>
                <w:sz w:val="15"/>
              </w:rPr>
              <w:t>IR Lead</w:t>
            </w:r>
          </w:p>
        </w:tc>
      </w:tr>
      <w:tr>
        <w:tc>
          <w:tcPr>
            <w:tcW w:type="dxa" w:w="3888"/>
            <w:vAlign w:val="center"/>
          </w:tcPr>
          <w:p>
            <w:r>
              <w:rPr>
                <w:sz w:val="15"/>
              </w:rPr>
              <w:t>Security training completion</w:t>
            </w:r>
          </w:p>
        </w:tc>
        <w:tc>
          <w:tcPr>
            <w:tcW w:type="dxa" w:w="1728"/>
            <w:vAlign w:val="center"/>
          </w:tcPr>
          <w:p>
            <w:r>
              <w:rPr>
                <w:sz w:val="15"/>
              </w:rPr>
              <w:t>≥95%</w:t>
            </w:r>
          </w:p>
        </w:tc>
        <w:tc>
          <w:tcPr>
            <w:tcW w:type="dxa" w:w="1872"/>
            <w:vAlign w:val="center"/>
          </w:tcPr>
          <w:p>
            <w:r>
              <w:rPr>
                <w:sz w:val="15"/>
              </w:rPr>
              <w:t>Quarterly/annual</w:t>
            </w:r>
          </w:p>
        </w:tc>
        <w:tc>
          <w:tcPr>
            <w:tcW w:type="dxa" w:w="1728"/>
            <w:vAlign w:val="center"/>
          </w:tcPr>
          <w:p>
            <w:r>
              <w:rPr>
                <w:sz w:val="15"/>
              </w:rPr>
              <w:t>HR + CISO</w:t>
            </w:r>
          </w:p>
        </w:tc>
      </w:tr>
      <w:tr>
        <w:tc>
          <w:tcPr>
            <w:tcW w:type="dxa" w:w="3888"/>
            <w:vAlign w:val="center"/>
          </w:tcPr>
          <w:p>
            <w:r>
              <w:rPr>
                <w:sz w:val="15"/>
              </w:rPr>
              <w:t>High-risk audit actions overdue</w:t>
            </w:r>
          </w:p>
        </w:tc>
        <w:tc>
          <w:tcPr>
            <w:tcW w:type="dxa" w:w="1728"/>
            <w:vAlign w:val="center"/>
          </w:tcPr>
          <w:p>
            <w:r>
              <w:rPr>
                <w:sz w:val="15"/>
              </w:rPr>
              <w:t>0 without approved exception</w:t>
            </w:r>
          </w:p>
        </w:tc>
        <w:tc>
          <w:tcPr>
            <w:tcW w:type="dxa" w:w="1872"/>
            <w:vAlign w:val="center"/>
          </w:tcPr>
          <w:p>
            <w:r>
              <w:rPr>
                <w:sz w:val="15"/>
              </w:rPr>
              <w:t>Monthly</w:t>
            </w:r>
          </w:p>
        </w:tc>
        <w:tc>
          <w:tcPr>
            <w:tcW w:type="dxa" w:w="1728"/>
            <w:vAlign w:val="center"/>
          </w:tcPr>
          <w:p>
            <w:r>
              <w:rPr>
                <w:sz w:val="15"/>
              </w:rPr>
              <w:t>CISO</w:t>
            </w:r>
          </w:p>
        </w:tc>
      </w:tr>
    </w:tbl>
    <w:p>
      <w:pPr>
        <w:spacing w:after="20"/>
      </w:pPr>
    </w:p>
    <w:p>
      <w:pPr>
        <w:pStyle w:val="Heading2"/>
      </w:pPr>
      <w:r>
        <w:t>8.2 Training and awareness</w:t>
      </w:r>
    </w:p>
    <w:p>
      <w:pPr>
        <w:pStyle w:val="ListBullet"/>
        <w:ind w:left="360"/>
      </w:pPr>
      <w:r>
        <w:t>General annual security awareness for all staff.</w:t>
      </w:r>
    </w:p>
    <w:p>
      <w:pPr>
        <w:pStyle w:val="ListBullet"/>
        <w:ind w:left="360"/>
      </w:pPr>
      <w:r>
        <w:t>Role-based modules for administrators, developers, help-desk staff, procurement and incident responders.</w:t>
      </w:r>
    </w:p>
    <w:p>
      <w:pPr>
        <w:pStyle w:val="ListBullet"/>
        <w:ind w:left="360"/>
      </w:pPr>
      <w:r>
        <w:t>Phishing simulations with coaching rather than punishment.</w:t>
      </w:r>
    </w:p>
    <w:p>
      <w:pPr>
        <w:pStyle w:val="ListBullet"/>
        <w:ind w:left="360"/>
      </w:pPr>
      <w:r>
        <w:t>Secure coding refreshers covering authentication, authorization, input validation, secrets and dependencies.</w:t>
      </w:r>
    </w:p>
    <w:p>
      <w:pPr>
        <w:pStyle w:val="ListBullet"/>
        <w:ind w:left="360"/>
      </w:pPr>
      <w:r>
        <w:t>Tabletop exercises for leadership and operational teams covering service outage and data-breach scenarios.</w:t>
      </w:r>
    </w:p>
    <w:p>
      <w:pPr>
        <w:pStyle w:val="Heading1"/>
      </w:pPr>
      <w:r>
        <w:t>9. Technology Upgrade Roadmap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584"/>
            <w:vAlign w:val="center"/>
          </w:tcPr>
          <w:p>
            <w:r>
              <w:rPr>
                <w:b/>
                <w:sz w:val="14"/>
              </w:rPr>
              <w:t>Capability</w:t>
            </w:r>
          </w:p>
        </w:tc>
        <w:tc>
          <w:tcPr>
            <w:tcW w:type="dxa" w:w="2304"/>
            <w:vAlign w:val="center"/>
          </w:tcPr>
          <w:p>
            <w:r>
              <w:rPr>
                <w:b/>
                <w:sz w:val="14"/>
              </w:rPr>
              <w:t>Current Simulated State</w:t>
            </w:r>
          </w:p>
        </w:tc>
        <w:tc>
          <w:tcPr>
            <w:tcW w:type="dxa" w:w="3312"/>
            <w:vAlign w:val="center"/>
          </w:tcPr>
          <w:p>
            <w:r>
              <w:rPr>
                <w:b/>
                <w:sz w:val="14"/>
              </w:rPr>
              <w:t>Recommended Upgrade</w:t>
            </w:r>
          </w:p>
        </w:tc>
        <w:tc>
          <w:tcPr>
            <w:tcW w:type="dxa" w:w="2880"/>
            <w:vAlign w:val="center"/>
          </w:tcPr>
          <w:p>
            <w:r>
              <w:rPr>
                <w:b/>
                <w:sz w:val="14"/>
              </w:rPr>
              <w:t>Benefit</w:t>
            </w:r>
          </w:p>
        </w:tc>
      </w:tr>
      <w:tr>
        <w:tc>
          <w:tcPr>
            <w:tcW w:type="dxa" w:w="1584"/>
            <w:vAlign w:val="center"/>
          </w:tcPr>
          <w:p>
            <w:r>
              <w:rPr>
                <w:sz w:val="14"/>
              </w:rPr>
              <w:t>Identity</w:t>
            </w:r>
          </w:p>
        </w:tc>
        <w:tc>
          <w:tcPr>
            <w:tcW w:type="dxa" w:w="2304"/>
            <w:vAlign w:val="center"/>
          </w:tcPr>
          <w:p>
            <w:r>
              <w:rPr>
                <w:sz w:val="14"/>
              </w:rPr>
              <w:t>Mixed authentication</w:t>
            </w:r>
          </w:p>
        </w:tc>
        <w:tc>
          <w:tcPr>
            <w:tcW w:type="dxa" w:w="3312"/>
            <w:vAlign w:val="center"/>
          </w:tcPr>
          <w:p>
            <w:r>
              <w:rPr>
                <w:sz w:val="14"/>
              </w:rPr>
              <w:t>Central IAM + MFA + PAM</w:t>
            </w:r>
          </w:p>
        </w:tc>
        <w:tc>
          <w:tcPr>
            <w:tcW w:type="dxa" w:w="2880"/>
            <w:vAlign w:val="center"/>
          </w:tcPr>
          <w:p>
            <w:r>
              <w:rPr>
                <w:sz w:val="14"/>
              </w:rPr>
              <w:t>Reduces account takeover and privilege abuse</w:t>
            </w:r>
          </w:p>
        </w:tc>
      </w:tr>
      <w:tr>
        <w:tc>
          <w:tcPr>
            <w:tcW w:type="dxa" w:w="1584"/>
            <w:vAlign w:val="center"/>
          </w:tcPr>
          <w:p>
            <w:r>
              <w:rPr>
                <w:sz w:val="14"/>
              </w:rPr>
              <w:t>Vulnerability</w:t>
            </w:r>
          </w:p>
        </w:tc>
        <w:tc>
          <w:tcPr>
            <w:tcW w:type="dxa" w:w="2304"/>
            <w:vAlign w:val="center"/>
          </w:tcPr>
          <w:p>
            <w:r>
              <w:rPr>
                <w:sz w:val="14"/>
              </w:rPr>
              <w:t>Inconsistent scans</w:t>
            </w:r>
          </w:p>
        </w:tc>
        <w:tc>
          <w:tcPr>
            <w:tcW w:type="dxa" w:w="3312"/>
            <w:vAlign w:val="center"/>
          </w:tcPr>
          <w:p>
            <w:r>
              <w:rPr>
                <w:sz w:val="14"/>
              </w:rPr>
              <w:t>Authenticated scanning + SLA dashboard</w:t>
            </w:r>
          </w:p>
        </w:tc>
        <w:tc>
          <w:tcPr>
            <w:tcW w:type="dxa" w:w="2880"/>
            <w:vAlign w:val="center"/>
          </w:tcPr>
          <w:p>
            <w:r>
              <w:rPr>
                <w:sz w:val="14"/>
              </w:rPr>
              <w:t>Faster risk reduction</w:t>
            </w:r>
          </w:p>
        </w:tc>
      </w:tr>
      <w:tr>
        <w:tc>
          <w:tcPr>
            <w:tcW w:type="dxa" w:w="1584"/>
            <w:vAlign w:val="center"/>
          </w:tcPr>
          <w:p>
            <w:r>
              <w:rPr>
                <w:sz w:val="14"/>
              </w:rPr>
              <w:t>SIEM</w:t>
            </w:r>
          </w:p>
        </w:tc>
        <w:tc>
          <w:tcPr>
            <w:tcW w:type="dxa" w:w="2304"/>
            <w:vAlign w:val="center"/>
          </w:tcPr>
          <w:p>
            <w:r>
              <w:rPr>
                <w:sz w:val="14"/>
              </w:rPr>
              <w:t>Partial centralization</w:t>
            </w:r>
          </w:p>
        </w:tc>
        <w:tc>
          <w:tcPr>
            <w:tcW w:type="dxa" w:w="3312"/>
            <w:vAlign w:val="center"/>
          </w:tcPr>
          <w:p>
            <w:r>
              <w:rPr>
                <w:sz w:val="14"/>
              </w:rPr>
              <w:t>Wazuh/OpenSearch or equivalent SIEM stack</w:t>
            </w:r>
          </w:p>
        </w:tc>
        <w:tc>
          <w:tcPr>
            <w:tcW w:type="dxa" w:w="2880"/>
            <w:vAlign w:val="center"/>
          </w:tcPr>
          <w:p>
            <w:r>
              <w:rPr>
                <w:sz w:val="14"/>
              </w:rPr>
              <w:t>Central detection and correlation</w:t>
            </w:r>
          </w:p>
        </w:tc>
      </w:tr>
      <w:tr>
        <w:tc>
          <w:tcPr>
            <w:tcW w:type="dxa" w:w="1584"/>
            <w:vAlign w:val="center"/>
          </w:tcPr>
          <w:p>
            <w:r>
              <w:rPr>
                <w:sz w:val="14"/>
              </w:rPr>
              <w:t>Network detection</w:t>
            </w:r>
          </w:p>
        </w:tc>
        <w:tc>
          <w:tcPr>
            <w:tcW w:type="dxa" w:w="2304"/>
            <w:vAlign w:val="center"/>
          </w:tcPr>
          <w:p>
            <w:r>
              <w:rPr>
                <w:sz w:val="14"/>
              </w:rPr>
              <w:t>Limited</w:t>
            </w:r>
          </w:p>
        </w:tc>
        <w:tc>
          <w:tcPr>
            <w:tcW w:type="dxa" w:w="3312"/>
            <w:vAlign w:val="center"/>
          </w:tcPr>
          <w:p>
            <w:r>
              <w:rPr>
                <w:sz w:val="14"/>
              </w:rPr>
              <w:t>Suricata/Zeek sensors where appropriate</w:t>
            </w:r>
          </w:p>
        </w:tc>
        <w:tc>
          <w:tcPr>
            <w:tcW w:type="dxa" w:w="2880"/>
            <w:vAlign w:val="center"/>
          </w:tcPr>
          <w:p>
            <w:r>
              <w:rPr>
                <w:sz w:val="14"/>
              </w:rPr>
              <w:t>Network visibility</w:t>
            </w:r>
          </w:p>
        </w:tc>
      </w:tr>
      <w:tr>
        <w:tc>
          <w:tcPr>
            <w:tcW w:type="dxa" w:w="1584"/>
            <w:vAlign w:val="center"/>
          </w:tcPr>
          <w:p>
            <w:r>
              <w:rPr>
                <w:sz w:val="14"/>
              </w:rPr>
              <w:t>Endpoint</w:t>
            </w:r>
          </w:p>
        </w:tc>
        <w:tc>
          <w:tcPr>
            <w:tcW w:type="dxa" w:w="2304"/>
            <w:vAlign w:val="center"/>
          </w:tcPr>
          <w:p>
            <w:r>
              <w:rPr>
                <w:sz w:val="14"/>
              </w:rPr>
              <w:t>Basic controls</w:t>
            </w:r>
          </w:p>
        </w:tc>
        <w:tc>
          <w:tcPr>
            <w:tcW w:type="dxa" w:w="3312"/>
            <w:vAlign w:val="center"/>
          </w:tcPr>
          <w:p>
            <w:r>
              <w:rPr>
                <w:sz w:val="14"/>
              </w:rPr>
              <w:t>EDR/XDR with centralized policy</w:t>
            </w:r>
          </w:p>
        </w:tc>
        <w:tc>
          <w:tcPr>
            <w:tcW w:type="dxa" w:w="2880"/>
            <w:vAlign w:val="center"/>
          </w:tcPr>
          <w:p>
            <w:r>
              <w:rPr>
                <w:sz w:val="14"/>
              </w:rPr>
              <w:t>Faster endpoint detection</w:t>
            </w:r>
          </w:p>
        </w:tc>
      </w:tr>
      <w:tr>
        <w:tc>
          <w:tcPr>
            <w:tcW w:type="dxa" w:w="1584"/>
            <w:vAlign w:val="center"/>
          </w:tcPr>
          <w:p>
            <w:r>
              <w:rPr>
                <w:sz w:val="14"/>
              </w:rPr>
              <w:t>Application security</w:t>
            </w:r>
          </w:p>
        </w:tc>
        <w:tc>
          <w:tcPr>
            <w:tcW w:type="dxa" w:w="2304"/>
            <w:vAlign w:val="center"/>
          </w:tcPr>
          <w:p>
            <w:r>
              <w:rPr>
                <w:sz w:val="14"/>
              </w:rPr>
              <w:t>Manual evidence</w:t>
            </w:r>
          </w:p>
        </w:tc>
        <w:tc>
          <w:tcPr>
            <w:tcW w:type="dxa" w:w="3312"/>
            <w:vAlign w:val="center"/>
          </w:tcPr>
          <w:p>
            <w:r>
              <w:rPr>
                <w:sz w:val="14"/>
              </w:rPr>
              <w:t>CI/CD security gates + SAST/DAST/API tests</w:t>
            </w:r>
          </w:p>
        </w:tc>
        <w:tc>
          <w:tcPr>
            <w:tcW w:type="dxa" w:w="2880"/>
            <w:vAlign w:val="center"/>
          </w:tcPr>
          <w:p>
            <w:r>
              <w:rPr>
                <w:sz w:val="14"/>
              </w:rPr>
              <w:t>Shift-left assurance</w:t>
            </w:r>
          </w:p>
        </w:tc>
      </w:tr>
      <w:tr>
        <w:tc>
          <w:tcPr>
            <w:tcW w:type="dxa" w:w="1584"/>
            <w:vAlign w:val="center"/>
          </w:tcPr>
          <w:p>
            <w:r>
              <w:rPr>
                <w:sz w:val="14"/>
              </w:rPr>
              <w:t>Backup</w:t>
            </w:r>
          </w:p>
        </w:tc>
        <w:tc>
          <w:tcPr>
            <w:tcW w:type="dxa" w:w="2304"/>
            <w:vAlign w:val="center"/>
          </w:tcPr>
          <w:p>
            <w:r>
              <w:rPr>
                <w:sz w:val="14"/>
              </w:rPr>
              <w:t>Job-based confidence</w:t>
            </w:r>
          </w:p>
        </w:tc>
        <w:tc>
          <w:tcPr>
            <w:tcW w:type="dxa" w:w="3312"/>
            <w:vAlign w:val="center"/>
          </w:tcPr>
          <w:p>
            <w:r>
              <w:rPr>
                <w:sz w:val="14"/>
              </w:rPr>
              <w:t>Immutable/offline backup + restore automation</w:t>
            </w:r>
          </w:p>
        </w:tc>
        <w:tc>
          <w:tcPr>
            <w:tcW w:type="dxa" w:w="2880"/>
            <w:vAlign w:val="center"/>
          </w:tcPr>
          <w:p>
            <w:r>
              <w:rPr>
                <w:sz w:val="14"/>
              </w:rPr>
              <w:t>Ransomware resilience</w:t>
            </w:r>
          </w:p>
        </w:tc>
      </w:tr>
      <w:tr>
        <w:tc>
          <w:tcPr>
            <w:tcW w:type="dxa" w:w="1584"/>
            <w:vAlign w:val="center"/>
          </w:tcPr>
          <w:p>
            <w:r>
              <w:rPr>
                <w:sz w:val="14"/>
              </w:rPr>
              <w:t>Governance</w:t>
            </w:r>
          </w:p>
        </w:tc>
        <w:tc>
          <w:tcPr>
            <w:tcW w:type="dxa" w:w="2304"/>
            <w:vAlign w:val="center"/>
          </w:tcPr>
          <w:p>
            <w:r>
              <w:rPr>
                <w:sz w:val="14"/>
              </w:rPr>
              <w:t>Manual tracking</w:t>
            </w:r>
          </w:p>
        </w:tc>
        <w:tc>
          <w:tcPr>
            <w:tcW w:type="dxa" w:w="3312"/>
            <w:vAlign w:val="center"/>
          </w:tcPr>
          <w:p>
            <w:r>
              <w:rPr>
                <w:sz w:val="14"/>
              </w:rPr>
              <w:t>Risk/GRC register with evidence links</w:t>
            </w:r>
          </w:p>
        </w:tc>
        <w:tc>
          <w:tcPr>
            <w:tcW w:type="dxa" w:w="2880"/>
            <w:vAlign w:val="center"/>
          </w:tcPr>
          <w:p>
            <w:r>
              <w:rPr>
                <w:sz w:val="14"/>
              </w:rPr>
              <w:t>Accountability and auditability</w:t>
            </w:r>
          </w:p>
        </w:tc>
      </w:tr>
    </w:tbl>
    <w:p>
      <w:pPr>
        <w:spacing w:after="20"/>
      </w:pPr>
    </w:p>
    <w:p>
      <w:r>
        <w:rPr>
          <w:b w:val="0"/>
          <w:i w:val="0"/>
        </w:rPr>
        <w:t>Technology should be selected based on service architecture, procurement constraints, skills, licensing, data residency, interoperability and operational capacity. Open-source tools can provide strong capabilities, but they still require secure configuration, patching, monitoring, ownership and skilled administration.</w:t>
      </w:r>
    </w:p>
    <w:p>
      <w:pPr>
        <w:pStyle w:val="Heading1"/>
      </w:pPr>
      <w:r>
        <w:t>10. Re-Audit, Governance and Management Review</w:t>
      </w:r>
    </w:p>
    <w:p>
      <w:r>
        <w:rPr>
          <w:b w:val="0"/>
          <w:i w:val="0"/>
        </w:rPr>
        <w:t>Every remediation item should have a clear definition of done. Closure is not achieved when a ticket is marked complete; it is achieved when the control has been implemented, evidence has been collected, the risk owner has reviewed the result, and an independent or second-line reviewer has verified the improvement where appropriate.</w:t>
      </w:r>
    </w:p>
    <w:tbl>
      <w:tblPr>
        <w:tblStyle w:val="TableGrid"/>
        <w:tblW w:type="auto" w:w="0"/>
        <w:jc w:val="center"/>
        <w:tblLook w:firstColumn="1" w:firstRow="1" w:lastColumn="0" w:lastRow="0" w:noHBand="0" w:noVBand="1" w:val="04A0"/>
      </w:tblPr>
      <w:tblGrid>
        <w:gridCol w:w="3408"/>
        <w:gridCol w:w="3408"/>
        <w:gridCol w:w="3408"/>
      </w:tblGrid>
      <w:tr>
        <w:tc>
          <w:tcPr>
            <w:tcW w:type="dxa" w:w="1440"/>
            <w:vAlign w:val="center"/>
          </w:tcPr>
          <w:p>
            <w:r>
              <w:rPr>
                <w:b/>
                <w:sz w:val="15"/>
              </w:rPr>
              <w:t>Frequency</w:t>
            </w:r>
          </w:p>
        </w:tc>
        <w:tc>
          <w:tcPr>
            <w:tcW w:type="dxa" w:w="5472"/>
            <w:vAlign w:val="center"/>
          </w:tcPr>
          <w:p>
            <w:r>
              <w:rPr>
                <w:b/>
                <w:sz w:val="15"/>
              </w:rPr>
              <w:t>Review</w:t>
            </w:r>
          </w:p>
        </w:tc>
        <w:tc>
          <w:tcPr>
            <w:tcW w:type="dxa" w:w="2880"/>
            <w:vAlign w:val="center"/>
          </w:tcPr>
          <w:p>
            <w:r>
              <w:rPr>
                <w:b/>
                <w:sz w:val="15"/>
              </w:rPr>
              <w:t>Decision</w:t>
            </w:r>
          </w:p>
        </w:tc>
      </w:tr>
      <w:tr>
        <w:tc>
          <w:tcPr>
            <w:tcW w:type="dxa" w:w="1440"/>
            <w:vAlign w:val="center"/>
          </w:tcPr>
          <w:p>
            <w:r>
              <w:rPr>
                <w:sz w:val="15"/>
              </w:rPr>
              <w:t>Weekly</w:t>
            </w:r>
          </w:p>
        </w:tc>
        <w:tc>
          <w:tcPr>
            <w:tcW w:type="dxa" w:w="5472"/>
            <w:vAlign w:val="center"/>
          </w:tcPr>
          <w:p>
            <w:r>
              <w:rPr>
                <w:sz w:val="15"/>
              </w:rPr>
              <w:t>Critical vulnerabilities, incidents, overdue critical actions</w:t>
            </w:r>
          </w:p>
        </w:tc>
        <w:tc>
          <w:tcPr>
            <w:tcW w:type="dxa" w:w="2880"/>
            <w:vAlign w:val="center"/>
          </w:tcPr>
          <w:p>
            <w:r>
              <w:rPr>
                <w:sz w:val="15"/>
              </w:rPr>
              <w:t>Escalate blockers</w:t>
            </w:r>
          </w:p>
        </w:tc>
      </w:tr>
      <w:tr>
        <w:tc>
          <w:tcPr>
            <w:tcW w:type="dxa" w:w="1440"/>
            <w:vAlign w:val="center"/>
          </w:tcPr>
          <w:p>
            <w:r>
              <w:rPr>
                <w:sz w:val="15"/>
              </w:rPr>
              <w:t>Monthly</w:t>
            </w:r>
          </w:p>
        </w:tc>
        <w:tc>
          <w:tcPr>
            <w:tcW w:type="dxa" w:w="5472"/>
            <w:vAlign w:val="center"/>
          </w:tcPr>
          <w:p>
            <w:r>
              <w:rPr>
                <w:sz w:val="15"/>
              </w:rPr>
              <w:t>Security dashboard, access exceptions, log coverage</w:t>
            </w:r>
          </w:p>
        </w:tc>
        <w:tc>
          <w:tcPr>
            <w:tcW w:type="dxa" w:w="2880"/>
            <w:vAlign w:val="center"/>
          </w:tcPr>
          <w:p>
            <w:r>
              <w:rPr>
                <w:sz w:val="15"/>
              </w:rPr>
              <w:t>Prioritize remediation</w:t>
            </w:r>
          </w:p>
        </w:tc>
      </w:tr>
      <w:tr>
        <w:tc>
          <w:tcPr>
            <w:tcW w:type="dxa" w:w="1440"/>
            <w:vAlign w:val="center"/>
          </w:tcPr>
          <w:p>
            <w:r>
              <w:rPr>
                <w:sz w:val="15"/>
              </w:rPr>
              <w:t>Quarterly</w:t>
            </w:r>
          </w:p>
        </w:tc>
        <w:tc>
          <w:tcPr>
            <w:tcW w:type="dxa" w:w="5472"/>
            <w:vAlign w:val="center"/>
          </w:tcPr>
          <w:p>
            <w:r>
              <w:rPr>
                <w:sz w:val="15"/>
              </w:rPr>
              <w:t>Risk register, control testing, backup restoration, supplier risk</w:t>
            </w:r>
          </w:p>
        </w:tc>
        <w:tc>
          <w:tcPr>
            <w:tcW w:type="dxa" w:w="2880"/>
            <w:vAlign w:val="center"/>
          </w:tcPr>
          <w:p>
            <w:r>
              <w:rPr>
                <w:sz w:val="15"/>
              </w:rPr>
              <w:t>Adjust roadmap and resources</w:t>
            </w:r>
          </w:p>
        </w:tc>
      </w:tr>
      <w:tr>
        <w:tc>
          <w:tcPr>
            <w:tcW w:type="dxa" w:w="1440"/>
            <w:vAlign w:val="center"/>
          </w:tcPr>
          <w:p>
            <w:r>
              <w:rPr>
                <w:sz w:val="15"/>
              </w:rPr>
              <w:t>Biannual</w:t>
            </w:r>
          </w:p>
        </w:tc>
        <w:tc>
          <w:tcPr>
            <w:tcW w:type="dxa" w:w="5472"/>
            <w:vAlign w:val="center"/>
          </w:tcPr>
          <w:p>
            <w:r>
              <w:rPr>
                <w:sz w:val="15"/>
              </w:rPr>
              <w:t>Application and infrastructure security assessment</w:t>
            </w:r>
          </w:p>
        </w:tc>
        <w:tc>
          <w:tcPr>
            <w:tcW w:type="dxa" w:w="2880"/>
            <w:vAlign w:val="center"/>
          </w:tcPr>
          <w:p>
            <w:r>
              <w:rPr>
                <w:sz w:val="15"/>
              </w:rPr>
              <w:t>Plan major improvements</w:t>
            </w:r>
          </w:p>
        </w:tc>
      </w:tr>
      <w:tr>
        <w:tc>
          <w:tcPr>
            <w:tcW w:type="dxa" w:w="1440"/>
            <w:vAlign w:val="center"/>
          </w:tcPr>
          <w:p>
            <w:r>
              <w:rPr>
                <w:sz w:val="15"/>
              </w:rPr>
              <w:t>Annual</w:t>
            </w:r>
          </w:p>
        </w:tc>
        <w:tc>
          <w:tcPr>
            <w:tcW w:type="dxa" w:w="5472"/>
            <w:vAlign w:val="center"/>
          </w:tcPr>
          <w:p>
            <w:r>
              <w:rPr>
                <w:sz w:val="15"/>
              </w:rPr>
              <w:t>Full security audit, policy review, awareness programme, BCP exercise</w:t>
            </w:r>
          </w:p>
        </w:tc>
        <w:tc>
          <w:tcPr>
            <w:tcW w:type="dxa" w:w="2880"/>
            <w:vAlign w:val="center"/>
          </w:tcPr>
          <w:p>
            <w:r>
              <w:rPr>
                <w:sz w:val="15"/>
              </w:rPr>
              <w:t>Reset objectives and audit scope</w:t>
            </w:r>
          </w:p>
        </w:tc>
      </w:tr>
    </w:tbl>
    <w:p>
      <w:pPr>
        <w:spacing w:after="20"/>
      </w:pPr>
    </w:p>
    <w:p>
      <w:pPr>
        <w:pStyle w:val="Heading2"/>
      </w:pPr>
      <w:r>
        <w:t>10.1 Management reporting</w:t>
      </w:r>
    </w:p>
    <w:p>
      <w:pPr>
        <w:pStyle w:val="ListBullet"/>
        <w:ind w:left="360"/>
      </w:pPr>
      <w:r>
        <w:t>Top five cybersecurity risks and trend direction.</w:t>
      </w:r>
    </w:p>
    <w:p>
      <w:pPr>
        <w:pStyle w:val="ListBullet"/>
        <w:ind w:left="360"/>
      </w:pPr>
      <w:r>
        <w:t>Critical and high findings by owner and age.</w:t>
      </w:r>
    </w:p>
    <w:p>
      <w:pPr>
        <w:pStyle w:val="ListBullet"/>
        <w:ind w:left="360"/>
      </w:pPr>
      <w:r>
        <w:t>Security-control coverage and exceptions.</w:t>
      </w:r>
    </w:p>
    <w:p>
      <w:pPr>
        <w:pStyle w:val="ListBullet"/>
        <w:ind w:left="360"/>
      </w:pPr>
      <w:r>
        <w:t>Incident trends, response times and recurring root causes.</w:t>
      </w:r>
    </w:p>
    <w:p>
      <w:pPr>
        <w:pStyle w:val="ListBullet"/>
        <w:ind w:left="360"/>
      </w:pPr>
      <w:r>
        <w:t>Vulnerability exposure and remediation performance.</w:t>
      </w:r>
    </w:p>
    <w:p>
      <w:pPr>
        <w:pStyle w:val="ListBullet"/>
        <w:ind w:left="360"/>
      </w:pPr>
      <w:r>
        <w:t>Backup/recovery test results.</w:t>
      </w:r>
    </w:p>
    <w:p>
      <w:pPr>
        <w:pStyle w:val="ListBullet"/>
        <w:ind w:left="360"/>
      </w:pPr>
      <w:r>
        <w:t>Training and phishing-simulation performance.</w:t>
      </w:r>
    </w:p>
    <w:p>
      <w:pPr>
        <w:pStyle w:val="ListBullet"/>
        <w:ind w:left="360"/>
      </w:pPr>
      <w:r>
        <w:t>Third-party security status.</w:t>
      </w:r>
    </w:p>
    <w:p>
      <w:pPr>
        <w:pStyle w:val="Heading1"/>
      </w:pPr>
      <w:r>
        <w:t>11. Simulated Audit Process Flow</w:t>
      </w:r>
    </w:p>
    <w:p>
      <w:r>
        <w:rPr>
          <w:b w:val="0"/>
          <w:i w:val="0"/>
        </w:rPr>
        <w:t>The process below demonstrates how the organization moves from audit preparation to evidence collection, control testing, risk prioritization, remediation, and verification. The final loop is deliberately continuous: the next audit begins with the risks and lessons produced by the previous cycle.</w:t>
      </w:r>
    </w:p>
    <w:p>
      <w:pPr>
        <w:jc w:val="center"/>
      </w:pPr>
      <w:r>
        <w:drawing>
          <wp:inline xmlns:a="http://schemas.openxmlformats.org/drawingml/2006/main" xmlns:pic="http://schemas.openxmlformats.org/drawingml/2006/picture">
            <wp:extent cx="5943600" cy="2971800"/>
            <wp:docPr id="1" name="Picture 1"/>
            <wp:cNvGraphicFramePr>
              <a:graphicFrameLocks noChangeAspect="1"/>
            </wp:cNvGraphicFramePr>
            <a:graphic>
              <a:graphicData uri="http://schemas.openxmlformats.org/drawingml/2006/picture">
                <pic:pic>
                  <pic:nvPicPr>
                    <pic:cNvPr id="0" name="Week_4_Audit_Process_Flowchart.png"/>
                    <pic:cNvPicPr/>
                  </pic:nvPicPr>
                  <pic:blipFill>
                    <a:blip r:embed="rId11"/>
                    <a:stretch>
                      <a:fillRect/>
                    </a:stretch>
                  </pic:blipFill>
                  <pic:spPr>
                    <a:xfrm>
                      <a:off x="0" y="0"/>
                      <a:ext cx="5943600" cy="2971800"/>
                    </a:xfrm>
                    <a:prstGeom prst="rect"/>
                  </pic:spPr>
                </pic:pic>
              </a:graphicData>
            </a:graphic>
          </wp:inline>
        </w:drawing>
      </w:r>
    </w:p>
    <w:p>
      <w:pPr>
        <w:pStyle w:val="Heading2"/>
      </w:pPr>
      <w:r>
        <w:t>11.1 Finding lifecycle</w:t>
      </w:r>
    </w:p>
    <w:p>
      <w:r>
        <w:rPr>
          <w:b w:val="0"/>
          <w:i w:val="0"/>
        </w:rPr>
        <w:t>Identify → validate → rate → assign owner → define corrective action → approve target date → implement → collect evidence → verify → close or escalate → update risk register → feed lessons into the next audit.</w:t>
      </w:r>
    </w:p>
    <w:p>
      <w:pPr>
        <w:pStyle w:val="Heading1"/>
      </w:pPr>
      <w:r>
        <w:t>12. Scenario-Based Audit Test</w:t>
      </w:r>
    </w:p>
    <w:p>
      <w:r>
        <w:rPr>
          <w:b w:val="0"/>
          <w:i w:val="0"/>
        </w:rPr>
        <w:t>Scenario: the simulated SCSP receives a report that a privileged administrator account was used from an unusual location shortly before a database query spike. The audit does not attempt exploitation. Instead, it evaluates whether the organization can demonstrate that preventive and detective controls would identify and contain the event.</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tcPr>
          <w:p>
            <w:r>
              <w:rPr>
                <w:b/>
                <w:sz w:val="14"/>
              </w:rPr>
              <w:t>Test Question</w:t>
            </w:r>
          </w:p>
        </w:tc>
        <w:tc>
          <w:tcPr>
            <w:tcW w:type="dxa" w:w="4032"/>
            <w:vAlign w:val="center"/>
          </w:tcPr>
          <w:p>
            <w:r>
              <w:rPr>
                <w:b/>
                <w:sz w:val="14"/>
              </w:rPr>
              <w:t>Expected Evidence</w:t>
            </w:r>
          </w:p>
        </w:tc>
        <w:tc>
          <w:tcPr>
            <w:tcW w:type="dxa" w:w="2304"/>
            <w:vAlign w:val="center"/>
          </w:tcPr>
          <w:p>
            <w:r>
              <w:rPr>
                <w:b/>
                <w:sz w:val="14"/>
              </w:rPr>
              <w:t>Simulated Result</w:t>
            </w:r>
          </w:p>
        </w:tc>
      </w:tr>
      <w:tr>
        <w:tc>
          <w:tcPr>
            <w:tcW w:type="dxa" w:w="2880"/>
            <w:vAlign w:val="center"/>
          </w:tcPr>
          <w:p>
            <w:r>
              <w:rPr>
                <w:sz w:val="14"/>
              </w:rPr>
              <w:t>Can the account be uniquely identified?</w:t>
            </w:r>
          </w:p>
        </w:tc>
        <w:tc>
          <w:tcPr>
            <w:tcW w:type="dxa" w:w="4032"/>
            <w:vAlign w:val="center"/>
          </w:tcPr>
          <w:p>
            <w:r>
              <w:rPr>
                <w:sz w:val="14"/>
              </w:rPr>
              <w:t>IAM identity and authentication logs</w:t>
            </w:r>
          </w:p>
        </w:tc>
        <w:tc>
          <w:tcPr>
            <w:tcW w:type="dxa" w:w="2304"/>
            <w:vAlign w:val="center"/>
          </w:tcPr>
          <w:p>
            <w:r>
              <w:rPr>
                <w:sz w:val="14"/>
              </w:rPr>
              <w:t>Yes</w:t>
            </w:r>
          </w:p>
        </w:tc>
      </w:tr>
      <w:tr>
        <w:tc>
          <w:tcPr>
            <w:tcW w:type="dxa" w:w="2880"/>
            <w:vAlign w:val="center"/>
          </w:tcPr>
          <w:p>
            <w:r>
              <w:rPr>
                <w:sz w:val="14"/>
              </w:rPr>
              <w:t>Is MFA enforced?</w:t>
            </w:r>
          </w:p>
        </w:tc>
        <w:tc>
          <w:tcPr>
            <w:tcW w:type="dxa" w:w="4032"/>
            <w:vAlign w:val="center"/>
          </w:tcPr>
          <w:p>
            <w:r>
              <w:rPr>
                <w:sz w:val="14"/>
              </w:rPr>
              <w:t>IAM policy and sign-in evidence</w:t>
            </w:r>
          </w:p>
        </w:tc>
        <w:tc>
          <w:tcPr>
            <w:tcW w:type="dxa" w:w="2304"/>
            <w:vAlign w:val="center"/>
          </w:tcPr>
          <w:p>
            <w:r>
              <w:rPr>
                <w:sz w:val="14"/>
              </w:rPr>
              <w:t>Partial – exception exists</w:t>
            </w:r>
          </w:p>
        </w:tc>
      </w:tr>
      <w:tr>
        <w:tc>
          <w:tcPr>
            <w:tcW w:type="dxa" w:w="2880"/>
            <w:vAlign w:val="center"/>
          </w:tcPr>
          <w:p>
            <w:r>
              <w:rPr>
                <w:sz w:val="14"/>
              </w:rPr>
              <w:t>Can investigators correlate admin, database and network events?</w:t>
            </w:r>
          </w:p>
        </w:tc>
        <w:tc>
          <w:tcPr>
            <w:tcW w:type="dxa" w:w="4032"/>
            <w:vAlign w:val="center"/>
          </w:tcPr>
          <w:p>
            <w:r>
              <w:rPr>
                <w:sz w:val="14"/>
              </w:rPr>
              <w:t>Centralized logs/SIEM</w:t>
            </w:r>
          </w:p>
        </w:tc>
        <w:tc>
          <w:tcPr>
            <w:tcW w:type="dxa" w:w="2304"/>
            <w:vAlign w:val="center"/>
          </w:tcPr>
          <w:p>
            <w:r>
              <w:rPr>
                <w:sz w:val="14"/>
              </w:rPr>
              <w:t>Partial</w:t>
            </w:r>
          </w:p>
        </w:tc>
      </w:tr>
      <w:tr>
        <w:tc>
          <w:tcPr>
            <w:tcW w:type="dxa" w:w="2880"/>
            <w:vAlign w:val="center"/>
          </w:tcPr>
          <w:p>
            <w:r>
              <w:rPr>
                <w:sz w:val="14"/>
              </w:rPr>
              <w:t>Can the account be disabled quickly?</w:t>
            </w:r>
          </w:p>
        </w:tc>
        <w:tc>
          <w:tcPr>
            <w:tcW w:type="dxa" w:w="4032"/>
            <w:vAlign w:val="center"/>
          </w:tcPr>
          <w:p>
            <w:r>
              <w:rPr>
                <w:sz w:val="14"/>
              </w:rPr>
              <w:t>IAM workflow / emergency procedure</w:t>
            </w:r>
          </w:p>
        </w:tc>
        <w:tc>
          <w:tcPr>
            <w:tcW w:type="dxa" w:w="2304"/>
            <w:vAlign w:val="center"/>
          </w:tcPr>
          <w:p>
            <w:r>
              <w:rPr>
                <w:sz w:val="14"/>
              </w:rPr>
              <w:t>Yes</w:t>
            </w:r>
          </w:p>
        </w:tc>
      </w:tr>
      <w:tr>
        <w:tc>
          <w:tcPr>
            <w:tcW w:type="dxa" w:w="2880"/>
            <w:vAlign w:val="center"/>
          </w:tcPr>
          <w:p>
            <w:r>
              <w:rPr>
                <w:sz w:val="14"/>
              </w:rPr>
              <w:t>Are privileged actions attributable?</w:t>
            </w:r>
          </w:p>
        </w:tc>
        <w:tc>
          <w:tcPr>
            <w:tcW w:type="dxa" w:w="4032"/>
            <w:vAlign w:val="center"/>
          </w:tcPr>
          <w:p>
            <w:r>
              <w:rPr>
                <w:sz w:val="14"/>
              </w:rPr>
              <w:t>Admin and database audit logs</w:t>
            </w:r>
          </w:p>
        </w:tc>
        <w:tc>
          <w:tcPr>
            <w:tcW w:type="dxa" w:w="2304"/>
            <w:vAlign w:val="center"/>
          </w:tcPr>
          <w:p>
            <w:r>
              <w:rPr>
                <w:sz w:val="14"/>
              </w:rPr>
              <w:t>Partial</w:t>
            </w:r>
          </w:p>
        </w:tc>
      </w:tr>
      <w:tr>
        <w:tc>
          <w:tcPr>
            <w:tcW w:type="dxa" w:w="2880"/>
            <w:vAlign w:val="center"/>
          </w:tcPr>
          <w:p>
            <w:r>
              <w:rPr>
                <w:sz w:val="14"/>
              </w:rPr>
              <w:t>Can the affected system be restored?</w:t>
            </w:r>
          </w:p>
        </w:tc>
        <w:tc>
          <w:tcPr>
            <w:tcW w:type="dxa" w:w="4032"/>
            <w:vAlign w:val="center"/>
          </w:tcPr>
          <w:p>
            <w:r>
              <w:rPr>
                <w:sz w:val="14"/>
              </w:rPr>
              <w:t>Recent successful restore test</w:t>
            </w:r>
          </w:p>
        </w:tc>
        <w:tc>
          <w:tcPr>
            <w:tcW w:type="dxa" w:w="2304"/>
            <w:vAlign w:val="center"/>
          </w:tcPr>
          <w:p>
            <w:r>
              <w:rPr>
                <w:sz w:val="14"/>
              </w:rPr>
              <w:t>Not sufficiently evidenced</w:t>
            </w:r>
          </w:p>
        </w:tc>
      </w:tr>
      <w:tr>
        <w:tc>
          <w:tcPr>
            <w:tcW w:type="dxa" w:w="2880"/>
            <w:vAlign w:val="center"/>
          </w:tcPr>
          <w:p>
            <w:r>
              <w:rPr>
                <w:sz w:val="14"/>
              </w:rPr>
              <w:t>Is there an incident playbook?</w:t>
            </w:r>
          </w:p>
        </w:tc>
        <w:tc>
          <w:tcPr>
            <w:tcW w:type="dxa" w:w="4032"/>
            <w:vAlign w:val="center"/>
          </w:tcPr>
          <w:p>
            <w:r>
              <w:rPr>
                <w:sz w:val="14"/>
              </w:rPr>
              <w:t>Approved IR playbook</w:t>
            </w:r>
          </w:p>
        </w:tc>
        <w:tc>
          <w:tcPr>
            <w:tcW w:type="dxa" w:w="2304"/>
            <w:vAlign w:val="center"/>
          </w:tcPr>
          <w:p>
            <w:r>
              <w:rPr>
                <w:sz w:val="14"/>
              </w:rPr>
              <w:t>Yes</w:t>
            </w:r>
          </w:p>
        </w:tc>
      </w:tr>
      <w:tr>
        <w:tc>
          <w:tcPr>
            <w:tcW w:type="dxa" w:w="2880"/>
            <w:vAlign w:val="center"/>
          </w:tcPr>
          <w:p>
            <w:r>
              <w:rPr>
                <w:sz w:val="14"/>
              </w:rPr>
              <w:t>Can lessons be tracked to remediation?</w:t>
            </w:r>
          </w:p>
        </w:tc>
        <w:tc>
          <w:tcPr>
            <w:tcW w:type="dxa" w:w="4032"/>
            <w:vAlign w:val="center"/>
          </w:tcPr>
          <w:p>
            <w:r>
              <w:rPr>
                <w:sz w:val="14"/>
              </w:rPr>
              <w:t>Risk/remediation register</w:t>
            </w:r>
          </w:p>
        </w:tc>
        <w:tc>
          <w:tcPr>
            <w:tcW w:type="dxa" w:w="2304"/>
            <w:vAlign w:val="center"/>
          </w:tcPr>
          <w:p>
            <w:r>
              <w:rPr>
                <w:sz w:val="14"/>
              </w:rPr>
              <w:t>Partial</w:t>
            </w:r>
          </w:p>
        </w:tc>
      </w:tr>
    </w:tbl>
    <w:p>
      <w:pPr>
        <w:spacing w:after="20"/>
      </w:pPr>
    </w:p>
    <w:p>
      <w:r>
        <w:rPr>
          <w:b w:val="0"/>
          <w:i w:val="0"/>
        </w:rPr>
        <w:t>The scenario shows why security auditing must test relationships between controls. MFA alone is not enough if exceptions are unmanaged; logs alone are not enough if they cannot be correlated; backups alone are not enough if restoration is untested. Effective assurance comes from the complete control chain.</w:t>
      </w:r>
    </w:p>
    <w:p>
      <w:pPr>
        <w:pStyle w:val="Heading1"/>
      </w:pPr>
      <w:r>
        <w:t>13. Lessons Learned and Improvement Priorities</w:t>
      </w:r>
    </w:p>
    <w:p>
      <w:pPr>
        <w:pStyle w:val="ListBullet"/>
        <w:ind w:left="360"/>
      </w:pPr>
      <w:r>
        <w:t>Security assurance should be evidence-driven and repeatable.</w:t>
      </w:r>
    </w:p>
    <w:p>
      <w:pPr>
        <w:pStyle w:val="ListBullet"/>
        <w:ind w:left="360"/>
      </w:pPr>
      <w:r>
        <w:t>High-value public services need risk-based prioritization rather than treating every control equally.</w:t>
      </w:r>
    </w:p>
    <w:p>
      <w:pPr>
        <w:pStyle w:val="ListBullet"/>
        <w:ind w:left="360"/>
      </w:pPr>
      <w:r>
        <w:t>Identity security, vulnerability management, logging, recovery, application security and supplier governance are interdependent.</w:t>
      </w:r>
    </w:p>
    <w:p>
      <w:pPr>
        <w:pStyle w:val="ListBullet"/>
        <w:ind w:left="360"/>
      </w:pPr>
      <w:r>
        <w:t>Audit findings should be translated into measurable work with named owners and deadlines.</w:t>
      </w:r>
    </w:p>
    <w:p>
      <w:pPr>
        <w:pStyle w:val="ListBullet"/>
        <w:ind w:left="360"/>
      </w:pPr>
      <w:r>
        <w:t>Continuous monitoring reduces the time between control degradation and corrective action.</w:t>
      </w:r>
    </w:p>
    <w:p>
      <w:pPr>
        <w:pStyle w:val="ListBullet"/>
        <w:ind w:left="360"/>
      </w:pPr>
      <w:r>
        <w:t>Re-auditing is essential because a documented control can become ineffective as systems and threats change.</w:t>
      </w:r>
    </w:p>
    <w:p>
      <w:pPr>
        <w:pStyle w:val="ListBullet"/>
        <w:ind w:left="360"/>
      </w:pPr>
      <w:r>
        <w:t>Training should be role-based and measured through behavior and exercises.</w:t>
      </w:r>
    </w:p>
    <w:p>
      <w:pPr>
        <w:pStyle w:val="ListBullet"/>
        <w:ind w:left="360"/>
      </w:pPr>
      <w:r>
        <w:t>Technology investments should follow defined risks and operating requirements rather than tool popularity.</w:t>
      </w:r>
    </w:p>
    <w:p>
      <w:pPr>
        <w:pStyle w:val="Heading2"/>
      </w:pPr>
      <w:r>
        <w:t>13.1 30–60–90 day improvement plan</w:t>
      </w:r>
    </w:p>
    <w:tbl>
      <w:tblPr>
        <w:tblStyle w:val="TableGrid"/>
        <w:tblW w:type="auto" w:w="0"/>
        <w:jc w:val="center"/>
        <w:tblLook w:firstColumn="1" w:firstRow="1" w:lastColumn="0" w:lastRow="0" w:noHBand="0" w:noVBand="1" w:val="04A0"/>
      </w:tblPr>
      <w:tblGrid>
        <w:gridCol w:w="3408"/>
        <w:gridCol w:w="3408"/>
        <w:gridCol w:w="3408"/>
      </w:tblGrid>
      <w:tr>
        <w:tc>
          <w:tcPr>
            <w:tcW w:type="dxa" w:w="1440"/>
            <w:vAlign w:val="center"/>
          </w:tcPr>
          <w:p>
            <w:r>
              <w:rPr>
                <w:b/>
                <w:sz w:val="15"/>
              </w:rPr>
              <w:t>Period</w:t>
            </w:r>
          </w:p>
        </w:tc>
        <w:tc>
          <w:tcPr>
            <w:tcW w:type="dxa" w:w="5472"/>
            <w:vAlign w:val="center"/>
          </w:tcPr>
          <w:p>
            <w:r>
              <w:rPr>
                <w:b/>
                <w:sz w:val="15"/>
              </w:rPr>
              <w:t>Priority Actions</w:t>
            </w:r>
          </w:p>
        </w:tc>
        <w:tc>
          <w:tcPr>
            <w:tcW w:type="dxa" w:w="2880"/>
            <w:vAlign w:val="center"/>
          </w:tcPr>
          <w:p>
            <w:r>
              <w:rPr>
                <w:b/>
                <w:sz w:val="15"/>
              </w:rPr>
              <w:t>Expected Outcome</w:t>
            </w:r>
          </w:p>
        </w:tc>
      </w:tr>
      <w:tr>
        <w:tc>
          <w:tcPr>
            <w:tcW w:type="dxa" w:w="1440"/>
            <w:vAlign w:val="center"/>
          </w:tcPr>
          <w:p>
            <w:r>
              <w:rPr>
                <w:sz w:val="15"/>
              </w:rPr>
              <w:t>0–30 days</w:t>
            </w:r>
          </w:p>
        </w:tc>
        <w:tc>
          <w:tcPr>
            <w:tcW w:type="dxa" w:w="5472"/>
            <w:vAlign w:val="center"/>
          </w:tcPr>
          <w:p>
            <w:r>
              <w:rPr>
                <w:sz w:val="15"/>
              </w:rPr>
              <w:t>MFA for privileged access; critical vulnerability SLA; remediation register; critical log-source inventory; backup/restore baseline.</w:t>
            </w:r>
          </w:p>
        </w:tc>
        <w:tc>
          <w:tcPr>
            <w:tcW w:type="dxa" w:w="2880"/>
            <w:vAlign w:val="center"/>
          </w:tcPr>
          <w:p>
            <w:r>
              <w:rPr>
                <w:sz w:val="15"/>
              </w:rPr>
              <w:t>Highest-risk exposures reduced and ownership established.</w:t>
            </w:r>
          </w:p>
        </w:tc>
      </w:tr>
      <w:tr>
        <w:tc>
          <w:tcPr>
            <w:tcW w:type="dxa" w:w="1440"/>
            <w:vAlign w:val="center"/>
          </w:tcPr>
          <w:p>
            <w:r>
              <w:rPr>
                <w:sz w:val="15"/>
              </w:rPr>
              <w:t>31–60 days</w:t>
            </w:r>
          </w:p>
        </w:tc>
        <w:tc>
          <w:tcPr>
            <w:tcW w:type="dxa" w:w="5472"/>
            <w:vAlign w:val="center"/>
          </w:tcPr>
          <w:p>
            <w:r>
              <w:rPr>
                <w:sz w:val="15"/>
              </w:rPr>
              <w:t>SIEM/log onboarding; PAM design; secure SDLC gates; supplier security clauses; restore exercise.</w:t>
            </w:r>
          </w:p>
        </w:tc>
        <w:tc>
          <w:tcPr>
            <w:tcW w:type="dxa" w:w="2880"/>
            <w:vAlign w:val="center"/>
          </w:tcPr>
          <w:p>
            <w:r>
              <w:rPr>
                <w:sz w:val="15"/>
              </w:rPr>
              <w:t>Improved detection, application assurance and resilience.</w:t>
            </w:r>
          </w:p>
        </w:tc>
      </w:tr>
      <w:tr>
        <w:tc>
          <w:tcPr>
            <w:tcW w:type="dxa" w:w="1440"/>
            <w:vAlign w:val="center"/>
          </w:tcPr>
          <w:p>
            <w:r>
              <w:rPr>
                <w:sz w:val="15"/>
              </w:rPr>
              <w:t>61–90 days</w:t>
            </w:r>
          </w:p>
        </w:tc>
        <w:tc>
          <w:tcPr>
            <w:tcW w:type="dxa" w:w="5472"/>
            <w:vAlign w:val="center"/>
          </w:tcPr>
          <w:p>
            <w:r>
              <w:rPr>
                <w:sz w:val="15"/>
              </w:rPr>
              <w:t>Role-based training; phishing exercise; tabletop incident exercise; control retest; management review.</w:t>
            </w:r>
          </w:p>
        </w:tc>
        <w:tc>
          <w:tcPr>
            <w:tcW w:type="dxa" w:w="2880"/>
            <w:vAlign w:val="center"/>
          </w:tcPr>
          <w:p>
            <w:r>
              <w:rPr>
                <w:sz w:val="15"/>
              </w:rPr>
              <w:t>Measured improvement and verified remediation.</w:t>
            </w:r>
          </w:p>
        </w:tc>
      </w:tr>
    </w:tbl>
    <w:p>
      <w:pPr>
        <w:spacing w:after="20"/>
      </w:pPr>
    </w:p>
    <w:p>
      <w:pPr>
        <w:pStyle w:val="Heading1"/>
      </w:pPr>
      <w:r>
        <w:t>14. Conclusion</w:t>
      </w:r>
    </w:p>
    <w:p>
      <w:r>
        <w:rPr>
          <w:b w:val="0"/>
          <w:i w:val="0"/>
        </w:rPr>
        <w:t>This simulated security audit demonstrates a practical method for evaluating cybersecurity measures in digital governance. The audit moves beyond a simple checklist by connecting control criteria to evidence, risk, ownership, remediation, verification and continuous improvement. The resulting report provides a structured picture of where security capabilities are effective, where they are incomplete, and where investment should be prioritized.</w:t>
      </w:r>
    </w:p>
    <w:p>
      <w:r>
        <w:rPr>
          <w:b w:val="0"/>
          <w:i w:val="0"/>
        </w:rPr>
        <w:t>The most urgent simulated priorities are privileged-access protection, vulnerability management, centralized security logging, backup restoration assurance, application-security controls and third-party governance. Addressing these areas should be accompanied by measurable targets, documented evidence and follow-up testing.</w:t>
      </w:r>
    </w:p>
    <w:p>
      <w:r>
        <w:rPr>
          <w:b w:val="0"/>
          <w:i w:val="0"/>
        </w:rPr>
        <w:t>A mature e-governance security programme should treat auditing as a recurring management function. By combining NIST CSF 2.0, CIS Controls v8.1, ISO/IEC 27001:2022, CERT-In guidance, risk-based prioritization, staff training, technology modernization and recurring re-audits, the organization can improve resilience while maintaining reliable citizen services.</w:t>
      </w:r>
    </w:p>
    <w:p>
      <w:pPr>
        <w:pStyle w:val="Heading1"/>
      </w:pPr>
      <w:r>
        <w:t>Appendix A – Frameworks and Standards Used</w:t>
      </w:r>
    </w:p>
    <w:tbl>
      <w:tblPr>
        <w:tblStyle w:val="TableGrid"/>
        <w:tblW w:type="auto" w:w="0"/>
        <w:jc w:val="center"/>
        <w:tblLook w:firstColumn="1" w:firstRow="1" w:lastColumn="0" w:lastRow="0" w:noHBand="0" w:noVBand="1" w:val="04A0"/>
      </w:tblPr>
      <w:tblGrid>
        <w:gridCol w:w="5112"/>
        <w:gridCol w:w="5112"/>
      </w:tblGrid>
      <w:tr>
        <w:tc>
          <w:tcPr>
            <w:tcW w:type="dxa" w:w="3600"/>
            <w:vAlign w:val="center"/>
          </w:tcPr>
          <w:p>
            <w:r>
              <w:rPr>
                <w:b/>
                <w:sz w:val="15"/>
              </w:rPr>
              <w:t>Reference</w:t>
            </w:r>
          </w:p>
        </w:tc>
        <w:tc>
          <w:tcPr>
            <w:tcW w:type="dxa" w:w="6480"/>
            <w:vAlign w:val="center"/>
          </w:tcPr>
          <w:p>
            <w:r>
              <w:rPr>
                <w:b/>
                <w:sz w:val="15"/>
              </w:rPr>
              <w:t>Purpose in This Audit</w:t>
            </w:r>
          </w:p>
        </w:tc>
      </w:tr>
      <w:tr>
        <w:tc>
          <w:tcPr>
            <w:tcW w:type="dxa" w:w="3600"/>
            <w:vAlign w:val="center"/>
          </w:tcPr>
          <w:p>
            <w:r>
              <w:rPr>
                <w:sz w:val="15"/>
              </w:rPr>
              <w:t>NIST CSF 2.0</w:t>
            </w:r>
          </w:p>
        </w:tc>
        <w:tc>
          <w:tcPr>
            <w:tcW w:type="dxa" w:w="6480"/>
            <w:vAlign w:val="center"/>
          </w:tcPr>
          <w:p>
            <w:r>
              <w:rPr>
                <w:sz w:val="15"/>
              </w:rPr>
              <w:t>Risk governance, identification, protection, detection, response and recovery outcomes.</w:t>
            </w:r>
          </w:p>
        </w:tc>
      </w:tr>
      <w:tr>
        <w:tc>
          <w:tcPr>
            <w:tcW w:type="dxa" w:w="3600"/>
            <w:vAlign w:val="center"/>
          </w:tcPr>
          <w:p>
            <w:r>
              <w:rPr>
                <w:sz w:val="15"/>
              </w:rPr>
              <w:t>CIS Critical Security Controls v8.1</w:t>
            </w:r>
          </w:p>
        </w:tc>
        <w:tc>
          <w:tcPr>
            <w:tcW w:type="dxa" w:w="6480"/>
            <w:vAlign w:val="center"/>
          </w:tcPr>
          <w:p>
            <w:r>
              <w:rPr>
                <w:sz w:val="15"/>
              </w:rPr>
              <w:t>Prioritized and measurable technical/operational safeguards and implementation groups.</w:t>
            </w:r>
          </w:p>
        </w:tc>
      </w:tr>
      <w:tr>
        <w:tc>
          <w:tcPr>
            <w:tcW w:type="dxa" w:w="3600"/>
            <w:vAlign w:val="center"/>
          </w:tcPr>
          <w:p>
            <w:r>
              <w:rPr>
                <w:sz w:val="15"/>
              </w:rPr>
              <w:t>ISO/IEC 27001:2022</w:t>
            </w:r>
          </w:p>
        </w:tc>
        <w:tc>
          <w:tcPr>
            <w:tcW w:type="dxa" w:w="6480"/>
            <w:vAlign w:val="center"/>
          </w:tcPr>
          <w:p>
            <w:r>
              <w:rPr>
                <w:sz w:val="15"/>
              </w:rPr>
              <w:t>ISMS, risk management, continual improvement and information-security governance.</w:t>
            </w:r>
          </w:p>
        </w:tc>
      </w:tr>
      <w:tr>
        <w:tc>
          <w:tcPr>
            <w:tcW w:type="dxa" w:w="3600"/>
            <w:vAlign w:val="center"/>
          </w:tcPr>
          <w:p>
            <w:r>
              <w:rPr>
                <w:sz w:val="15"/>
              </w:rPr>
              <w:t>CERT-In Guidelines on Information Security Practices for Government Entities</w:t>
            </w:r>
          </w:p>
        </w:tc>
        <w:tc>
          <w:tcPr>
            <w:tcW w:type="dxa" w:w="6480"/>
            <w:vAlign w:val="center"/>
          </w:tcPr>
          <w:p>
            <w:r>
              <w:rPr>
                <w:sz w:val="15"/>
              </w:rPr>
              <w:t>India-specific government cybersecurity practices and technical/operational guidance.</w:t>
            </w:r>
          </w:p>
        </w:tc>
      </w:tr>
      <w:tr>
        <w:tc>
          <w:tcPr>
            <w:tcW w:type="dxa" w:w="3600"/>
            <w:vAlign w:val="center"/>
          </w:tcPr>
          <w:p>
            <w:r>
              <w:rPr>
                <w:sz w:val="15"/>
              </w:rPr>
              <w:t>CERT-In Secure Application Design, Development, Implementation &amp; Operations Guidelines</w:t>
            </w:r>
          </w:p>
        </w:tc>
        <w:tc>
          <w:tcPr>
            <w:tcW w:type="dxa" w:w="6480"/>
            <w:vAlign w:val="center"/>
          </w:tcPr>
          <w:p>
            <w:r>
              <w:rPr>
                <w:sz w:val="15"/>
              </w:rPr>
              <w:t>Application-security and secure-development reference.</w:t>
            </w:r>
          </w:p>
        </w:tc>
      </w:tr>
      <w:tr>
        <w:tc>
          <w:tcPr>
            <w:tcW w:type="dxa" w:w="3600"/>
            <w:vAlign w:val="center"/>
          </w:tcPr>
          <w:p>
            <w:r>
              <w:rPr>
                <w:sz w:val="15"/>
              </w:rPr>
              <w:t>NIST incident-response guidance</w:t>
            </w:r>
          </w:p>
        </w:tc>
        <w:tc>
          <w:tcPr>
            <w:tcW w:type="dxa" w:w="6480"/>
            <w:vAlign w:val="center"/>
          </w:tcPr>
          <w:p>
            <w:r>
              <w:rPr>
                <w:sz w:val="15"/>
              </w:rPr>
              <w:t>Incident preparedness, response integration and improvement.</w:t>
            </w:r>
          </w:p>
        </w:tc>
      </w:tr>
    </w:tbl>
    <w:p>
      <w:pPr>
        <w:spacing w:after="20"/>
      </w:pPr>
    </w:p>
    <w:p>
      <w:pPr>
        <w:pStyle w:val="Heading1"/>
      </w:pPr>
      <w:r>
        <w:t>Appendix B – Detailed Audit Evidence Request List</w:t>
      </w:r>
    </w:p>
    <w:p>
      <w:pPr>
        <w:pStyle w:val="ListBullet"/>
        <w:ind w:left="360"/>
      </w:pPr>
      <w:r>
        <w:t>Current system and software inventory, including cloud resources.</w:t>
      </w:r>
    </w:p>
    <w:p>
      <w:pPr>
        <w:pStyle w:val="ListBullet"/>
        <w:ind w:left="360"/>
      </w:pPr>
      <w:r>
        <w:t>Network and application architecture diagrams.</w:t>
      </w:r>
    </w:p>
    <w:p>
      <w:pPr>
        <w:pStyle w:val="ListBullet"/>
        <w:ind w:left="360"/>
      </w:pPr>
      <w:r>
        <w:t>Information-security policies, standards and procedures.</w:t>
      </w:r>
    </w:p>
    <w:p>
      <w:pPr>
        <w:pStyle w:val="ListBullet"/>
        <w:ind w:left="360"/>
      </w:pPr>
      <w:r>
        <w:t>Risk register and risk-treatment plans.</w:t>
      </w:r>
    </w:p>
    <w:p>
      <w:pPr>
        <w:pStyle w:val="ListBullet"/>
        <w:ind w:left="360"/>
      </w:pPr>
      <w:r>
        <w:t>Privileged-account list and access-review records.</w:t>
      </w:r>
    </w:p>
    <w:p>
      <w:pPr>
        <w:pStyle w:val="ListBullet"/>
        <w:ind w:left="360"/>
      </w:pPr>
      <w:r>
        <w:t>MFA coverage and authentication configuration evidence.</w:t>
      </w:r>
    </w:p>
    <w:p>
      <w:pPr>
        <w:pStyle w:val="ListBullet"/>
        <w:ind w:left="360"/>
      </w:pPr>
      <w:r>
        <w:t>Vulnerability scan reports and remediation tickets.</w:t>
      </w:r>
    </w:p>
    <w:p>
      <w:pPr>
        <w:pStyle w:val="ListBullet"/>
        <w:ind w:left="360"/>
      </w:pPr>
      <w:r>
        <w:t>Patch compliance reports and exceptions.</w:t>
      </w:r>
    </w:p>
    <w:p>
      <w:pPr>
        <w:pStyle w:val="ListBullet"/>
        <w:ind w:left="360"/>
      </w:pPr>
      <w:r>
        <w:t>Secure-configuration baselines and deviation reports.</w:t>
      </w:r>
    </w:p>
    <w:p>
      <w:pPr>
        <w:pStyle w:val="ListBullet"/>
        <w:ind w:left="360"/>
      </w:pPr>
      <w:r>
        <w:t>Application security test reports, code-review records and release approvals.</w:t>
      </w:r>
    </w:p>
    <w:p>
      <w:pPr>
        <w:pStyle w:val="ListBullet"/>
        <w:ind w:left="360"/>
      </w:pPr>
      <w:r>
        <w:t>Centralized logging architecture, retention settings and sample alerts.</w:t>
      </w:r>
    </w:p>
    <w:p>
      <w:pPr>
        <w:pStyle w:val="ListBullet"/>
        <w:ind w:left="360"/>
      </w:pPr>
      <w:r>
        <w:t>Backup schedules, immutable/offline configuration and restore-test evidence.</w:t>
      </w:r>
    </w:p>
    <w:p>
      <w:pPr>
        <w:pStyle w:val="ListBullet"/>
        <w:ind w:left="360"/>
      </w:pPr>
      <w:r>
        <w:t>Business continuity and disaster-recovery plans, RTO/RPO definitions and exercise reports.</w:t>
      </w:r>
    </w:p>
    <w:p>
      <w:pPr>
        <w:pStyle w:val="ListBullet"/>
        <w:ind w:left="360"/>
      </w:pPr>
      <w:r>
        <w:t>Third-party contracts and security assessments.</w:t>
      </w:r>
    </w:p>
    <w:p>
      <w:pPr>
        <w:pStyle w:val="ListBullet"/>
        <w:ind w:left="360"/>
      </w:pPr>
      <w:r>
        <w:t>Incident-response plan, playbooks, incident records and lessons learned.</w:t>
      </w:r>
    </w:p>
    <w:p>
      <w:pPr>
        <w:pStyle w:val="ListBullet"/>
        <w:ind w:left="360"/>
      </w:pPr>
      <w:r>
        <w:t>Security-awareness training records and phishing-simulation results.</w:t>
      </w:r>
    </w:p>
    <w:p>
      <w:pPr>
        <w:pStyle w:val="ListBullet"/>
        <w:ind w:left="360"/>
      </w:pPr>
      <w:r>
        <w:t>Previous audit findings and remediation evidence.</w:t>
      </w:r>
    </w:p>
    <w:p>
      <w:pPr>
        <w:pStyle w:val="Heading1"/>
      </w:pPr>
      <w:r>
        <w:t>Appendix C – Audit Interview Questions</w:t>
      </w:r>
    </w:p>
    <w:p>
      <w:pPr>
        <w:pStyle w:val="ListBullet"/>
        <w:ind w:left="360"/>
      </w:pPr>
      <w:r>
        <w:t>Who is accountable for cybersecurity risk for the service?</w:t>
      </w:r>
    </w:p>
    <w:p>
      <w:pPr>
        <w:pStyle w:val="ListBullet"/>
        <w:ind w:left="360"/>
      </w:pPr>
      <w:r>
        <w:t>How are critical assets identified and prioritized?</w:t>
      </w:r>
    </w:p>
    <w:p>
      <w:pPr>
        <w:pStyle w:val="ListBullet"/>
        <w:ind w:left="360"/>
      </w:pPr>
      <w:r>
        <w:t>How are privileged accounts approved and reviewed?</w:t>
      </w:r>
    </w:p>
    <w:p>
      <w:pPr>
        <w:pStyle w:val="ListBullet"/>
        <w:ind w:left="360"/>
      </w:pPr>
      <w:r>
        <w:t>What happens when an employee or contractor leaves?</w:t>
      </w:r>
    </w:p>
    <w:p>
      <w:pPr>
        <w:pStyle w:val="ListBullet"/>
        <w:ind w:left="360"/>
      </w:pPr>
      <w:r>
        <w:t>How quickly are critical vulnerabilities remediated?</w:t>
      </w:r>
    </w:p>
    <w:p>
      <w:pPr>
        <w:pStyle w:val="ListBullet"/>
        <w:ind w:left="360"/>
      </w:pPr>
      <w:r>
        <w:t>Which systems generate security logs, and who reviews them?</w:t>
      </w:r>
    </w:p>
    <w:p>
      <w:pPr>
        <w:pStyle w:val="ListBullet"/>
        <w:ind w:left="360"/>
      </w:pPr>
      <w:r>
        <w:t>How is log integrity protected?</w:t>
      </w:r>
    </w:p>
    <w:p>
      <w:pPr>
        <w:pStyle w:val="ListBullet"/>
        <w:ind w:left="360"/>
      </w:pPr>
      <w:r>
        <w:t>When was the last successful restoration of a critical service?</w:t>
      </w:r>
    </w:p>
    <w:p>
      <w:pPr>
        <w:pStyle w:val="ListBullet"/>
        <w:ind w:left="360"/>
      </w:pPr>
      <w:r>
        <w:t>How are vendors assessed before receiving access?</w:t>
      </w:r>
    </w:p>
    <w:p>
      <w:pPr>
        <w:pStyle w:val="ListBullet"/>
        <w:ind w:left="360"/>
      </w:pPr>
      <w:r>
        <w:t>How are security requirements embedded in software releases?</w:t>
      </w:r>
    </w:p>
    <w:p>
      <w:pPr>
        <w:pStyle w:val="ListBullet"/>
        <w:ind w:left="360"/>
      </w:pPr>
      <w:r>
        <w:t>How is an incident escalated to management?</w:t>
      </w:r>
    </w:p>
    <w:p>
      <w:pPr>
        <w:pStyle w:val="ListBullet"/>
        <w:ind w:left="360"/>
      </w:pPr>
      <w:r>
        <w:t>How are audit findings tracked until verified closure?</w:t>
      </w:r>
    </w:p>
    <w:p>
      <w:pPr>
        <w:pStyle w:val="Heading1"/>
      </w:pPr>
      <w:r>
        <w:t>Appendix D – Risk Register Template</w:t>
      </w:r>
    </w:p>
    <w:tbl>
      <w:tblPr>
        <w:tblStyle w:val="TableGrid"/>
        <w:tblW w:type="auto" w:w="0"/>
        <w:jc w:val="center"/>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792"/>
            <w:vAlign w:val="center"/>
          </w:tcPr>
          <w:p>
            <w:r>
              <w:rPr>
                <w:b/>
                <w:sz w:val="12"/>
              </w:rPr>
              <w:t>Risk ID</w:t>
            </w:r>
          </w:p>
        </w:tc>
        <w:tc>
          <w:tcPr>
            <w:tcW w:type="dxa" w:w="1440"/>
            <w:vAlign w:val="center"/>
          </w:tcPr>
          <w:p>
            <w:r>
              <w:rPr>
                <w:b/>
                <w:sz w:val="12"/>
              </w:rPr>
              <w:t>Asset/Process</w:t>
            </w:r>
          </w:p>
        </w:tc>
        <w:tc>
          <w:tcPr>
            <w:tcW w:type="dxa" w:w="1440"/>
            <w:vAlign w:val="center"/>
          </w:tcPr>
          <w:p>
            <w:r>
              <w:rPr>
                <w:b/>
                <w:sz w:val="12"/>
              </w:rPr>
              <w:t>Threat</w:t>
            </w:r>
          </w:p>
        </w:tc>
        <w:tc>
          <w:tcPr>
            <w:tcW w:type="dxa" w:w="1584"/>
            <w:vAlign w:val="center"/>
          </w:tcPr>
          <w:p>
            <w:r>
              <w:rPr>
                <w:b/>
                <w:sz w:val="12"/>
              </w:rPr>
              <w:t>Weakness</w:t>
            </w:r>
          </w:p>
        </w:tc>
        <w:tc>
          <w:tcPr>
            <w:tcW w:type="dxa" w:w="936"/>
            <w:vAlign w:val="center"/>
          </w:tcPr>
          <w:p>
            <w:r>
              <w:rPr>
                <w:b/>
                <w:sz w:val="12"/>
              </w:rPr>
              <w:t>Likelihood</w:t>
            </w:r>
          </w:p>
        </w:tc>
        <w:tc>
          <w:tcPr>
            <w:tcW w:type="dxa" w:w="792"/>
            <w:vAlign w:val="center"/>
          </w:tcPr>
          <w:p>
            <w:r>
              <w:rPr>
                <w:b/>
                <w:sz w:val="12"/>
              </w:rPr>
              <w:t>Impact</w:t>
            </w:r>
          </w:p>
        </w:tc>
        <w:tc>
          <w:tcPr>
            <w:tcW w:type="dxa" w:w="792"/>
            <w:vAlign w:val="center"/>
          </w:tcPr>
          <w:p>
            <w:r>
              <w:rPr>
                <w:b/>
                <w:sz w:val="12"/>
              </w:rPr>
              <w:t>Score</w:t>
            </w:r>
          </w:p>
        </w:tc>
        <w:tc>
          <w:tcPr>
            <w:tcW w:type="dxa" w:w="1080"/>
            <w:vAlign w:val="center"/>
          </w:tcPr>
          <w:p>
            <w:r>
              <w:rPr>
                <w:b/>
                <w:sz w:val="12"/>
              </w:rPr>
              <w:t>Owner</w:t>
            </w:r>
          </w:p>
        </w:tc>
        <w:tc>
          <w:tcPr>
            <w:tcW w:type="dxa" w:w="1296"/>
            <w:vAlign w:val="center"/>
          </w:tcPr>
          <w:p>
            <w:r>
              <w:rPr>
                <w:b/>
                <w:sz w:val="12"/>
              </w:rPr>
              <w:t>Treatment</w:t>
            </w:r>
          </w:p>
        </w:tc>
        <w:tc>
          <w:tcPr>
            <w:tcW w:type="dxa" w:w="1080"/>
            <w:vAlign w:val="center"/>
          </w:tcPr>
          <w:p>
            <w:r>
              <w:rPr>
                <w:b/>
                <w:sz w:val="12"/>
              </w:rPr>
              <w:t>Due Date</w:t>
            </w:r>
          </w:p>
        </w:tc>
        <w:tc>
          <w:tcPr>
            <w:tcW w:type="dxa" w:w="936"/>
            <w:vAlign w:val="center"/>
          </w:tcPr>
          <w:p>
            <w:r>
              <w:rPr>
                <w:b/>
                <w:sz w:val="12"/>
              </w:rPr>
              <w:t>Status</w:t>
            </w:r>
          </w:p>
        </w:tc>
      </w:tr>
      <w:tr>
        <w:tc>
          <w:tcPr>
            <w:tcW w:type="dxa" w:w="792"/>
            <w:vAlign w:val="center"/>
          </w:tcPr>
          <w:p>
            <w:r>
              <w:rPr>
                <w:sz w:val="12"/>
              </w:rPr>
              <w:t>R-001</w:t>
            </w:r>
          </w:p>
        </w:tc>
        <w:tc>
          <w:tcPr>
            <w:tcW w:type="dxa" w:w="1440"/>
            <w:vAlign w:val="center"/>
          </w:tcPr>
          <w:p>
            <w:r>
              <w:rPr>
                <w:sz w:val="12"/>
              </w:rPr>
            </w:r>
          </w:p>
        </w:tc>
        <w:tc>
          <w:tcPr>
            <w:tcW w:type="dxa" w:w="1440"/>
            <w:vAlign w:val="center"/>
          </w:tcPr>
          <w:p>
            <w:r>
              <w:rPr>
                <w:sz w:val="12"/>
              </w:rPr>
            </w:r>
          </w:p>
        </w:tc>
        <w:tc>
          <w:tcPr>
            <w:tcW w:type="dxa" w:w="1584"/>
            <w:vAlign w:val="center"/>
          </w:tcPr>
          <w:p>
            <w:r>
              <w:rPr>
                <w:sz w:val="12"/>
              </w:rPr>
            </w:r>
          </w:p>
        </w:tc>
        <w:tc>
          <w:tcPr>
            <w:tcW w:type="dxa" w:w="936"/>
            <w:vAlign w:val="center"/>
          </w:tcPr>
          <w:p>
            <w:r>
              <w:rPr>
                <w:sz w:val="12"/>
              </w:rPr>
            </w:r>
          </w:p>
        </w:tc>
        <w:tc>
          <w:tcPr>
            <w:tcW w:type="dxa" w:w="792"/>
            <w:vAlign w:val="center"/>
          </w:tcPr>
          <w:p>
            <w:r>
              <w:rPr>
                <w:sz w:val="12"/>
              </w:rPr>
            </w:r>
          </w:p>
        </w:tc>
        <w:tc>
          <w:tcPr>
            <w:tcW w:type="dxa" w:w="792"/>
            <w:vAlign w:val="center"/>
          </w:tcPr>
          <w:p>
            <w:r>
              <w:rPr>
                <w:sz w:val="12"/>
              </w:rPr>
            </w:r>
          </w:p>
        </w:tc>
        <w:tc>
          <w:tcPr>
            <w:tcW w:type="dxa" w:w="1080"/>
            <w:vAlign w:val="center"/>
          </w:tcPr>
          <w:p>
            <w:r>
              <w:rPr>
                <w:sz w:val="12"/>
              </w:rPr>
            </w:r>
          </w:p>
        </w:tc>
        <w:tc>
          <w:tcPr>
            <w:tcW w:type="dxa" w:w="1296"/>
            <w:vAlign w:val="center"/>
          </w:tcPr>
          <w:p>
            <w:r>
              <w:rPr>
                <w:sz w:val="12"/>
              </w:rPr>
            </w:r>
          </w:p>
        </w:tc>
        <w:tc>
          <w:tcPr>
            <w:tcW w:type="dxa" w:w="1080"/>
            <w:vAlign w:val="center"/>
          </w:tcPr>
          <w:p>
            <w:r>
              <w:rPr>
                <w:sz w:val="12"/>
              </w:rPr>
            </w:r>
          </w:p>
        </w:tc>
        <w:tc>
          <w:tcPr>
            <w:tcW w:type="dxa" w:w="936"/>
            <w:vAlign w:val="center"/>
          </w:tcPr>
          <w:p>
            <w:r>
              <w:rPr>
                <w:sz w:val="12"/>
              </w:rPr>
            </w:r>
          </w:p>
        </w:tc>
      </w:tr>
      <w:tr>
        <w:tc>
          <w:tcPr>
            <w:tcW w:type="dxa" w:w="792"/>
            <w:vAlign w:val="center"/>
          </w:tcPr>
          <w:p>
            <w:r>
              <w:rPr>
                <w:sz w:val="12"/>
              </w:rPr>
              <w:t>R-002</w:t>
            </w:r>
          </w:p>
        </w:tc>
        <w:tc>
          <w:tcPr>
            <w:tcW w:type="dxa" w:w="1440"/>
            <w:vAlign w:val="center"/>
          </w:tcPr>
          <w:p>
            <w:r>
              <w:rPr>
                <w:sz w:val="12"/>
              </w:rPr>
            </w:r>
          </w:p>
        </w:tc>
        <w:tc>
          <w:tcPr>
            <w:tcW w:type="dxa" w:w="1440"/>
            <w:vAlign w:val="center"/>
          </w:tcPr>
          <w:p>
            <w:r>
              <w:rPr>
                <w:sz w:val="12"/>
              </w:rPr>
            </w:r>
          </w:p>
        </w:tc>
        <w:tc>
          <w:tcPr>
            <w:tcW w:type="dxa" w:w="1584"/>
            <w:vAlign w:val="center"/>
          </w:tcPr>
          <w:p>
            <w:r>
              <w:rPr>
                <w:sz w:val="12"/>
              </w:rPr>
            </w:r>
          </w:p>
        </w:tc>
        <w:tc>
          <w:tcPr>
            <w:tcW w:type="dxa" w:w="936"/>
            <w:vAlign w:val="center"/>
          </w:tcPr>
          <w:p>
            <w:r>
              <w:rPr>
                <w:sz w:val="12"/>
              </w:rPr>
            </w:r>
          </w:p>
        </w:tc>
        <w:tc>
          <w:tcPr>
            <w:tcW w:type="dxa" w:w="792"/>
            <w:vAlign w:val="center"/>
          </w:tcPr>
          <w:p>
            <w:r>
              <w:rPr>
                <w:sz w:val="12"/>
              </w:rPr>
            </w:r>
          </w:p>
        </w:tc>
        <w:tc>
          <w:tcPr>
            <w:tcW w:type="dxa" w:w="792"/>
            <w:vAlign w:val="center"/>
          </w:tcPr>
          <w:p>
            <w:r>
              <w:rPr>
                <w:sz w:val="12"/>
              </w:rPr>
            </w:r>
          </w:p>
        </w:tc>
        <w:tc>
          <w:tcPr>
            <w:tcW w:type="dxa" w:w="1080"/>
            <w:vAlign w:val="center"/>
          </w:tcPr>
          <w:p>
            <w:r>
              <w:rPr>
                <w:sz w:val="12"/>
              </w:rPr>
            </w:r>
          </w:p>
        </w:tc>
        <w:tc>
          <w:tcPr>
            <w:tcW w:type="dxa" w:w="1296"/>
            <w:vAlign w:val="center"/>
          </w:tcPr>
          <w:p>
            <w:r>
              <w:rPr>
                <w:sz w:val="12"/>
              </w:rPr>
            </w:r>
          </w:p>
        </w:tc>
        <w:tc>
          <w:tcPr>
            <w:tcW w:type="dxa" w:w="1080"/>
            <w:vAlign w:val="center"/>
          </w:tcPr>
          <w:p>
            <w:r>
              <w:rPr>
                <w:sz w:val="12"/>
              </w:rPr>
            </w:r>
          </w:p>
        </w:tc>
        <w:tc>
          <w:tcPr>
            <w:tcW w:type="dxa" w:w="936"/>
            <w:vAlign w:val="center"/>
          </w:tcPr>
          <w:p>
            <w:r>
              <w:rPr>
                <w:sz w:val="12"/>
              </w:rPr>
            </w:r>
          </w:p>
        </w:tc>
      </w:tr>
      <w:tr>
        <w:tc>
          <w:tcPr>
            <w:tcW w:type="dxa" w:w="792"/>
            <w:vAlign w:val="center"/>
          </w:tcPr>
          <w:p>
            <w:r>
              <w:rPr>
                <w:sz w:val="12"/>
              </w:rPr>
              <w:t>R-003</w:t>
            </w:r>
          </w:p>
        </w:tc>
        <w:tc>
          <w:tcPr>
            <w:tcW w:type="dxa" w:w="1440"/>
            <w:vAlign w:val="center"/>
          </w:tcPr>
          <w:p>
            <w:r>
              <w:rPr>
                <w:sz w:val="12"/>
              </w:rPr>
            </w:r>
          </w:p>
        </w:tc>
        <w:tc>
          <w:tcPr>
            <w:tcW w:type="dxa" w:w="1440"/>
            <w:vAlign w:val="center"/>
          </w:tcPr>
          <w:p>
            <w:r>
              <w:rPr>
                <w:sz w:val="12"/>
              </w:rPr>
            </w:r>
          </w:p>
        </w:tc>
        <w:tc>
          <w:tcPr>
            <w:tcW w:type="dxa" w:w="1584"/>
            <w:vAlign w:val="center"/>
          </w:tcPr>
          <w:p>
            <w:r>
              <w:rPr>
                <w:sz w:val="12"/>
              </w:rPr>
            </w:r>
          </w:p>
        </w:tc>
        <w:tc>
          <w:tcPr>
            <w:tcW w:type="dxa" w:w="936"/>
            <w:vAlign w:val="center"/>
          </w:tcPr>
          <w:p>
            <w:r>
              <w:rPr>
                <w:sz w:val="12"/>
              </w:rPr>
            </w:r>
          </w:p>
        </w:tc>
        <w:tc>
          <w:tcPr>
            <w:tcW w:type="dxa" w:w="792"/>
            <w:vAlign w:val="center"/>
          </w:tcPr>
          <w:p>
            <w:r>
              <w:rPr>
                <w:sz w:val="12"/>
              </w:rPr>
            </w:r>
          </w:p>
        </w:tc>
        <w:tc>
          <w:tcPr>
            <w:tcW w:type="dxa" w:w="792"/>
            <w:vAlign w:val="center"/>
          </w:tcPr>
          <w:p>
            <w:r>
              <w:rPr>
                <w:sz w:val="12"/>
              </w:rPr>
            </w:r>
          </w:p>
        </w:tc>
        <w:tc>
          <w:tcPr>
            <w:tcW w:type="dxa" w:w="1080"/>
            <w:vAlign w:val="center"/>
          </w:tcPr>
          <w:p>
            <w:r>
              <w:rPr>
                <w:sz w:val="12"/>
              </w:rPr>
            </w:r>
          </w:p>
        </w:tc>
        <w:tc>
          <w:tcPr>
            <w:tcW w:type="dxa" w:w="1296"/>
            <w:vAlign w:val="center"/>
          </w:tcPr>
          <w:p>
            <w:r>
              <w:rPr>
                <w:sz w:val="12"/>
              </w:rPr>
            </w:r>
          </w:p>
        </w:tc>
        <w:tc>
          <w:tcPr>
            <w:tcW w:type="dxa" w:w="1080"/>
            <w:vAlign w:val="center"/>
          </w:tcPr>
          <w:p>
            <w:r>
              <w:rPr>
                <w:sz w:val="12"/>
              </w:rPr>
            </w:r>
          </w:p>
        </w:tc>
        <w:tc>
          <w:tcPr>
            <w:tcW w:type="dxa" w:w="936"/>
            <w:vAlign w:val="center"/>
          </w:tcPr>
          <w:p>
            <w:r>
              <w:rPr>
                <w:sz w:val="12"/>
              </w:rPr>
            </w:r>
          </w:p>
        </w:tc>
      </w:tr>
      <w:tr>
        <w:tc>
          <w:tcPr>
            <w:tcW w:type="dxa" w:w="792"/>
            <w:vAlign w:val="center"/>
          </w:tcPr>
          <w:p>
            <w:r>
              <w:rPr>
                <w:sz w:val="12"/>
              </w:rPr>
              <w:t>R-004</w:t>
            </w:r>
          </w:p>
        </w:tc>
        <w:tc>
          <w:tcPr>
            <w:tcW w:type="dxa" w:w="1440"/>
            <w:vAlign w:val="center"/>
          </w:tcPr>
          <w:p>
            <w:r>
              <w:rPr>
                <w:sz w:val="12"/>
              </w:rPr>
            </w:r>
          </w:p>
        </w:tc>
        <w:tc>
          <w:tcPr>
            <w:tcW w:type="dxa" w:w="1440"/>
            <w:vAlign w:val="center"/>
          </w:tcPr>
          <w:p>
            <w:r>
              <w:rPr>
                <w:sz w:val="12"/>
              </w:rPr>
            </w:r>
          </w:p>
        </w:tc>
        <w:tc>
          <w:tcPr>
            <w:tcW w:type="dxa" w:w="1584"/>
            <w:vAlign w:val="center"/>
          </w:tcPr>
          <w:p>
            <w:r>
              <w:rPr>
                <w:sz w:val="12"/>
              </w:rPr>
            </w:r>
          </w:p>
        </w:tc>
        <w:tc>
          <w:tcPr>
            <w:tcW w:type="dxa" w:w="936"/>
            <w:vAlign w:val="center"/>
          </w:tcPr>
          <w:p>
            <w:r>
              <w:rPr>
                <w:sz w:val="12"/>
              </w:rPr>
            </w:r>
          </w:p>
        </w:tc>
        <w:tc>
          <w:tcPr>
            <w:tcW w:type="dxa" w:w="792"/>
            <w:vAlign w:val="center"/>
          </w:tcPr>
          <w:p>
            <w:r>
              <w:rPr>
                <w:sz w:val="12"/>
              </w:rPr>
            </w:r>
          </w:p>
        </w:tc>
        <w:tc>
          <w:tcPr>
            <w:tcW w:type="dxa" w:w="792"/>
            <w:vAlign w:val="center"/>
          </w:tcPr>
          <w:p>
            <w:r>
              <w:rPr>
                <w:sz w:val="12"/>
              </w:rPr>
            </w:r>
          </w:p>
        </w:tc>
        <w:tc>
          <w:tcPr>
            <w:tcW w:type="dxa" w:w="1080"/>
            <w:vAlign w:val="center"/>
          </w:tcPr>
          <w:p>
            <w:r>
              <w:rPr>
                <w:sz w:val="12"/>
              </w:rPr>
            </w:r>
          </w:p>
        </w:tc>
        <w:tc>
          <w:tcPr>
            <w:tcW w:type="dxa" w:w="1296"/>
            <w:vAlign w:val="center"/>
          </w:tcPr>
          <w:p>
            <w:r>
              <w:rPr>
                <w:sz w:val="12"/>
              </w:rPr>
            </w:r>
          </w:p>
        </w:tc>
        <w:tc>
          <w:tcPr>
            <w:tcW w:type="dxa" w:w="1080"/>
            <w:vAlign w:val="center"/>
          </w:tcPr>
          <w:p>
            <w:r>
              <w:rPr>
                <w:sz w:val="12"/>
              </w:rPr>
            </w:r>
          </w:p>
        </w:tc>
        <w:tc>
          <w:tcPr>
            <w:tcW w:type="dxa" w:w="936"/>
            <w:vAlign w:val="center"/>
          </w:tcPr>
          <w:p>
            <w:r>
              <w:rPr>
                <w:sz w:val="12"/>
              </w:rPr>
            </w:r>
          </w:p>
        </w:tc>
      </w:tr>
      <w:tr>
        <w:tc>
          <w:tcPr>
            <w:tcW w:type="dxa" w:w="792"/>
            <w:vAlign w:val="center"/>
          </w:tcPr>
          <w:p>
            <w:r>
              <w:rPr>
                <w:sz w:val="12"/>
              </w:rPr>
              <w:t>R-005</w:t>
            </w:r>
          </w:p>
        </w:tc>
        <w:tc>
          <w:tcPr>
            <w:tcW w:type="dxa" w:w="1440"/>
            <w:vAlign w:val="center"/>
          </w:tcPr>
          <w:p>
            <w:r>
              <w:rPr>
                <w:sz w:val="12"/>
              </w:rPr>
            </w:r>
          </w:p>
        </w:tc>
        <w:tc>
          <w:tcPr>
            <w:tcW w:type="dxa" w:w="1440"/>
            <w:vAlign w:val="center"/>
          </w:tcPr>
          <w:p>
            <w:r>
              <w:rPr>
                <w:sz w:val="12"/>
              </w:rPr>
            </w:r>
          </w:p>
        </w:tc>
        <w:tc>
          <w:tcPr>
            <w:tcW w:type="dxa" w:w="1584"/>
            <w:vAlign w:val="center"/>
          </w:tcPr>
          <w:p>
            <w:r>
              <w:rPr>
                <w:sz w:val="12"/>
              </w:rPr>
            </w:r>
          </w:p>
        </w:tc>
        <w:tc>
          <w:tcPr>
            <w:tcW w:type="dxa" w:w="936"/>
            <w:vAlign w:val="center"/>
          </w:tcPr>
          <w:p>
            <w:r>
              <w:rPr>
                <w:sz w:val="12"/>
              </w:rPr>
            </w:r>
          </w:p>
        </w:tc>
        <w:tc>
          <w:tcPr>
            <w:tcW w:type="dxa" w:w="792"/>
            <w:vAlign w:val="center"/>
          </w:tcPr>
          <w:p>
            <w:r>
              <w:rPr>
                <w:sz w:val="12"/>
              </w:rPr>
            </w:r>
          </w:p>
        </w:tc>
        <w:tc>
          <w:tcPr>
            <w:tcW w:type="dxa" w:w="792"/>
            <w:vAlign w:val="center"/>
          </w:tcPr>
          <w:p>
            <w:r>
              <w:rPr>
                <w:sz w:val="12"/>
              </w:rPr>
            </w:r>
          </w:p>
        </w:tc>
        <w:tc>
          <w:tcPr>
            <w:tcW w:type="dxa" w:w="1080"/>
            <w:vAlign w:val="center"/>
          </w:tcPr>
          <w:p>
            <w:r>
              <w:rPr>
                <w:sz w:val="12"/>
              </w:rPr>
            </w:r>
          </w:p>
        </w:tc>
        <w:tc>
          <w:tcPr>
            <w:tcW w:type="dxa" w:w="1296"/>
            <w:vAlign w:val="center"/>
          </w:tcPr>
          <w:p>
            <w:r>
              <w:rPr>
                <w:sz w:val="12"/>
              </w:rPr>
            </w:r>
          </w:p>
        </w:tc>
        <w:tc>
          <w:tcPr>
            <w:tcW w:type="dxa" w:w="1080"/>
            <w:vAlign w:val="center"/>
          </w:tcPr>
          <w:p>
            <w:r>
              <w:rPr>
                <w:sz w:val="12"/>
              </w:rPr>
            </w:r>
          </w:p>
        </w:tc>
        <w:tc>
          <w:tcPr>
            <w:tcW w:type="dxa" w:w="936"/>
            <w:vAlign w:val="center"/>
          </w:tcPr>
          <w:p>
            <w:r>
              <w:rPr>
                <w:sz w:val="12"/>
              </w:rPr>
            </w:r>
          </w:p>
        </w:tc>
      </w:tr>
    </w:tbl>
    <w:p>
      <w:pPr>
        <w:spacing w:after="20"/>
      </w:pPr>
    </w:p>
    <w:p>
      <w:pPr>
        <w:pStyle w:val="Heading1"/>
      </w:pPr>
      <w:r>
        <w:t>Appendix E – Sample Audit Sign-Off</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880"/>
            <w:vAlign w:val="center"/>
          </w:tcPr>
          <w:p>
            <w:r>
              <w:rPr>
                <w:b/>
                <w:sz w:val="16"/>
              </w:rPr>
              <w:t>Role</w:t>
            </w:r>
          </w:p>
        </w:tc>
        <w:tc>
          <w:tcPr>
            <w:tcW w:type="dxa" w:w="2880"/>
            <w:vAlign w:val="center"/>
          </w:tcPr>
          <w:p>
            <w:r>
              <w:rPr>
                <w:b/>
                <w:sz w:val="16"/>
              </w:rPr>
              <w:t>Name/Signature</w:t>
            </w:r>
          </w:p>
        </w:tc>
        <w:tc>
          <w:tcPr>
            <w:tcW w:type="dxa" w:w="1728"/>
            <w:vAlign w:val="center"/>
          </w:tcPr>
          <w:p>
            <w:r>
              <w:rPr>
                <w:b/>
                <w:sz w:val="16"/>
              </w:rPr>
              <w:t>Date</w:t>
            </w:r>
          </w:p>
        </w:tc>
        <w:tc>
          <w:tcPr>
            <w:tcW w:type="dxa" w:w="2160"/>
            <w:vAlign w:val="center"/>
          </w:tcPr>
          <w:p>
            <w:r>
              <w:rPr>
                <w:b/>
                <w:sz w:val="16"/>
              </w:rPr>
              <w:t>Decision</w:t>
            </w:r>
          </w:p>
        </w:tc>
      </w:tr>
      <w:tr>
        <w:tc>
          <w:tcPr>
            <w:tcW w:type="dxa" w:w="2880"/>
            <w:vAlign w:val="center"/>
          </w:tcPr>
          <w:p>
            <w:r>
              <w:rPr>
                <w:sz w:val="16"/>
              </w:rPr>
              <w:t>Audit Lead</w:t>
            </w:r>
          </w:p>
        </w:tc>
        <w:tc>
          <w:tcPr>
            <w:tcW w:type="dxa" w:w="2880"/>
            <w:vAlign w:val="center"/>
          </w:tcPr>
          <w:p>
            <w:r>
              <w:rPr>
                <w:sz w:val="16"/>
              </w:rPr>
            </w:r>
          </w:p>
        </w:tc>
        <w:tc>
          <w:tcPr>
            <w:tcW w:type="dxa" w:w="1728"/>
            <w:vAlign w:val="center"/>
          </w:tcPr>
          <w:p>
            <w:r>
              <w:rPr>
                <w:sz w:val="16"/>
              </w:rPr>
            </w:r>
          </w:p>
        </w:tc>
        <w:tc>
          <w:tcPr>
            <w:tcW w:type="dxa" w:w="2160"/>
            <w:vAlign w:val="center"/>
          </w:tcPr>
          <w:p>
            <w:r>
              <w:rPr>
                <w:sz w:val="16"/>
              </w:rPr>
            </w:r>
          </w:p>
        </w:tc>
      </w:tr>
      <w:tr>
        <w:tc>
          <w:tcPr>
            <w:tcW w:type="dxa" w:w="2880"/>
            <w:vAlign w:val="center"/>
          </w:tcPr>
          <w:p>
            <w:r>
              <w:rPr>
                <w:sz w:val="16"/>
              </w:rPr>
              <w:t>CISO/Security Owner</w:t>
            </w:r>
          </w:p>
        </w:tc>
        <w:tc>
          <w:tcPr>
            <w:tcW w:type="dxa" w:w="2880"/>
            <w:vAlign w:val="center"/>
          </w:tcPr>
          <w:p>
            <w:r>
              <w:rPr>
                <w:sz w:val="16"/>
              </w:rPr>
            </w:r>
          </w:p>
        </w:tc>
        <w:tc>
          <w:tcPr>
            <w:tcW w:type="dxa" w:w="1728"/>
            <w:vAlign w:val="center"/>
          </w:tcPr>
          <w:p>
            <w:r>
              <w:rPr>
                <w:sz w:val="16"/>
              </w:rPr>
            </w:r>
          </w:p>
        </w:tc>
        <w:tc>
          <w:tcPr>
            <w:tcW w:type="dxa" w:w="2160"/>
            <w:vAlign w:val="center"/>
          </w:tcPr>
          <w:p>
            <w:r>
              <w:rPr>
                <w:sz w:val="16"/>
              </w:rPr>
            </w:r>
          </w:p>
        </w:tc>
      </w:tr>
      <w:tr>
        <w:tc>
          <w:tcPr>
            <w:tcW w:type="dxa" w:w="2880"/>
            <w:vAlign w:val="center"/>
          </w:tcPr>
          <w:p>
            <w:r>
              <w:rPr>
                <w:sz w:val="16"/>
              </w:rPr>
              <w:t>Service Owner</w:t>
            </w:r>
          </w:p>
        </w:tc>
        <w:tc>
          <w:tcPr>
            <w:tcW w:type="dxa" w:w="2880"/>
            <w:vAlign w:val="center"/>
          </w:tcPr>
          <w:p>
            <w:r>
              <w:rPr>
                <w:sz w:val="16"/>
              </w:rPr>
            </w:r>
          </w:p>
        </w:tc>
        <w:tc>
          <w:tcPr>
            <w:tcW w:type="dxa" w:w="1728"/>
            <w:vAlign w:val="center"/>
          </w:tcPr>
          <w:p>
            <w:r>
              <w:rPr>
                <w:sz w:val="16"/>
              </w:rPr>
            </w:r>
          </w:p>
        </w:tc>
        <w:tc>
          <w:tcPr>
            <w:tcW w:type="dxa" w:w="2160"/>
            <w:vAlign w:val="center"/>
          </w:tcPr>
          <w:p>
            <w:r>
              <w:rPr>
                <w:sz w:val="16"/>
              </w:rPr>
            </w:r>
          </w:p>
        </w:tc>
      </w:tr>
      <w:tr>
        <w:tc>
          <w:tcPr>
            <w:tcW w:type="dxa" w:w="2880"/>
            <w:vAlign w:val="center"/>
          </w:tcPr>
          <w:p>
            <w:r>
              <w:rPr>
                <w:sz w:val="16"/>
              </w:rPr>
              <w:t>Management Reviewer</w:t>
            </w:r>
          </w:p>
        </w:tc>
        <w:tc>
          <w:tcPr>
            <w:tcW w:type="dxa" w:w="2880"/>
            <w:vAlign w:val="center"/>
          </w:tcPr>
          <w:p>
            <w:r>
              <w:rPr>
                <w:sz w:val="16"/>
              </w:rPr>
            </w:r>
          </w:p>
        </w:tc>
        <w:tc>
          <w:tcPr>
            <w:tcW w:type="dxa" w:w="1728"/>
            <w:vAlign w:val="center"/>
          </w:tcPr>
          <w:p>
            <w:r>
              <w:rPr>
                <w:sz w:val="16"/>
              </w:rPr>
            </w:r>
          </w:p>
        </w:tc>
        <w:tc>
          <w:tcPr>
            <w:tcW w:type="dxa" w:w="2160"/>
            <w:vAlign w:val="center"/>
          </w:tcPr>
          <w:p>
            <w:r>
              <w:rPr>
                <w:sz w:val="16"/>
              </w:rPr>
            </w:r>
          </w:p>
        </w:tc>
      </w:tr>
    </w:tbl>
    <w:p>
      <w:pPr>
        <w:spacing w:after="20"/>
      </w:pPr>
    </w:p>
    <w:p>
      <w:pPr>
        <w:pStyle w:val="Heading1"/>
      </w:pPr>
      <w:r>
        <w:t>Appendix F – Sources / References</w:t>
      </w:r>
    </w:p>
    <w:p>
      <w:r>
        <w:rPr>
          <w:b w:val="0"/>
          <w:i w:val="0"/>
        </w:rPr>
        <w:t>NIST. The NIST Cybersecurity Framework (CSF) 2.0, NIST CSWP 29, 26 February 2024. https://www.nist.gov/publications/nist-cybersecurity-framework-csf-20</w:t>
      </w:r>
    </w:p>
    <w:p>
      <w:r>
        <w:rPr>
          <w:b w:val="0"/>
          <w:i w:val="0"/>
        </w:rPr>
        <w:t>Center for Internet Security. CIS Critical Security Controls v8.1. https://www.cisecurity.org/controls/v8-1</w:t>
      </w:r>
    </w:p>
    <w:p>
      <w:r>
        <w:rPr>
          <w:b w:val="0"/>
          <w:i w:val="0"/>
        </w:rPr>
        <w:t>Center for Internet Security. CIS Controls Assessment Specification. https://www.cisecurity.org/controls/cis-controls-assessment-specification</w:t>
      </w:r>
    </w:p>
    <w:p>
      <w:r>
        <w:rPr>
          <w:b w:val="0"/>
          <w:i w:val="0"/>
        </w:rPr>
        <w:t>ISO/IEC. ISO/IEC 27001:2022 — Information security management systems — Requirements. https://www.iso.org/standard/27001</w:t>
      </w:r>
    </w:p>
    <w:p>
      <w:r>
        <w:rPr>
          <w:b w:val="0"/>
          <w:i w:val="0"/>
        </w:rPr>
        <w:t>CERT-In, Ministry of Electronics and Information Technology, Government of India. Guidelines on Information Security Practices for Government Entities, 29 June 2023. https://www.cert-in.org.in/guidelinesgovtentities.jsp</w:t>
      </w:r>
    </w:p>
    <w:p>
      <w:r>
        <w:rPr>
          <w:b w:val="0"/>
          <w:i w:val="0"/>
        </w:rPr>
        <w:t>CERT-In. Guidelines for Secure Application Design, Development, Implementation &amp; Operations, 25 January 2024. https://www.cert-in.org.in/s2cMainServlet?pageid=GUIDLNVIEW01</w:t>
      </w:r>
    </w:p>
    <w:p>
      <w:pPr>
        <w:pStyle w:val="Heading1"/>
      </w:pPr>
      <w:r>
        <w:t>Submission Description (200+ Words)</w:t>
      </w:r>
    </w:p>
    <w:p>
      <w:r>
        <w:rPr>
          <w:b w:val="0"/>
          <w:i w:val="0"/>
        </w:rPr>
        <w:t>This project presents a comprehensive simulated security audit, evaluation, and continuous improvement plan for digital governance services. The audit is designed around a representative State Citizen Services Portal that provides citizen-facing services and therefore requires strong protection of identity, sensitive information, application functionality, availability, and administrative access. The objective of the project is to evaluate existing cybersecurity measures, identify weaknesses, prioritize risks, and develop practical recommendations that can be implemented and continuously monitored.</w:t>
      </w:r>
    </w:p>
    <w:p>
      <w:r>
        <w:rPr>
          <w:b w:val="0"/>
          <w:i w:val="0"/>
        </w:rPr>
        <w:t>The report defines the audit scope, objectives, assumptions, evidence requirements, responsibilities, control criteria, risk methodology, and simulated testing process. A structured audit checklist is developed using recognized public cybersecurity frameworks and standards, including NIST Cybersecurity Framework 2.0, CIS Critical Security Controls v8.1, ISO/IEC 27001:2022, and CERT-In guidance for Government Entities. Each checklist item includes an audit criterion, responsible owner, risk priority, and simulated result.</w:t>
      </w:r>
    </w:p>
    <w:p>
      <w:r>
        <w:rPr>
          <w:b w:val="0"/>
          <w:i w:val="0"/>
        </w:rPr>
        <w:t>The simulated audit identifies important gaps involving privileged access, multi-factor authentication, vulnerability management, centralized logging, backup recovery testing, application security, third-party security, security awareness, and remediation tracking. Each finding is assigned a risk level and converted into an actionable recommendation with an owner, target timeframe, and verification evidence. The report also includes a 30–60–90 day improvement roadmap and measurable security indicators for continuous monitoring.</w:t>
      </w:r>
    </w:p>
    <w:p>
      <w:r>
        <w:rPr>
          <w:b w:val="0"/>
          <w:i w:val="0"/>
        </w:rPr>
        <w:t>A major focus of the project is continuous improvement. Rather than treating an audit as a one-time compliance activity, the proposed model uses recurring risk assessments, management reviews, technical control testing, employee training, security metrics, re-audits, and lessons learned. The report therefore demonstrates how cybersecurity auditing can support stronger governance, better accountability, improved resilience, and safer delivery of digital public services.</w:t>
      </w:r>
    </w:p>
    <w:p>
      <w:r>
        <w:rPr>
          <w:b w:val="0"/>
          <w:i w:val="0"/>
        </w:rPr>
        <w:t>The project is entirely a controlled simulation for academic and internship purposes. No unauthorized testing or access to real government systems is performed.</w:t>
      </w:r>
    </w:p>
    <w:sectPr w:rsidR="00FC693F" w:rsidRPr="0006063C" w:rsidSect="00034616">
      <w:headerReference w:type="default" r:id="rId9"/>
      <w:footerReference w:type="default" r:id="rId10"/>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Raja Rajeshwari College of Engineering  |  Manasvi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WEEK 4 • SECURITY AUDIT, EVALUATION &amp; CONTINUOUS IMPROVEMENT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Audit, Evaluation, and Continuous Improvement in Digital Services</dc:title>
  <dc:subject>Week 4 Internship Report – Digital Governance Cybersecurity Audit</dc:subject>
  <dc:creator>Manasvi</dc:creator>
  <cp:keywords/>
  <dc:description>generated by python-docx</dc:description>
  <cp:lastModifiedBy/>
  <cp:revision>1</cp:revision>
  <dcterms:created xsi:type="dcterms:W3CDTF">2013-12-23T23:15:00Z</dcterms:created>
  <dcterms:modified xsi:type="dcterms:W3CDTF">2013-12-23T23:15:00Z</dcterms:modified>
  <cp:category/>
</cp:coreProperties>
</file>