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3 TASK</w:t>
      </w:r>
    </w:p>
    <w:p>
      <w:pPr>
        <w:jc w:val="center"/>
      </w:pPr>
      <w:r>
        <w:rPr>
          <w:b/>
          <w:sz w:val="50"/>
        </w:rPr>
        <w:t>INCIDENT RESPONSE AND</w:t>
        <w:br/>
        <w:t>INTRUSION DETECTION STRATEGY</w:t>
        <w:br/>
        <w:t>FOR DIGITAL GOVERNANCE</w:t>
      </w:r>
    </w:p>
    <w:p/>
    <w:p>
      <w:pPr>
        <w:jc w:val="center"/>
      </w:pPr>
      <w:r>
        <w:rPr>
          <w:i/>
          <w:sz w:val="24"/>
        </w:rPr>
        <w:t>A practical security operations and incident management plan for an e-governance environment</w:t>
      </w:r>
    </w:p>
    <w:p>
      <w:r>
        <w:br/>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7EAF0"/>
          </w:tcPr>
          <w:p>
            <w:pPr>
              <w:spacing w:after="0"/>
            </w:pPr>
            <w:r/>
            <w:r>
              <w:rPr>
                <w:rFonts w:ascii="Aptos" w:hAnsi="Aptos"/>
                <w:b/>
                <w:sz w:val="18"/>
              </w:rPr>
              <w:t>Prepared by</w:t>
            </w:r>
          </w:p>
        </w:tc>
        <w:tc>
          <w:tcPr>
            <w:tcW w:type="dxa" w:w="5083"/>
            <w:vAlign w:val="center"/>
          </w:tcPr>
          <w:p>
            <w:pPr>
              <w:spacing w:after="0"/>
            </w:pPr>
            <w:r/>
            <w:r>
              <w:rPr>
                <w:rFonts w:ascii="Aptos" w:hAnsi="Aptos"/>
                <w:b w:val="0"/>
                <w:sz w:val="18"/>
              </w:rPr>
              <w:t>Manasvi H H</w:t>
            </w:r>
          </w:p>
        </w:tc>
      </w:tr>
      <w:tr>
        <w:tc>
          <w:tcPr>
            <w:tcW w:type="dxa" w:w="5083"/>
            <w:vAlign w:val="center"/>
            <w:shd w:fill="E7EAF0"/>
          </w:tcPr>
          <w:p>
            <w:pPr>
              <w:spacing w:after="0"/>
            </w:pPr>
            <w:r/>
            <w:r>
              <w:rPr>
                <w:rFonts w:ascii="Aptos" w:hAnsi="Aptos"/>
                <w:b/>
                <w:sz w:val="18"/>
              </w:rPr>
              <w:t>Programme</w:t>
            </w:r>
          </w:p>
        </w:tc>
        <w:tc>
          <w:tcPr>
            <w:tcW w:type="dxa" w:w="5083"/>
            <w:vAlign w:val="center"/>
          </w:tcPr>
          <w:p>
            <w:pPr>
              <w:spacing w:after="0"/>
            </w:pPr>
            <w:r/>
            <w:r>
              <w:rPr>
                <w:rFonts w:ascii="Aptos" w:hAnsi="Aptos"/>
                <w:b w:val="0"/>
                <w:sz w:val="18"/>
              </w:rPr>
              <w:t>B.E. Artificial Intelligence (AI-ML)</w:t>
            </w:r>
          </w:p>
        </w:tc>
      </w:tr>
      <w:tr>
        <w:tc>
          <w:tcPr>
            <w:tcW w:type="dxa" w:w="5083"/>
            <w:vAlign w:val="center"/>
            <w:shd w:fill="E7EAF0"/>
          </w:tcPr>
          <w:p>
            <w:pPr>
              <w:spacing w:after="0"/>
            </w:pPr>
            <w:r/>
            <w:r>
              <w:rPr>
                <w:rFonts w:ascii="Aptos" w:hAnsi="Aptos"/>
                <w:b/>
                <w:sz w:val="18"/>
              </w:rPr>
              <w:t>Institution</w:t>
            </w:r>
          </w:p>
        </w:tc>
        <w:tc>
          <w:tcPr>
            <w:tcW w:type="dxa" w:w="5083"/>
            <w:vAlign w:val="center"/>
          </w:tcPr>
          <w:p>
            <w:pPr>
              <w:spacing w:after="0"/>
            </w:pPr>
            <w:r/>
            <w:r>
              <w:rPr>
                <w:rFonts w:ascii="Aptos" w:hAnsi="Aptos"/>
                <w:b w:val="0"/>
                <w:sz w:val="18"/>
              </w:rPr>
              <w:t>Raja Rajeshwari College of Engineering</w:t>
            </w:r>
          </w:p>
        </w:tc>
      </w:tr>
      <w:tr>
        <w:tc>
          <w:tcPr>
            <w:tcW w:type="dxa" w:w="5083"/>
            <w:vAlign w:val="center"/>
            <w:shd w:fill="E7EAF0"/>
          </w:tcPr>
          <w:p>
            <w:pPr>
              <w:spacing w:after="0"/>
            </w:pPr>
            <w:r/>
            <w:r>
              <w:rPr>
                <w:rFonts w:ascii="Aptos" w:hAnsi="Aptos"/>
                <w:b/>
                <w:sz w:val="18"/>
              </w:rPr>
              <w:t>Academic period</w:t>
            </w:r>
          </w:p>
        </w:tc>
        <w:tc>
          <w:tcPr>
            <w:tcW w:type="dxa" w:w="5083"/>
            <w:vAlign w:val="center"/>
          </w:tcPr>
          <w:p>
            <w:pPr>
              <w:spacing w:after="0"/>
            </w:pPr>
            <w:r/>
            <w:r>
              <w:rPr>
                <w:rFonts w:ascii="Aptos" w:hAnsi="Aptos"/>
                <w:b w:val="0"/>
                <w:sz w:val="18"/>
              </w:rPr>
              <w:t>2025–2029</w:t>
            </w:r>
          </w:p>
        </w:tc>
      </w:tr>
      <w:tr>
        <w:tc>
          <w:tcPr>
            <w:tcW w:type="dxa" w:w="5083"/>
            <w:vAlign w:val="center"/>
            <w:shd w:fill="E7EAF0"/>
          </w:tcPr>
          <w:p>
            <w:pPr>
              <w:spacing w:after="0"/>
            </w:pPr>
            <w:r/>
            <w:r>
              <w:rPr>
                <w:rFonts w:ascii="Aptos" w:hAnsi="Aptos"/>
                <w:b/>
                <w:sz w:val="18"/>
              </w:rPr>
              <w:t>Task</w:t>
            </w:r>
          </w:p>
        </w:tc>
        <w:tc>
          <w:tcPr>
            <w:tcW w:type="dxa" w:w="5083"/>
            <w:vAlign w:val="center"/>
          </w:tcPr>
          <w:p>
            <w:pPr>
              <w:spacing w:after="0"/>
            </w:pPr>
            <w:r/>
            <w:r>
              <w:rPr>
                <w:rFonts w:ascii="Aptos" w:hAnsi="Aptos"/>
                <w:b w:val="0"/>
                <w:sz w:val="18"/>
              </w:rPr>
              <w:t>Week 3 – Incident Response and Intrusion Detection Strategy</w:t>
            </w:r>
          </w:p>
        </w:tc>
      </w:tr>
      <w:tr>
        <w:tc>
          <w:tcPr>
            <w:tcW w:type="dxa" w:w="5083"/>
            <w:vAlign w:val="center"/>
            <w:shd w:fill="E7EAF0"/>
          </w:tcPr>
          <w:p>
            <w:pPr>
              <w:spacing w:after="0"/>
            </w:pPr>
            <w:r/>
            <w:r>
              <w:rPr>
                <w:rFonts w:ascii="Aptos" w:hAnsi="Aptos"/>
                <w:b/>
                <w:sz w:val="18"/>
              </w:rPr>
              <w:t>Submission format</w:t>
            </w:r>
          </w:p>
        </w:tc>
        <w:tc>
          <w:tcPr>
            <w:tcW w:type="dxa" w:w="5083"/>
            <w:vAlign w:val="center"/>
          </w:tcPr>
          <w:p>
            <w:pPr>
              <w:spacing w:after="0"/>
            </w:pPr>
            <w:r/>
            <w:r>
              <w:rPr>
                <w:rFonts w:ascii="Aptos" w:hAnsi="Aptos"/>
                <w:b w:val="0"/>
                <w:sz w:val="18"/>
              </w:rPr>
              <w:t>Microsoft Word (.docx)</w:t>
            </w:r>
          </w:p>
        </w:tc>
      </w:tr>
    </w:tbl>
    <w:p>
      <w:r>
        <w:br/>
      </w:r>
    </w:p>
    <w:tbl>
      <w:tblPr>
        <w:tblStyle w:val="TableGrid"/>
        <w:tblW w:type="auto" w:w="0"/>
        <w:tblLook w:firstColumn="1" w:firstRow="1" w:lastColumn="0" w:lastRow="0" w:noHBand="0" w:noVBand="1" w:val="04A0"/>
      </w:tblPr>
      <w:tblGrid>
        <w:gridCol w:w="10166"/>
      </w:tblGrid>
      <w:tr>
        <w:tc>
          <w:tcPr>
            <w:tcW w:type="dxa" w:w="10166"/>
            <w:shd w:fill="F3F5F7"/>
          </w:tcPr>
          <w:p>
            <w:r>
              <w:rPr>
                <w:b/>
                <w:sz w:val="18"/>
              </w:rPr>
              <w:t>Academic note</w:t>
              <w:br/>
            </w:r>
            <w:r>
              <w:rPr>
                <w:sz w:val="17"/>
              </w:rPr>
              <w:t>This report is an educational incident-response design based on publicly available cybersecurity frameworks and open-source technologies. The attack scenario is simulated and does not describe a real government incident.</w:t>
            </w:r>
          </w:p>
        </w:tc>
      </w:tr>
    </w:tbl>
    <w:p>
      <w:pPr>
        <w:spacing w:after="0"/>
      </w:pPr>
    </w:p>
    <w:p>
      <w:r>
        <w:br w:type="page"/>
      </w:r>
    </w:p>
    <w:p>
      <w:pPr>
        <w:pStyle w:val="Heading1"/>
      </w:pPr>
      <w:r>
        <w:t>1. Executive Summary</w:t>
      </w:r>
    </w:p>
    <w:p>
      <w:r>
        <w:t>Digital governance platforms process citizen records, identity information, applications, payments, certificates and service requests. A successful cyber incident can therefore affect confidentiality, integrity, availability and public trust simultaneously. This report proposes a practical incident response and intrusion detection strategy for a hypothetical State Citizen Services Portal (SCSP), with an emphasis on rapid detection, disciplined containment, evidence preservation, safe recovery and transparent escalation.</w:t>
      </w:r>
    </w:p>
    <w:p>
      <w:r>
        <w:t>The strategy is aligned to the current NIST Cybersecurity Framework (CSF) 2.0 and NIST SP 800-61 Revision 3, which superseded Revision 2 in April 2025. It also considers CERT-In expectations relevant to Indian organizations, including secure logging and incident reporting obligations. The detection architecture uses open-source technologies such as Suricata for network IDS/IPS, Wazuh for endpoint/SIEM capabilities, and centralized log analysis with alert correlation. MITRE ATT&amp;CK is used to map observed adversary behaviour to tactics and techniques.</w:t>
      </w:r>
    </w:p>
    <w:p>
      <w:pPr>
        <w:pStyle w:val="Heading2"/>
      </w:pPr>
      <w:r>
        <w:t>1.1 Objectives</w:t>
      </w:r>
    </w:p>
    <w:p>
      <w:pPr>
        <w:pStyle w:val="ListBullet"/>
        <w:spacing w:after="40"/>
        <w:ind w:left="259"/>
      </w:pPr>
      <w:r>
        <w:t>Detect suspicious activity as early as possible using network, endpoint, application and identity telemetry.</w:t>
      </w:r>
    </w:p>
    <w:p>
      <w:pPr>
        <w:pStyle w:val="ListBullet"/>
        <w:spacing w:after="40"/>
        <w:ind w:left="259"/>
      </w:pPr>
      <w:r>
        <w:t>Classify incidents by severity and business impact so critical citizen-facing services receive priority.</w:t>
      </w:r>
    </w:p>
    <w:p>
      <w:pPr>
        <w:pStyle w:val="ListBullet"/>
        <w:spacing w:after="40"/>
        <w:ind w:left="259"/>
      </w:pPr>
      <w:r>
        <w:t>Contain attacks without unnecessarily destroying forensic evidence or causing avoidable service disruption.</w:t>
      </w:r>
    </w:p>
    <w:p>
      <w:pPr>
        <w:pStyle w:val="ListBullet"/>
        <w:spacing w:after="40"/>
        <w:ind w:left="259"/>
      </w:pPr>
      <w:r>
        <w:t>Eradicate attacker persistence, validate system integrity and recover from trusted backups.</w:t>
      </w:r>
    </w:p>
    <w:p>
      <w:pPr>
        <w:pStyle w:val="ListBullet"/>
        <w:spacing w:after="40"/>
        <w:ind w:left="259"/>
      </w:pPr>
      <w:r>
        <w:t>Establish internal communication, escalation and external reporting paths suitable for an Indian e-governance environment.</w:t>
      </w:r>
    </w:p>
    <w:p>
      <w:pPr>
        <w:pStyle w:val="ListBullet"/>
        <w:spacing w:after="40"/>
        <w:ind w:left="259"/>
      </w:pPr>
      <w:r>
        <w:t>Capture lessons learned and convert them into measurable improvements, exercises and control updates.</w:t>
      </w:r>
    </w:p>
    <w:p>
      <w:pPr>
        <w:pStyle w:val="Heading2"/>
      </w:pPr>
      <w:r>
        <w:t>1.2 Scope</w:t>
      </w:r>
    </w:p>
    <w:tbl>
      <w:tblPr>
        <w:tblStyle w:val="TableGrid"/>
        <w:tblW w:type="auto" w:w="0"/>
        <w:jc w:val="center"/>
        <w:tblLook w:firstColumn="1" w:firstRow="1" w:lastColumn="0" w:lastRow="0" w:noHBand="0" w:noVBand="1" w:val="04A0"/>
      </w:tblPr>
      <w:tblGrid>
        <w:gridCol w:w="5083"/>
        <w:gridCol w:w="5083"/>
      </w:tblGrid>
      <w:tr>
        <w:tc>
          <w:tcPr>
            <w:tcW w:type="dxa" w:w="5184"/>
            <w:vAlign w:val="center"/>
            <w:shd w:fill="E7EAF0"/>
          </w:tcPr>
          <w:p>
            <w:pPr>
              <w:spacing w:after="0"/>
            </w:pPr>
            <w:r/>
            <w:r>
              <w:rPr>
                <w:rFonts w:ascii="Aptos" w:hAnsi="Aptos"/>
                <w:b/>
                <w:sz w:val="16"/>
              </w:rPr>
              <w:t>In scope</w:t>
            </w:r>
          </w:p>
        </w:tc>
        <w:tc>
          <w:tcPr>
            <w:tcW w:type="dxa" w:w="5184"/>
            <w:vAlign w:val="center"/>
            <w:shd w:fill="E7EAF0"/>
          </w:tcPr>
          <w:p>
            <w:pPr>
              <w:spacing w:after="0"/>
            </w:pPr>
            <w:r/>
            <w:r>
              <w:rPr>
                <w:rFonts w:ascii="Aptos" w:hAnsi="Aptos"/>
                <w:b/>
                <w:sz w:val="16"/>
              </w:rPr>
              <w:t>Out of scope</w:t>
            </w:r>
          </w:p>
        </w:tc>
      </w:tr>
      <w:tr>
        <w:tc>
          <w:tcPr>
            <w:tcW w:type="dxa" w:w="5184"/>
            <w:vAlign w:val="center"/>
          </w:tcPr>
          <w:p>
            <w:pPr>
              <w:spacing w:after="0"/>
            </w:pPr>
            <w:r/>
            <w:r>
              <w:rPr>
                <w:rFonts w:ascii="Aptos" w:hAnsi="Aptos"/>
                <w:b w:val="0"/>
                <w:sz w:val="16"/>
              </w:rPr>
              <w:t>Citizen web portal, APIs, application servers, databases, IAM, network devices, endpoints, cloud workloads, logs, backups and monitoring systems.</w:t>
            </w:r>
          </w:p>
        </w:tc>
        <w:tc>
          <w:tcPr>
            <w:tcW w:type="dxa" w:w="5184"/>
            <w:vAlign w:val="center"/>
          </w:tcPr>
          <w:p>
            <w:pPr>
              <w:spacing w:after="0"/>
            </w:pPr>
            <w:r/>
            <w:r>
              <w:rPr>
                <w:rFonts w:ascii="Aptos" w:hAnsi="Aptos"/>
                <w:b w:val="0"/>
                <w:sz w:val="16"/>
              </w:rPr>
              <w:t>Offensive exploitation of a live system, unauthorized testing, or collection of real citizen data.</w:t>
            </w:r>
          </w:p>
        </w:tc>
      </w:tr>
      <w:tr>
        <w:tc>
          <w:tcPr>
            <w:tcW w:type="dxa" w:w="5184"/>
            <w:vAlign w:val="center"/>
          </w:tcPr>
          <w:p>
            <w:pPr>
              <w:spacing w:after="0"/>
            </w:pPr>
            <w:r/>
            <w:r>
              <w:rPr>
                <w:rFonts w:ascii="Aptos" w:hAnsi="Aptos"/>
                <w:b w:val="0"/>
                <w:sz w:val="16"/>
              </w:rPr>
              <w:t>Incident detection, triage, containment, eradication, recovery, communications, evidence handling and post-incident improvement.</w:t>
            </w:r>
          </w:p>
        </w:tc>
        <w:tc>
          <w:tcPr>
            <w:tcW w:type="dxa" w:w="5184"/>
            <w:vAlign w:val="center"/>
          </w:tcPr>
          <w:p>
            <w:pPr>
              <w:spacing w:after="0"/>
            </w:pPr>
            <w:r/>
            <w:r>
              <w:rPr>
                <w:rFonts w:ascii="Aptos" w:hAnsi="Aptos"/>
                <w:b w:val="0"/>
                <w:sz w:val="16"/>
              </w:rPr>
              <w:t>Detailed exploit instructions or malware development.</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F3F5F7"/>
          </w:tcPr>
          <w:p>
            <w:r>
              <w:rPr>
                <w:b/>
                <w:sz w:val="18"/>
              </w:rPr>
              <w:t>Design principle</w:t>
              <w:br/>
            </w:r>
            <w:r>
              <w:rPr>
                <w:sz w:val="17"/>
              </w:rPr>
              <w:t>The objective is not merely to block attacks. The objective is to maintain essential public services while preserving trustworthy evidence, meeting reporting obligations and restoring a known-good state.</w:t>
            </w:r>
          </w:p>
        </w:tc>
      </w:tr>
    </w:tbl>
    <w:p>
      <w:pPr>
        <w:spacing w:after="0"/>
      </w:pPr>
    </w:p>
    <w:p>
      <w:r>
        <w:br w:type="page"/>
      </w:r>
    </w:p>
    <w:p>
      <w:pPr>
        <w:pStyle w:val="Heading1"/>
      </w:pPr>
      <w:r>
        <w:t>2. Threat Analysis for Digital Governance</w:t>
      </w:r>
    </w:p>
    <w:p>
      <w:r>
        <w:t>An e-governance service has a broad attack surface because it exposes public-facing web applications while also depending on privileged administrative interfaces, databases, identity providers, third-party integrations, cloud services and operational endpoints. Threat analysis should therefore combine asset criticality, likely threat actor behaviour, known vulnerabilities and potential citizen/business impact.</w:t>
      </w:r>
    </w:p>
    <w:p>
      <w:pPr>
        <w:pStyle w:val="Heading2"/>
      </w:pPr>
      <w:r>
        <w:t>2.1 Primary threat categories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16"/>
            <w:vAlign w:val="center"/>
            <w:shd w:fill="E7EAF0"/>
          </w:tcPr>
          <w:p>
            <w:pPr>
              <w:spacing w:after="0"/>
            </w:pPr>
            <w:r/>
            <w:r>
              <w:rPr>
                <w:rFonts w:ascii="Aptos" w:hAnsi="Aptos"/>
                <w:b/>
                <w:sz w:val="16"/>
              </w:rPr>
              <w:t>Threat</w:t>
            </w:r>
          </w:p>
        </w:tc>
        <w:tc>
          <w:tcPr>
            <w:tcW w:type="dxa" w:w="2304"/>
            <w:vAlign w:val="center"/>
            <w:shd w:fill="E7EAF0"/>
          </w:tcPr>
          <w:p>
            <w:pPr>
              <w:spacing w:after="0"/>
            </w:pPr>
            <w:r/>
            <w:r>
              <w:rPr>
                <w:rFonts w:ascii="Aptos" w:hAnsi="Aptos"/>
                <w:b/>
                <w:sz w:val="16"/>
              </w:rPr>
              <w:t>Likely path</w:t>
            </w:r>
          </w:p>
        </w:tc>
        <w:tc>
          <w:tcPr>
            <w:tcW w:type="dxa" w:w="3744"/>
            <w:vAlign w:val="center"/>
            <w:shd w:fill="E7EAF0"/>
          </w:tcPr>
          <w:p>
            <w:pPr>
              <w:spacing w:after="0"/>
            </w:pPr>
            <w:r/>
            <w:r>
              <w:rPr>
                <w:rFonts w:ascii="Aptos" w:hAnsi="Aptos"/>
                <w:b/>
                <w:sz w:val="16"/>
              </w:rPr>
              <w:t>Potential impact</w:t>
            </w:r>
          </w:p>
        </w:tc>
        <w:tc>
          <w:tcPr>
            <w:tcW w:type="dxa" w:w="1152"/>
            <w:vAlign w:val="center"/>
            <w:shd w:fill="E7EAF0"/>
          </w:tcPr>
          <w:p>
            <w:pPr>
              <w:spacing w:after="0"/>
            </w:pPr>
            <w:r/>
            <w:r>
              <w:rPr>
                <w:rFonts w:ascii="Aptos" w:hAnsi="Aptos"/>
                <w:b/>
                <w:sz w:val="16"/>
              </w:rPr>
              <w:t>Priority</w:t>
            </w:r>
          </w:p>
        </w:tc>
      </w:tr>
      <w:tr>
        <w:tc>
          <w:tcPr>
            <w:tcW w:type="dxa" w:w="2016"/>
            <w:vAlign w:val="center"/>
          </w:tcPr>
          <w:p>
            <w:pPr>
              <w:spacing w:after="0"/>
            </w:pPr>
            <w:r/>
            <w:r>
              <w:rPr>
                <w:rFonts w:ascii="Aptos" w:hAnsi="Aptos"/>
                <w:b w:val="0"/>
                <w:sz w:val="16"/>
              </w:rPr>
              <w:t>Credential compromise</w:t>
            </w:r>
          </w:p>
        </w:tc>
        <w:tc>
          <w:tcPr>
            <w:tcW w:type="dxa" w:w="2304"/>
            <w:vAlign w:val="center"/>
          </w:tcPr>
          <w:p>
            <w:pPr>
              <w:spacing w:after="0"/>
            </w:pPr>
            <w:r/>
            <w:r>
              <w:rPr>
                <w:rFonts w:ascii="Aptos" w:hAnsi="Aptos"/>
                <w:b w:val="0"/>
                <w:sz w:val="16"/>
              </w:rPr>
              <w:t>Phishing, password reuse, stolen sessions</w:t>
            </w:r>
          </w:p>
        </w:tc>
        <w:tc>
          <w:tcPr>
            <w:tcW w:type="dxa" w:w="3744"/>
            <w:vAlign w:val="center"/>
          </w:tcPr>
          <w:p>
            <w:pPr>
              <w:spacing w:after="0"/>
            </w:pPr>
            <w:r/>
            <w:r>
              <w:rPr>
                <w:rFonts w:ascii="Aptos" w:hAnsi="Aptos"/>
                <w:b w:val="0"/>
                <w:sz w:val="16"/>
              </w:rPr>
              <w:t>Unauthorized administration, data access</w:t>
            </w:r>
          </w:p>
        </w:tc>
        <w:tc>
          <w:tcPr>
            <w:tcW w:type="dxa" w:w="1152"/>
            <w:vAlign w:val="center"/>
          </w:tcPr>
          <w:p>
            <w:pPr>
              <w:spacing w:after="0"/>
            </w:pPr>
            <w:r/>
            <w:r>
              <w:rPr>
                <w:rFonts w:ascii="Aptos" w:hAnsi="Aptos"/>
                <w:b w:val="0"/>
                <w:sz w:val="16"/>
              </w:rPr>
              <w:t>Critical</w:t>
            </w:r>
          </w:p>
        </w:tc>
      </w:tr>
      <w:tr>
        <w:tc>
          <w:tcPr>
            <w:tcW w:type="dxa" w:w="2016"/>
            <w:vAlign w:val="center"/>
          </w:tcPr>
          <w:p>
            <w:pPr>
              <w:spacing w:after="0"/>
            </w:pPr>
            <w:r/>
            <w:r>
              <w:rPr>
                <w:rFonts w:ascii="Aptos" w:hAnsi="Aptos"/>
                <w:b w:val="0"/>
                <w:sz w:val="16"/>
              </w:rPr>
              <w:t>Web application attack</w:t>
            </w:r>
          </w:p>
        </w:tc>
        <w:tc>
          <w:tcPr>
            <w:tcW w:type="dxa" w:w="2304"/>
            <w:vAlign w:val="center"/>
          </w:tcPr>
          <w:p>
            <w:pPr>
              <w:spacing w:after="0"/>
            </w:pPr>
            <w:r/>
            <w:r>
              <w:rPr>
                <w:rFonts w:ascii="Aptos" w:hAnsi="Aptos"/>
                <w:b w:val="0"/>
                <w:sz w:val="16"/>
              </w:rPr>
              <w:t>Exposed portal/API</w:t>
            </w:r>
          </w:p>
        </w:tc>
        <w:tc>
          <w:tcPr>
            <w:tcW w:type="dxa" w:w="3744"/>
            <w:vAlign w:val="center"/>
          </w:tcPr>
          <w:p>
            <w:pPr>
              <w:spacing w:after="0"/>
            </w:pPr>
            <w:r/>
            <w:r>
              <w:rPr>
                <w:rFonts w:ascii="Aptos" w:hAnsi="Aptos"/>
                <w:b w:val="0"/>
                <w:sz w:val="16"/>
              </w:rPr>
              <w:t>Data manipulation, account takeover, service disruption</w:t>
            </w:r>
          </w:p>
        </w:tc>
        <w:tc>
          <w:tcPr>
            <w:tcW w:type="dxa" w:w="1152"/>
            <w:vAlign w:val="center"/>
          </w:tcPr>
          <w:p>
            <w:pPr>
              <w:spacing w:after="0"/>
            </w:pPr>
            <w:r/>
            <w:r>
              <w:rPr>
                <w:rFonts w:ascii="Aptos" w:hAnsi="Aptos"/>
                <w:b w:val="0"/>
                <w:sz w:val="16"/>
              </w:rPr>
              <w:t>Critical</w:t>
            </w:r>
          </w:p>
        </w:tc>
      </w:tr>
      <w:tr>
        <w:tc>
          <w:tcPr>
            <w:tcW w:type="dxa" w:w="2016"/>
            <w:vAlign w:val="center"/>
          </w:tcPr>
          <w:p>
            <w:pPr>
              <w:spacing w:after="0"/>
            </w:pPr>
            <w:r/>
            <w:r>
              <w:rPr>
                <w:rFonts w:ascii="Aptos" w:hAnsi="Aptos"/>
                <w:b w:val="0"/>
                <w:sz w:val="16"/>
              </w:rPr>
              <w:t>Ransomware / destructive malware</w:t>
            </w:r>
          </w:p>
        </w:tc>
        <w:tc>
          <w:tcPr>
            <w:tcW w:type="dxa" w:w="2304"/>
            <w:vAlign w:val="center"/>
          </w:tcPr>
          <w:p>
            <w:pPr>
              <w:spacing w:after="0"/>
            </w:pPr>
            <w:r/>
            <w:r>
              <w:rPr>
                <w:rFonts w:ascii="Aptos" w:hAnsi="Aptos"/>
                <w:b w:val="0"/>
                <w:sz w:val="16"/>
              </w:rPr>
              <w:t>Endpoint or privileged account</w:t>
            </w:r>
          </w:p>
        </w:tc>
        <w:tc>
          <w:tcPr>
            <w:tcW w:type="dxa" w:w="3744"/>
            <w:vAlign w:val="center"/>
          </w:tcPr>
          <w:p>
            <w:pPr>
              <w:spacing w:after="0"/>
            </w:pPr>
            <w:r/>
            <w:r>
              <w:rPr>
                <w:rFonts w:ascii="Aptos" w:hAnsi="Aptos"/>
                <w:b w:val="0"/>
                <w:sz w:val="16"/>
              </w:rPr>
              <w:t>Availability loss, operational disruption</w:t>
            </w:r>
          </w:p>
        </w:tc>
        <w:tc>
          <w:tcPr>
            <w:tcW w:type="dxa" w:w="1152"/>
            <w:vAlign w:val="center"/>
          </w:tcPr>
          <w:p>
            <w:pPr>
              <w:spacing w:after="0"/>
            </w:pPr>
            <w:r/>
            <w:r>
              <w:rPr>
                <w:rFonts w:ascii="Aptos" w:hAnsi="Aptos"/>
                <w:b w:val="0"/>
                <w:sz w:val="16"/>
              </w:rPr>
              <w:t>Critical</w:t>
            </w:r>
          </w:p>
        </w:tc>
      </w:tr>
      <w:tr>
        <w:tc>
          <w:tcPr>
            <w:tcW w:type="dxa" w:w="2016"/>
            <w:vAlign w:val="center"/>
          </w:tcPr>
          <w:p>
            <w:pPr>
              <w:spacing w:after="0"/>
            </w:pPr>
            <w:r/>
            <w:r>
              <w:rPr>
                <w:rFonts w:ascii="Aptos" w:hAnsi="Aptos"/>
                <w:b w:val="0"/>
                <w:sz w:val="16"/>
              </w:rPr>
              <w:t>DDoS</w:t>
            </w:r>
          </w:p>
        </w:tc>
        <w:tc>
          <w:tcPr>
            <w:tcW w:type="dxa" w:w="2304"/>
            <w:vAlign w:val="center"/>
          </w:tcPr>
          <w:p>
            <w:pPr>
              <w:spacing w:after="0"/>
            </w:pPr>
            <w:r/>
            <w:r>
              <w:rPr>
                <w:rFonts w:ascii="Aptos" w:hAnsi="Aptos"/>
                <w:b w:val="0"/>
                <w:sz w:val="16"/>
              </w:rPr>
              <w:t>Public Internet</w:t>
            </w:r>
          </w:p>
        </w:tc>
        <w:tc>
          <w:tcPr>
            <w:tcW w:type="dxa" w:w="3744"/>
            <w:vAlign w:val="center"/>
          </w:tcPr>
          <w:p>
            <w:pPr>
              <w:spacing w:after="0"/>
            </w:pPr>
            <w:r/>
            <w:r>
              <w:rPr>
                <w:rFonts w:ascii="Aptos" w:hAnsi="Aptos"/>
                <w:b w:val="0"/>
                <w:sz w:val="16"/>
              </w:rPr>
              <w:t>Citizen service outage</w:t>
            </w:r>
          </w:p>
        </w:tc>
        <w:tc>
          <w:tcPr>
            <w:tcW w:type="dxa" w:w="1152"/>
            <w:vAlign w:val="center"/>
          </w:tcPr>
          <w:p>
            <w:pPr>
              <w:spacing w:after="0"/>
            </w:pPr>
            <w:r/>
            <w:r>
              <w:rPr>
                <w:rFonts w:ascii="Aptos" w:hAnsi="Aptos"/>
                <w:b w:val="0"/>
                <w:sz w:val="16"/>
              </w:rPr>
              <w:t>High</w:t>
            </w:r>
          </w:p>
        </w:tc>
      </w:tr>
      <w:tr>
        <w:tc>
          <w:tcPr>
            <w:tcW w:type="dxa" w:w="2016"/>
            <w:vAlign w:val="center"/>
          </w:tcPr>
          <w:p>
            <w:pPr>
              <w:spacing w:after="0"/>
            </w:pPr>
            <w:r/>
            <w:r>
              <w:rPr>
                <w:rFonts w:ascii="Aptos" w:hAnsi="Aptos"/>
                <w:b w:val="0"/>
                <w:sz w:val="16"/>
              </w:rPr>
              <w:t>Insider misuse</w:t>
            </w:r>
          </w:p>
        </w:tc>
        <w:tc>
          <w:tcPr>
            <w:tcW w:type="dxa" w:w="2304"/>
            <w:vAlign w:val="center"/>
          </w:tcPr>
          <w:p>
            <w:pPr>
              <w:spacing w:after="0"/>
            </w:pPr>
            <w:r/>
            <w:r>
              <w:rPr>
                <w:rFonts w:ascii="Aptos" w:hAnsi="Aptos"/>
                <w:b w:val="0"/>
                <w:sz w:val="16"/>
              </w:rPr>
              <w:t>Privileged or legitimate account</w:t>
            </w:r>
          </w:p>
        </w:tc>
        <w:tc>
          <w:tcPr>
            <w:tcW w:type="dxa" w:w="3744"/>
            <w:vAlign w:val="center"/>
          </w:tcPr>
          <w:p>
            <w:pPr>
              <w:spacing w:after="0"/>
            </w:pPr>
            <w:r/>
            <w:r>
              <w:rPr>
                <w:rFonts w:ascii="Aptos" w:hAnsi="Aptos"/>
                <w:b w:val="0"/>
                <w:sz w:val="16"/>
              </w:rPr>
              <w:t>Data disclosure or manipulation</w:t>
            </w:r>
          </w:p>
        </w:tc>
        <w:tc>
          <w:tcPr>
            <w:tcW w:type="dxa" w:w="1152"/>
            <w:vAlign w:val="center"/>
          </w:tcPr>
          <w:p>
            <w:pPr>
              <w:spacing w:after="0"/>
            </w:pPr>
            <w:r/>
            <w:r>
              <w:rPr>
                <w:rFonts w:ascii="Aptos" w:hAnsi="Aptos"/>
                <w:b w:val="0"/>
                <w:sz w:val="16"/>
              </w:rPr>
              <w:t>High</w:t>
            </w:r>
          </w:p>
        </w:tc>
      </w:tr>
      <w:tr>
        <w:tc>
          <w:tcPr>
            <w:tcW w:type="dxa" w:w="2016"/>
            <w:vAlign w:val="center"/>
          </w:tcPr>
          <w:p>
            <w:pPr>
              <w:spacing w:after="0"/>
            </w:pPr>
            <w:r/>
            <w:r>
              <w:rPr>
                <w:rFonts w:ascii="Aptos" w:hAnsi="Aptos"/>
                <w:b w:val="0"/>
                <w:sz w:val="16"/>
              </w:rPr>
              <w:t>Supply-chain compromise</w:t>
            </w:r>
          </w:p>
        </w:tc>
        <w:tc>
          <w:tcPr>
            <w:tcW w:type="dxa" w:w="2304"/>
            <w:vAlign w:val="center"/>
          </w:tcPr>
          <w:p>
            <w:pPr>
              <w:spacing w:after="0"/>
            </w:pPr>
            <w:r/>
            <w:r>
              <w:rPr>
                <w:rFonts w:ascii="Aptos" w:hAnsi="Aptos"/>
                <w:b w:val="0"/>
                <w:sz w:val="16"/>
              </w:rPr>
              <w:t>Third-party component/integration</w:t>
            </w:r>
          </w:p>
        </w:tc>
        <w:tc>
          <w:tcPr>
            <w:tcW w:type="dxa" w:w="3744"/>
            <w:vAlign w:val="center"/>
          </w:tcPr>
          <w:p>
            <w:pPr>
              <w:spacing w:after="0"/>
            </w:pPr>
            <w:r/>
            <w:r>
              <w:rPr>
                <w:rFonts w:ascii="Aptos" w:hAnsi="Aptos"/>
                <w:b w:val="0"/>
                <w:sz w:val="16"/>
              </w:rPr>
              <w:t>Backdoor access, integrity loss</w:t>
            </w:r>
          </w:p>
        </w:tc>
        <w:tc>
          <w:tcPr>
            <w:tcW w:type="dxa" w:w="1152"/>
            <w:vAlign w:val="center"/>
          </w:tcPr>
          <w:p>
            <w:pPr>
              <w:spacing w:after="0"/>
            </w:pPr>
            <w:r/>
            <w:r>
              <w:rPr>
                <w:rFonts w:ascii="Aptos" w:hAnsi="Aptos"/>
                <w:b w:val="0"/>
                <w:sz w:val="16"/>
              </w:rPr>
              <w:t>High</w:t>
            </w:r>
          </w:p>
        </w:tc>
      </w:tr>
      <w:tr>
        <w:tc>
          <w:tcPr>
            <w:tcW w:type="dxa" w:w="2016"/>
            <w:vAlign w:val="center"/>
          </w:tcPr>
          <w:p>
            <w:pPr>
              <w:spacing w:after="0"/>
            </w:pPr>
            <w:r/>
            <w:r>
              <w:rPr>
                <w:rFonts w:ascii="Aptos" w:hAnsi="Aptos"/>
                <w:b w:val="0"/>
                <w:sz w:val="16"/>
              </w:rPr>
              <w:t>Data exfiltration</w:t>
            </w:r>
          </w:p>
        </w:tc>
        <w:tc>
          <w:tcPr>
            <w:tcW w:type="dxa" w:w="2304"/>
            <w:vAlign w:val="center"/>
          </w:tcPr>
          <w:p>
            <w:pPr>
              <w:spacing w:after="0"/>
            </w:pPr>
            <w:r/>
            <w:r>
              <w:rPr>
                <w:rFonts w:ascii="Aptos" w:hAnsi="Aptos"/>
                <w:b w:val="0"/>
                <w:sz w:val="16"/>
              </w:rPr>
              <w:t>Compromised server/database</w:t>
            </w:r>
          </w:p>
        </w:tc>
        <w:tc>
          <w:tcPr>
            <w:tcW w:type="dxa" w:w="3744"/>
            <w:vAlign w:val="center"/>
          </w:tcPr>
          <w:p>
            <w:pPr>
              <w:spacing w:after="0"/>
            </w:pPr>
            <w:r/>
            <w:r>
              <w:rPr>
                <w:rFonts w:ascii="Aptos" w:hAnsi="Aptos"/>
                <w:b w:val="0"/>
                <w:sz w:val="16"/>
              </w:rPr>
              <w:t>Privacy and regulatory consequences</w:t>
            </w:r>
          </w:p>
        </w:tc>
        <w:tc>
          <w:tcPr>
            <w:tcW w:type="dxa" w:w="1152"/>
            <w:vAlign w:val="center"/>
          </w:tcPr>
          <w:p>
            <w:pPr>
              <w:spacing w:after="0"/>
            </w:pPr>
            <w:r/>
            <w:r>
              <w:rPr>
                <w:rFonts w:ascii="Aptos" w:hAnsi="Aptos"/>
                <w:b w:val="0"/>
                <w:sz w:val="16"/>
              </w:rPr>
              <w:t>Critical</w:t>
            </w:r>
          </w:p>
        </w:tc>
      </w:tr>
      <w:tr>
        <w:tc>
          <w:tcPr>
            <w:tcW w:type="dxa" w:w="2016"/>
            <w:vAlign w:val="center"/>
          </w:tcPr>
          <w:p>
            <w:pPr>
              <w:spacing w:after="0"/>
            </w:pPr>
            <w:r/>
            <w:r>
              <w:rPr>
                <w:rFonts w:ascii="Aptos" w:hAnsi="Aptos"/>
                <w:b w:val="0"/>
                <w:sz w:val="16"/>
              </w:rPr>
              <w:t>Misconfiguration</w:t>
            </w:r>
          </w:p>
        </w:tc>
        <w:tc>
          <w:tcPr>
            <w:tcW w:type="dxa" w:w="2304"/>
            <w:vAlign w:val="center"/>
          </w:tcPr>
          <w:p>
            <w:pPr>
              <w:spacing w:after="0"/>
            </w:pPr>
            <w:r/>
            <w:r>
              <w:rPr>
                <w:rFonts w:ascii="Aptos" w:hAnsi="Aptos"/>
                <w:b w:val="0"/>
                <w:sz w:val="16"/>
              </w:rPr>
              <w:t>Cloud, firewall, IAM, storage</w:t>
            </w:r>
          </w:p>
        </w:tc>
        <w:tc>
          <w:tcPr>
            <w:tcW w:type="dxa" w:w="3744"/>
            <w:vAlign w:val="center"/>
          </w:tcPr>
          <w:p>
            <w:pPr>
              <w:spacing w:after="0"/>
            </w:pPr>
            <w:r/>
            <w:r>
              <w:rPr>
                <w:rFonts w:ascii="Aptos" w:hAnsi="Aptos"/>
                <w:b w:val="0"/>
                <w:sz w:val="16"/>
              </w:rPr>
              <w:t>Unintended exposure</w:t>
            </w:r>
          </w:p>
        </w:tc>
        <w:tc>
          <w:tcPr>
            <w:tcW w:type="dxa" w:w="1152"/>
            <w:vAlign w:val="center"/>
          </w:tcPr>
          <w:p>
            <w:pPr>
              <w:spacing w:after="0"/>
            </w:pPr>
            <w:r/>
            <w:r>
              <w:rPr>
                <w:rFonts w:ascii="Aptos" w:hAnsi="Aptos"/>
                <w:b w:val="0"/>
                <w:sz w:val="16"/>
              </w:rPr>
              <w:t>High</w:t>
            </w:r>
          </w:p>
        </w:tc>
      </w:tr>
    </w:tbl>
    <w:p>
      <w:pPr>
        <w:spacing w:after="20"/>
      </w:pPr>
    </w:p>
    <w:p>
      <w:pPr>
        <w:pStyle w:val="Heading2"/>
      </w:pPr>
      <w:r>
        <w:t>2.2 MITRE ATT&amp;CK-informed threat chain</w:t>
      </w:r>
    </w:p>
    <w:p>
      <w:r>
        <w:t>MITRE ATT&amp;CK describes adversary goals through tactics such as Initial Access, Execution, Persistence, Credential Access, Discovery, Lateral Movement, Command and Control, Exfiltration and Impact. Mapping alerts to these tactics helps analysts move from isolated indicators to a coherent attack narrative.</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E7EAF0"/>
          </w:tcPr>
          <w:p>
            <w:pPr>
              <w:spacing w:after="0"/>
            </w:pPr>
            <w:r/>
            <w:r>
              <w:rPr>
                <w:rFonts w:ascii="Aptos" w:hAnsi="Aptos"/>
                <w:b/>
                <w:sz w:val="16"/>
              </w:rPr>
              <w:t>Stage</w:t>
            </w:r>
          </w:p>
        </w:tc>
        <w:tc>
          <w:tcPr>
            <w:tcW w:type="dxa" w:w="3600"/>
            <w:vAlign w:val="center"/>
            <w:shd w:fill="E7EAF0"/>
          </w:tcPr>
          <w:p>
            <w:pPr>
              <w:spacing w:after="0"/>
            </w:pPr>
            <w:r/>
            <w:r>
              <w:rPr>
                <w:rFonts w:ascii="Aptos" w:hAnsi="Aptos"/>
                <w:b/>
                <w:sz w:val="16"/>
              </w:rPr>
              <w:t>Example behaviour</w:t>
            </w:r>
          </w:p>
        </w:tc>
        <w:tc>
          <w:tcPr>
            <w:tcW w:type="dxa" w:w="3744"/>
            <w:vAlign w:val="center"/>
            <w:shd w:fill="E7EAF0"/>
          </w:tcPr>
          <w:p>
            <w:pPr>
              <w:spacing w:after="0"/>
            </w:pPr>
            <w:r/>
            <w:r>
              <w:rPr>
                <w:rFonts w:ascii="Aptos" w:hAnsi="Aptos"/>
                <w:b/>
                <w:sz w:val="16"/>
              </w:rPr>
              <w:t>Detection opportunity</w:t>
            </w:r>
          </w:p>
        </w:tc>
      </w:tr>
      <w:tr>
        <w:tc>
          <w:tcPr>
            <w:tcW w:type="dxa" w:w="1872"/>
            <w:vAlign w:val="center"/>
          </w:tcPr>
          <w:p>
            <w:pPr>
              <w:spacing w:after="0"/>
            </w:pPr>
            <w:r/>
            <w:r>
              <w:rPr>
                <w:rFonts w:ascii="Aptos" w:hAnsi="Aptos"/>
                <w:b w:val="0"/>
                <w:sz w:val="16"/>
              </w:rPr>
              <w:t>Initial Access</w:t>
            </w:r>
          </w:p>
        </w:tc>
        <w:tc>
          <w:tcPr>
            <w:tcW w:type="dxa" w:w="3600"/>
            <w:vAlign w:val="center"/>
          </w:tcPr>
          <w:p>
            <w:pPr>
              <w:spacing w:after="0"/>
            </w:pPr>
            <w:r/>
            <w:r>
              <w:rPr>
                <w:rFonts w:ascii="Aptos" w:hAnsi="Aptos"/>
                <w:b w:val="0"/>
                <w:sz w:val="16"/>
              </w:rPr>
              <w:t>Stolen administrator credentials or vulnerable web endpoint</w:t>
            </w:r>
          </w:p>
        </w:tc>
        <w:tc>
          <w:tcPr>
            <w:tcW w:type="dxa" w:w="3744"/>
            <w:vAlign w:val="center"/>
          </w:tcPr>
          <w:p>
            <w:pPr>
              <w:spacing w:after="0"/>
            </w:pPr>
            <w:r/>
            <w:r>
              <w:rPr>
                <w:rFonts w:ascii="Aptos" w:hAnsi="Aptos"/>
                <w:b w:val="0"/>
                <w:sz w:val="16"/>
              </w:rPr>
              <w:t>IAM anomalies, WAF/API logs, failed/successful login patterns</w:t>
            </w:r>
          </w:p>
        </w:tc>
      </w:tr>
      <w:tr>
        <w:tc>
          <w:tcPr>
            <w:tcW w:type="dxa" w:w="1872"/>
            <w:vAlign w:val="center"/>
          </w:tcPr>
          <w:p>
            <w:pPr>
              <w:spacing w:after="0"/>
            </w:pPr>
            <w:r/>
            <w:r>
              <w:rPr>
                <w:rFonts w:ascii="Aptos" w:hAnsi="Aptos"/>
                <w:b w:val="0"/>
                <w:sz w:val="16"/>
              </w:rPr>
              <w:t>Execution</w:t>
            </w:r>
          </w:p>
        </w:tc>
        <w:tc>
          <w:tcPr>
            <w:tcW w:type="dxa" w:w="3600"/>
            <w:vAlign w:val="center"/>
          </w:tcPr>
          <w:p>
            <w:pPr>
              <w:spacing w:after="0"/>
            </w:pPr>
            <w:r/>
            <w:r>
              <w:rPr>
                <w:rFonts w:ascii="Aptos" w:hAnsi="Aptos"/>
                <w:b w:val="0"/>
                <w:sz w:val="16"/>
              </w:rPr>
              <w:t>Unexpected command or process on server</w:t>
            </w:r>
          </w:p>
        </w:tc>
        <w:tc>
          <w:tcPr>
            <w:tcW w:type="dxa" w:w="3744"/>
            <w:vAlign w:val="center"/>
          </w:tcPr>
          <w:p>
            <w:pPr>
              <w:spacing w:after="0"/>
            </w:pPr>
            <w:r/>
            <w:r>
              <w:rPr>
                <w:rFonts w:ascii="Aptos" w:hAnsi="Aptos"/>
                <w:b w:val="0"/>
                <w:sz w:val="16"/>
              </w:rPr>
              <w:t>Endpoint process telemetry, EDR/Wazuh rules</w:t>
            </w:r>
          </w:p>
        </w:tc>
      </w:tr>
      <w:tr>
        <w:tc>
          <w:tcPr>
            <w:tcW w:type="dxa" w:w="1872"/>
            <w:vAlign w:val="center"/>
          </w:tcPr>
          <w:p>
            <w:pPr>
              <w:spacing w:after="0"/>
            </w:pPr>
            <w:r/>
            <w:r>
              <w:rPr>
                <w:rFonts w:ascii="Aptos" w:hAnsi="Aptos"/>
                <w:b w:val="0"/>
                <w:sz w:val="16"/>
              </w:rPr>
              <w:t>Persistence</w:t>
            </w:r>
          </w:p>
        </w:tc>
        <w:tc>
          <w:tcPr>
            <w:tcW w:type="dxa" w:w="3600"/>
            <w:vAlign w:val="center"/>
          </w:tcPr>
          <w:p>
            <w:pPr>
              <w:spacing w:after="0"/>
            </w:pPr>
            <w:r/>
            <w:r>
              <w:rPr>
                <w:rFonts w:ascii="Aptos" w:hAnsi="Aptos"/>
                <w:b w:val="0"/>
                <w:sz w:val="16"/>
              </w:rPr>
              <w:t>New account, scheduled task or modified service</w:t>
            </w:r>
          </w:p>
        </w:tc>
        <w:tc>
          <w:tcPr>
            <w:tcW w:type="dxa" w:w="3744"/>
            <w:vAlign w:val="center"/>
          </w:tcPr>
          <w:p>
            <w:pPr>
              <w:spacing w:after="0"/>
            </w:pPr>
            <w:r/>
            <w:r>
              <w:rPr>
                <w:rFonts w:ascii="Aptos" w:hAnsi="Aptos"/>
                <w:b w:val="0"/>
                <w:sz w:val="16"/>
              </w:rPr>
              <w:t>File integrity, account and configuration monitoring</w:t>
            </w:r>
          </w:p>
        </w:tc>
      </w:tr>
      <w:tr>
        <w:tc>
          <w:tcPr>
            <w:tcW w:type="dxa" w:w="1872"/>
            <w:vAlign w:val="center"/>
          </w:tcPr>
          <w:p>
            <w:pPr>
              <w:spacing w:after="0"/>
            </w:pPr>
            <w:r/>
            <w:r>
              <w:rPr>
                <w:rFonts w:ascii="Aptos" w:hAnsi="Aptos"/>
                <w:b w:val="0"/>
                <w:sz w:val="16"/>
              </w:rPr>
              <w:t>Discovery</w:t>
            </w:r>
          </w:p>
        </w:tc>
        <w:tc>
          <w:tcPr>
            <w:tcW w:type="dxa" w:w="3600"/>
            <w:vAlign w:val="center"/>
          </w:tcPr>
          <w:p>
            <w:pPr>
              <w:spacing w:after="0"/>
            </w:pPr>
            <w:r/>
            <w:r>
              <w:rPr>
                <w:rFonts w:ascii="Aptos" w:hAnsi="Aptos"/>
                <w:b w:val="0"/>
                <w:sz w:val="16"/>
              </w:rPr>
              <w:t>Unexpected enumeration of internal services</w:t>
            </w:r>
          </w:p>
        </w:tc>
        <w:tc>
          <w:tcPr>
            <w:tcW w:type="dxa" w:w="3744"/>
            <w:vAlign w:val="center"/>
          </w:tcPr>
          <w:p>
            <w:pPr>
              <w:spacing w:after="0"/>
            </w:pPr>
            <w:r/>
            <w:r>
              <w:rPr>
                <w:rFonts w:ascii="Aptos" w:hAnsi="Aptos"/>
                <w:b w:val="0"/>
                <w:sz w:val="16"/>
              </w:rPr>
              <w:t>Network flows, DNS, process and authentication logs</w:t>
            </w:r>
          </w:p>
        </w:tc>
      </w:tr>
      <w:tr>
        <w:tc>
          <w:tcPr>
            <w:tcW w:type="dxa" w:w="1872"/>
            <w:vAlign w:val="center"/>
          </w:tcPr>
          <w:p>
            <w:pPr>
              <w:spacing w:after="0"/>
            </w:pPr>
            <w:r/>
            <w:r>
              <w:rPr>
                <w:rFonts w:ascii="Aptos" w:hAnsi="Aptos"/>
                <w:b w:val="0"/>
                <w:sz w:val="16"/>
              </w:rPr>
              <w:t>Lateral Movement</w:t>
            </w:r>
          </w:p>
        </w:tc>
        <w:tc>
          <w:tcPr>
            <w:tcW w:type="dxa" w:w="3600"/>
            <w:vAlign w:val="center"/>
          </w:tcPr>
          <w:p>
            <w:pPr>
              <w:spacing w:after="0"/>
            </w:pPr>
            <w:r/>
            <w:r>
              <w:rPr>
                <w:rFonts w:ascii="Aptos" w:hAnsi="Aptos"/>
                <w:b w:val="0"/>
                <w:sz w:val="16"/>
              </w:rPr>
              <w:t>Unusual remote administration from a web server</w:t>
            </w:r>
          </w:p>
        </w:tc>
        <w:tc>
          <w:tcPr>
            <w:tcW w:type="dxa" w:w="3744"/>
            <w:vAlign w:val="center"/>
          </w:tcPr>
          <w:p>
            <w:pPr>
              <w:spacing w:after="0"/>
            </w:pPr>
            <w:r/>
            <w:r>
              <w:rPr>
                <w:rFonts w:ascii="Aptos" w:hAnsi="Aptos"/>
                <w:b w:val="0"/>
                <w:sz w:val="16"/>
              </w:rPr>
              <w:t>Network connections, privileged logins, segmentation alerts</w:t>
            </w:r>
          </w:p>
        </w:tc>
      </w:tr>
      <w:tr>
        <w:tc>
          <w:tcPr>
            <w:tcW w:type="dxa" w:w="1872"/>
            <w:vAlign w:val="center"/>
          </w:tcPr>
          <w:p>
            <w:pPr>
              <w:spacing w:after="0"/>
            </w:pPr>
            <w:r/>
            <w:r>
              <w:rPr>
                <w:rFonts w:ascii="Aptos" w:hAnsi="Aptos"/>
                <w:b w:val="0"/>
                <w:sz w:val="16"/>
              </w:rPr>
              <w:t>Collection / Exfiltration</w:t>
            </w:r>
          </w:p>
        </w:tc>
        <w:tc>
          <w:tcPr>
            <w:tcW w:type="dxa" w:w="3600"/>
            <w:vAlign w:val="center"/>
          </w:tcPr>
          <w:p>
            <w:pPr>
              <w:spacing w:after="0"/>
            </w:pPr>
            <w:r/>
            <w:r>
              <w:rPr>
                <w:rFonts w:ascii="Aptos" w:hAnsi="Aptos"/>
                <w:b w:val="0"/>
                <w:sz w:val="16"/>
              </w:rPr>
              <w:t>Bulk database queries or outbound transfer</w:t>
            </w:r>
          </w:p>
        </w:tc>
        <w:tc>
          <w:tcPr>
            <w:tcW w:type="dxa" w:w="3744"/>
            <w:vAlign w:val="center"/>
          </w:tcPr>
          <w:p>
            <w:pPr>
              <w:spacing w:after="0"/>
            </w:pPr>
            <w:r/>
            <w:r>
              <w:rPr>
                <w:rFonts w:ascii="Aptos" w:hAnsi="Aptos"/>
                <w:b w:val="0"/>
                <w:sz w:val="16"/>
              </w:rPr>
              <w:t>DB audit logs, proxy/DNS/network volume anomalies</w:t>
            </w:r>
          </w:p>
        </w:tc>
      </w:tr>
      <w:tr>
        <w:tc>
          <w:tcPr>
            <w:tcW w:type="dxa" w:w="1872"/>
            <w:vAlign w:val="center"/>
          </w:tcPr>
          <w:p>
            <w:pPr>
              <w:spacing w:after="0"/>
            </w:pPr>
            <w:r/>
            <w:r>
              <w:rPr>
                <w:rFonts w:ascii="Aptos" w:hAnsi="Aptos"/>
                <w:b w:val="0"/>
                <w:sz w:val="16"/>
              </w:rPr>
              <w:t>Impact</w:t>
            </w:r>
          </w:p>
        </w:tc>
        <w:tc>
          <w:tcPr>
            <w:tcW w:type="dxa" w:w="3600"/>
            <w:vAlign w:val="center"/>
          </w:tcPr>
          <w:p>
            <w:pPr>
              <w:spacing w:after="0"/>
            </w:pPr>
            <w:r/>
            <w:r>
              <w:rPr>
                <w:rFonts w:ascii="Aptos" w:hAnsi="Aptos"/>
                <w:b w:val="0"/>
                <w:sz w:val="16"/>
              </w:rPr>
              <w:t>Service degradation or data tampering</w:t>
            </w:r>
          </w:p>
        </w:tc>
        <w:tc>
          <w:tcPr>
            <w:tcW w:type="dxa" w:w="3744"/>
            <w:vAlign w:val="center"/>
          </w:tcPr>
          <w:p>
            <w:pPr>
              <w:spacing w:after="0"/>
            </w:pPr>
            <w:r/>
            <w:r>
              <w:rPr>
                <w:rFonts w:ascii="Aptos" w:hAnsi="Aptos"/>
                <w:b w:val="0"/>
                <w:sz w:val="16"/>
              </w:rPr>
              <w:t>Availability metrics, integrity checks, application errors</w:t>
            </w:r>
          </w:p>
        </w:tc>
      </w:tr>
    </w:tbl>
    <w:p>
      <w:pPr>
        <w:spacing w:after="20"/>
      </w:pPr>
    </w:p>
    <w:p>
      <w:pPr>
        <w:pStyle w:val="Heading2"/>
      </w:pPr>
      <w:r>
        <w:t>2.3 Risk scoring</w:t>
      </w:r>
    </w:p>
    <w:p>
      <w:r>
        <w:t>A simple 5×5 model is recommended: Risk Score = Likelihood × Impact. Likelihood considers exposure, exploitability and observed threat activity; impact considers citizen harm, confidentiality, integrity, availability, legal obligations and public trust.</w:t>
      </w:r>
    </w:p>
    <w:p>
      <w:r>
        <w:br w:type="page"/>
      </w:r>
    </w:p>
    <w:p>
      <w:pPr>
        <w:pStyle w:val="Heading1"/>
      </w:pPr>
      <w:r>
        <w:t>3. Simulated Cyber-Attack Scenario</w:t>
      </w:r>
    </w:p>
    <w:p>
      <w:r>
        <w:t>Scenario: the State Citizen Services Portal (SCSP) provides online applications for certificates, benefits and municipal services. The platform contains a public web tier, API gateway, application servers, a database cluster, identity services and a security monitoring stack.</w:t>
      </w:r>
    </w:p>
    <w:p>
      <w:pPr>
        <w:pStyle w:val="Heading2"/>
      </w:pPr>
      <w:r>
        <w:t>3.1 Attack narrative</w:t>
      </w:r>
    </w:p>
    <w:p>
      <w:pPr>
        <w:pStyle w:val="ListNumber"/>
        <w:spacing w:after="40"/>
      </w:pPr>
      <w:r>
        <w:t>An attacker obtains a privileged support-account password through a convincing phishing campaign. The account has MFA disabled because of an outdated exception.</w:t>
      </w:r>
    </w:p>
    <w:p>
      <w:pPr>
        <w:pStyle w:val="ListNumber"/>
        <w:spacing w:after="40"/>
      </w:pPr>
      <w:r>
        <w:t>The attacker signs in from an unusual foreign IP address outside the support team's normal working hours. Several failed attempts are followed by a successful login.</w:t>
      </w:r>
    </w:p>
    <w:p>
      <w:pPr>
        <w:pStyle w:val="ListNumber"/>
        <w:spacing w:after="40"/>
      </w:pPr>
      <w:r>
        <w:t>The account accesses the administration portal and creates a new API token. The token is then used to query citizen-service APIs at a rate significantly higher than the account's baseline.</w:t>
      </w:r>
    </w:p>
    <w:p>
      <w:pPr>
        <w:pStyle w:val="ListNumber"/>
        <w:spacing w:after="40"/>
      </w:pPr>
      <w:r>
        <w:t>A web application server begins making unusual outbound connections. Endpoint telemetry identifies a new process and a modified application directory file.</w:t>
      </w:r>
    </w:p>
    <w:p>
      <w:pPr>
        <w:pStyle w:val="ListNumber"/>
        <w:spacing w:after="40"/>
      </w:pPr>
      <w:r>
        <w:t>Suricata raises a network alert for suspicious traffic. Wazuh correlates the network event with the new process, file-integrity change and abnormal account activity.</w:t>
      </w:r>
    </w:p>
    <w:p>
      <w:pPr>
        <w:pStyle w:val="ListNumber"/>
        <w:spacing w:after="40"/>
      </w:pPr>
      <w:r>
        <w:t>The SOC declares a high-severity incident, disables the compromised identity, isolates the affected server and preserves relevant logs and forensic artifacts.</w:t>
      </w:r>
    </w:p>
    <w:p>
      <w:pPr>
        <w:pStyle w:val="ListNumber"/>
        <w:spacing w:after="40"/>
      </w:pPr>
      <w:r>
        <w:t>The response team determines that a small set of records was accessed but finds no evidence of destructive modification. The vulnerable component is patched and attacker persistence is removed.</w:t>
      </w:r>
    </w:p>
    <w:p>
      <w:pPr>
        <w:pStyle w:val="ListNumber"/>
        <w:spacing w:after="40"/>
      </w:pPr>
      <w:r>
        <w:t>The service is restored from a verified clean image, credentials and tokens are rotated, and heightened monitoring remains active during the recovery period.</w:t>
      </w:r>
    </w:p>
    <w:p>
      <w:pPr>
        <w:pStyle w:val="Heading2"/>
      </w:pPr>
      <w:r>
        <w:t>3.2 Incident objectives</w:t>
      </w:r>
    </w:p>
    <w:p>
      <w:pPr>
        <w:pStyle w:val="ListBullet"/>
        <w:spacing w:after="40"/>
        <w:ind w:left="259"/>
      </w:pPr>
      <w:r>
        <w:t>Protect citizens and preserve the availability of critical services.</w:t>
      </w:r>
    </w:p>
    <w:p>
      <w:pPr>
        <w:pStyle w:val="ListBullet"/>
        <w:spacing w:after="40"/>
        <w:ind w:left="259"/>
      </w:pPr>
      <w:r>
        <w:t>Stop unauthorized access and prevent lateral movement.</w:t>
      </w:r>
    </w:p>
    <w:p>
      <w:pPr>
        <w:pStyle w:val="ListBullet"/>
        <w:spacing w:after="40"/>
        <w:ind w:left="259"/>
      </w:pPr>
      <w:r>
        <w:t>Determine whether data was viewed, modified or exfiltrated.</w:t>
      </w:r>
    </w:p>
    <w:p>
      <w:pPr>
        <w:pStyle w:val="ListBullet"/>
        <w:spacing w:after="40"/>
        <w:ind w:left="259"/>
      </w:pPr>
      <w:r>
        <w:t>Preserve evidence and a defensible timeline.</w:t>
      </w:r>
    </w:p>
    <w:p>
      <w:pPr>
        <w:pStyle w:val="ListBullet"/>
        <w:spacing w:after="40"/>
        <w:ind w:left="259"/>
      </w:pPr>
      <w:r>
        <w:t>Meet internal escalation and applicable CERT-In reporting requirements.</w:t>
      </w:r>
    </w:p>
    <w:p>
      <w:pPr>
        <w:pStyle w:val="ListBullet"/>
        <w:spacing w:after="40"/>
        <w:ind w:left="259"/>
      </w:pPr>
      <w:r>
        <w:t>Restore services only after integrity and security validation.</w:t>
      </w:r>
    </w:p>
    <w:p>
      <w:pPr>
        <w:pStyle w:val="Heading2"/>
      </w:pPr>
      <w:r>
        <w:t>3.3 Severity classification</w:t>
      </w:r>
    </w:p>
    <w:tbl>
      <w:tblPr>
        <w:tblStyle w:val="TableGrid"/>
        <w:tblW w:type="auto" w:w="0"/>
        <w:jc w:val="center"/>
        <w:tblLook w:firstColumn="1" w:firstRow="1" w:lastColumn="0" w:lastRow="0" w:noHBand="0" w:noVBand="1" w:val="04A0"/>
      </w:tblPr>
      <w:tblGrid>
        <w:gridCol w:w="3389"/>
        <w:gridCol w:w="3389"/>
        <w:gridCol w:w="3389"/>
      </w:tblGrid>
      <w:tr>
        <w:tc>
          <w:tcPr>
            <w:tcW w:type="dxa" w:w="1584"/>
            <w:vAlign w:val="center"/>
            <w:shd w:fill="E7EAF0"/>
          </w:tcPr>
          <w:p>
            <w:pPr>
              <w:spacing w:after="0"/>
            </w:pPr>
            <w:r/>
            <w:r>
              <w:rPr>
                <w:rFonts w:ascii="Aptos" w:hAnsi="Aptos"/>
                <w:b/>
                <w:sz w:val="16"/>
              </w:rPr>
              <w:t>Level</w:t>
            </w:r>
          </w:p>
        </w:tc>
        <w:tc>
          <w:tcPr>
            <w:tcW w:type="dxa" w:w="5760"/>
            <w:vAlign w:val="center"/>
            <w:shd w:fill="E7EAF0"/>
          </w:tcPr>
          <w:p>
            <w:pPr>
              <w:spacing w:after="0"/>
            </w:pPr>
            <w:r/>
            <w:r>
              <w:rPr>
                <w:rFonts w:ascii="Aptos" w:hAnsi="Aptos"/>
                <w:b/>
                <w:sz w:val="16"/>
              </w:rPr>
              <w:t>Definition</w:t>
            </w:r>
          </w:p>
        </w:tc>
        <w:tc>
          <w:tcPr>
            <w:tcW w:type="dxa" w:w="2880"/>
            <w:vAlign w:val="center"/>
            <w:shd w:fill="E7EAF0"/>
          </w:tcPr>
          <w:p>
            <w:pPr>
              <w:spacing w:after="0"/>
            </w:pPr>
            <w:r/>
            <w:r>
              <w:rPr>
                <w:rFonts w:ascii="Aptos" w:hAnsi="Aptos"/>
                <w:b/>
                <w:sz w:val="16"/>
              </w:rPr>
              <w:t>Example response target</w:t>
            </w:r>
          </w:p>
        </w:tc>
      </w:tr>
      <w:tr>
        <w:tc>
          <w:tcPr>
            <w:tcW w:type="dxa" w:w="1584"/>
            <w:vAlign w:val="center"/>
          </w:tcPr>
          <w:p>
            <w:pPr>
              <w:spacing w:after="0"/>
            </w:pPr>
            <w:r/>
            <w:r>
              <w:rPr>
                <w:rFonts w:ascii="Aptos" w:hAnsi="Aptos"/>
                <w:b w:val="0"/>
                <w:sz w:val="16"/>
              </w:rPr>
              <w:t>SEV-1 Critical</w:t>
            </w:r>
          </w:p>
        </w:tc>
        <w:tc>
          <w:tcPr>
            <w:tcW w:type="dxa" w:w="5760"/>
            <w:vAlign w:val="center"/>
          </w:tcPr>
          <w:p>
            <w:pPr>
              <w:spacing w:after="0"/>
            </w:pPr>
            <w:r/>
            <w:r>
              <w:rPr>
                <w:rFonts w:ascii="Aptos" w:hAnsi="Aptos"/>
                <w:b w:val="0"/>
                <w:sz w:val="16"/>
              </w:rPr>
              <w:t>Confirmed compromise of critical systems, major data breach or prolonged public-service outage.</w:t>
            </w:r>
          </w:p>
        </w:tc>
        <w:tc>
          <w:tcPr>
            <w:tcW w:type="dxa" w:w="2880"/>
            <w:vAlign w:val="center"/>
          </w:tcPr>
          <w:p>
            <w:pPr>
              <w:spacing w:after="0"/>
            </w:pPr>
            <w:r/>
            <w:r>
              <w:rPr>
                <w:rFonts w:ascii="Aptos" w:hAnsi="Aptos"/>
                <w:b w:val="0"/>
                <w:sz w:val="16"/>
              </w:rPr>
              <w:t>Immediate SOC lead + executive escalation; continuous response.</w:t>
            </w:r>
          </w:p>
        </w:tc>
      </w:tr>
      <w:tr>
        <w:tc>
          <w:tcPr>
            <w:tcW w:type="dxa" w:w="1584"/>
            <w:vAlign w:val="center"/>
          </w:tcPr>
          <w:p>
            <w:pPr>
              <w:spacing w:after="0"/>
            </w:pPr>
            <w:r/>
            <w:r>
              <w:rPr>
                <w:rFonts w:ascii="Aptos" w:hAnsi="Aptos"/>
                <w:b w:val="0"/>
                <w:sz w:val="16"/>
              </w:rPr>
              <w:t>SEV-2 High</w:t>
            </w:r>
          </w:p>
        </w:tc>
        <w:tc>
          <w:tcPr>
            <w:tcW w:type="dxa" w:w="5760"/>
            <w:vAlign w:val="center"/>
          </w:tcPr>
          <w:p>
            <w:pPr>
              <w:spacing w:after="0"/>
            </w:pPr>
            <w:r/>
            <w:r>
              <w:rPr>
                <w:rFonts w:ascii="Aptos" w:hAnsi="Aptos"/>
                <w:b w:val="0"/>
                <w:sz w:val="16"/>
              </w:rPr>
              <w:t>Confirmed compromise of a production component or privileged account with limited scope.</w:t>
            </w:r>
          </w:p>
        </w:tc>
        <w:tc>
          <w:tcPr>
            <w:tcW w:type="dxa" w:w="2880"/>
            <w:vAlign w:val="center"/>
          </w:tcPr>
          <w:p>
            <w:pPr>
              <w:spacing w:after="0"/>
            </w:pPr>
            <w:r/>
            <w:r>
              <w:rPr>
                <w:rFonts w:ascii="Aptos" w:hAnsi="Aptos"/>
                <w:b w:val="0"/>
                <w:sz w:val="16"/>
              </w:rPr>
              <w:t>Triage within 15 minutes; containment as soon as validated.</w:t>
            </w:r>
          </w:p>
        </w:tc>
      </w:tr>
      <w:tr>
        <w:tc>
          <w:tcPr>
            <w:tcW w:type="dxa" w:w="1584"/>
            <w:vAlign w:val="center"/>
          </w:tcPr>
          <w:p>
            <w:pPr>
              <w:spacing w:after="0"/>
            </w:pPr>
            <w:r/>
            <w:r>
              <w:rPr>
                <w:rFonts w:ascii="Aptos" w:hAnsi="Aptos"/>
                <w:b w:val="0"/>
                <w:sz w:val="16"/>
              </w:rPr>
              <w:t>SEV-3 Medium</w:t>
            </w:r>
          </w:p>
        </w:tc>
        <w:tc>
          <w:tcPr>
            <w:tcW w:type="dxa" w:w="5760"/>
            <w:vAlign w:val="center"/>
          </w:tcPr>
          <w:p>
            <w:pPr>
              <w:spacing w:after="0"/>
            </w:pPr>
            <w:r/>
            <w:r>
              <w:rPr>
                <w:rFonts w:ascii="Aptos" w:hAnsi="Aptos"/>
                <w:b w:val="0"/>
                <w:sz w:val="16"/>
              </w:rPr>
              <w:t>Suspicious activity with limited business impact or contained endpoint compromise.</w:t>
            </w:r>
          </w:p>
        </w:tc>
        <w:tc>
          <w:tcPr>
            <w:tcW w:type="dxa" w:w="2880"/>
            <w:vAlign w:val="center"/>
          </w:tcPr>
          <w:p>
            <w:pPr>
              <w:spacing w:after="0"/>
            </w:pPr>
            <w:r/>
            <w:r>
              <w:rPr>
                <w:rFonts w:ascii="Aptos" w:hAnsi="Aptos"/>
                <w:b w:val="0"/>
                <w:sz w:val="16"/>
              </w:rPr>
              <w:t>Triage within 1 hour; track to closure.</w:t>
            </w:r>
          </w:p>
        </w:tc>
      </w:tr>
      <w:tr>
        <w:tc>
          <w:tcPr>
            <w:tcW w:type="dxa" w:w="1584"/>
            <w:vAlign w:val="center"/>
          </w:tcPr>
          <w:p>
            <w:pPr>
              <w:spacing w:after="0"/>
            </w:pPr>
            <w:r/>
            <w:r>
              <w:rPr>
                <w:rFonts w:ascii="Aptos" w:hAnsi="Aptos"/>
                <w:b w:val="0"/>
                <w:sz w:val="16"/>
              </w:rPr>
              <w:t>SEV-4 Low</w:t>
            </w:r>
          </w:p>
        </w:tc>
        <w:tc>
          <w:tcPr>
            <w:tcW w:type="dxa" w:w="5760"/>
            <w:vAlign w:val="center"/>
          </w:tcPr>
          <w:p>
            <w:pPr>
              <w:spacing w:after="0"/>
            </w:pPr>
            <w:r/>
            <w:r>
              <w:rPr>
                <w:rFonts w:ascii="Aptos" w:hAnsi="Aptos"/>
                <w:b w:val="0"/>
                <w:sz w:val="16"/>
              </w:rPr>
              <w:t>Benign/low-risk event or policy violation requiring monitoring.</w:t>
            </w:r>
          </w:p>
        </w:tc>
        <w:tc>
          <w:tcPr>
            <w:tcW w:type="dxa" w:w="2880"/>
            <w:vAlign w:val="center"/>
          </w:tcPr>
          <w:p>
            <w:pPr>
              <w:spacing w:after="0"/>
            </w:pPr>
            <w:r/>
            <w:r>
              <w:rPr>
                <w:rFonts w:ascii="Aptos" w:hAnsi="Aptos"/>
                <w:b w:val="0"/>
                <w:sz w:val="16"/>
              </w:rPr>
              <w:t>Review within business workflow.</w:t>
            </w:r>
          </w:p>
        </w:tc>
      </w:tr>
    </w:tbl>
    <w:p>
      <w:pPr>
        <w:spacing w:after="20"/>
      </w:pPr>
    </w:p>
    <w:p>
      <w:r>
        <w:br w:type="page"/>
      </w:r>
    </w:p>
    <w:p>
      <w:pPr>
        <w:pStyle w:val="Heading1"/>
      </w:pPr>
      <w:r>
        <w:t>4. Intrusion Detection Architecture</w:t>
      </w:r>
    </w:p>
    <w:p>
      <w:r>
        <w:t>The recommended architecture follows a defence-in-depth model. No single detection tool is assumed to be authoritative. Network, endpoint, identity, application and infrastructure telemetry are collected centrally so that multiple weak signals can be correlated into a high-confidence incident.</w:t>
      </w:r>
    </w:p>
    <w:p>
      <w:pPr>
        <w:jc w:val="center"/>
      </w:pPr>
      <w:r>
        <w:drawing>
          <wp:inline xmlns:a="http://schemas.openxmlformats.org/drawingml/2006/main" xmlns:pic="http://schemas.openxmlformats.org/drawingml/2006/picture">
            <wp:extent cx="6309360" cy="3657355"/>
            <wp:docPr id="1" name="Picture 1"/>
            <wp:cNvGraphicFramePr>
              <a:graphicFrameLocks noChangeAspect="1"/>
            </wp:cNvGraphicFramePr>
            <a:graphic>
              <a:graphicData uri="http://schemas.openxmlformats.org/drawingml/2006/picture">
                <pic:pic>
                  <pic:nvPicPr>
                    <pic:cNvPr id="0" name="Week_3_Incident_Response_Flowchart.png"/>
                    <pic:cNvPicPr/>
                  </pic:nvPicPr>
                  <pic:blipFill>
                    <a:blip r:embed="rId9"/>
                    <a:stretch>
                      <a:fillRect/>
                    </a:stretch>
                  </pic:blipFill>
                  <pic:spPr>
                    <a:xfrm>
                      <a:off x="0" y="0"/>
                      <a:ext cx="6309360" cy="3657355"/>
                    </a:xfrm>
                    <a:prstGeom prst="rect"/>
                  </pic:spPr>
                </pic:pic>
              </a:graphicData>
            </a:graphic>
          </wp:inline>
        </w:drawing>
      </w:r>
    </w:p>
    <w:p>
      <w:pPr>
        <w:pStyle w:val="Small"/>
        <w:jc w:val="center"/>
      </w:pPr>
      <w:r>
        <w:t>Figure 1. Incident response lifecycle proposed for the SCSP environment.</w:t>
      </w:r>
    </w:p>
    <w:p>
      <w:pPr>
        <w:pStyle w:val="Heading2"/>
      </w:pPr>
      <w:r>
        <w:t>4.1 Recommended open-source stack</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E7EAF0"/>
          </w:tcPr>
          <w:p>
            <w:pPr>
              <w:spacing w:after="0"/>
            </w:pPr>
            <w:r/>
            <w:r>
              <w:rPr>
                <w:rFonts w:ascii="Aptos" w:hAnsi="Aptos"/>
                <w:b/>
                <w:sz w:val="16"/>
              </w:rPr>
              <w:t>Technology</w:t>
            </w:r>
          </w:p>
        </w:tc>
        <w:tc>
          <w:tcPr>
            <w:tcW w:type="dxa" w:w="2736"/>
            <w:vAlign w:val="center"/>
            <w:shd w:fill="E7EAF0"/>
          </w:tcPr>
          <w:p>
            <w:pPr>
              <w:spacing w:after="0"/>
            </w:pPr>
            <w:r/>
            <w:r>
              <w:rPr>
                <w:rFonts w:ascii="Aptos" w:hAnsi="Aptos"/>
                <w:b/>
                <w:sz w:val="16"/>
              </w:rPr>
              <w:t>Role</w:t>
            </w:r>
          </w:p>
        </w:tc>
        <w:tc>
          <w:tcPr>
            <w:tcW w:type="dxa" w:w="5184"/>
            <w:vAlign w:val="center"/>
            <w:shd w:fill="E7EAF0"/>
          </w:tcPr>
          <w:p>
            <w:pPr>
              <w:spacing w:after="0"/>
            </w:pPr>
            <w:r/>
            <w:r>
              <w:rPr>
                <w:rFonts w:ascii="Aptos" w:hAnsi="Aptos"/>
                <w:b/>
                <w:sz w:val="16"/>
              </w:rPr>
              <w:t>Example use</w:t>
            </w:r>
          </w:p>
        </w:tc>
      </w:tr>
      <w:tr>
        <w:tc>
          <w:tcPr>
            <w:tcW w:type="dxa" w:w="2160"/>
            <w:vAlign w:val="center"/>
          </w:tcPr>
          <w:p>
            <w:pPr>
              <w:spacing w:after="0"/>
            </w:pPr>
            <w:r/>
            <w:r>
              <w:rPr>
                <w:rFonts w:ascii="Aptos" w:hAnsi="Aptos"/>
                <w:b w:val="0"/>
                <w:sz w:val="16"/>
              </w:rPr>
              <w:t>Suricata</w:t>
            </w:r>
          </w:p>
        </w:tc>
        <w:tc>
          <w:tcPr>
            <w:tcW w:type="dxa" w:w="2736"/>
            <w:vAlign w:val="center"/>
          </w:tcPr>
          <w:p>
            <w:pPr>
              <w:spacing w:after="0"/>
            </w:pPr>
            <w:r/>
            <w:r>
              <w:rPr>
                <w:rFonts w:ascii="Aptos" w:hAnsi="Aptos"/>
                <w:b w:val="0"/>
                <w:sz w:val="16"/>
              </w:rPr>
              <w:t>Network IDS/IPS/NSM</w:t>
            </w:r>
          </w:p>
        </w:tc>
        <w:tc>
          <w:tcPr>
            <w:tcW w:type="dxa" w:w="5184"/>
            <w:vAlign w:val="center"/>
          </w:tcPr>
          <w:p>
            <w:pPr>
              <w:spacing w:after="0"/>
            </w:pPr>
            <w:r/>
            <w:r>
              <w:rPr>
                <w:rFonts w:ascii="Aptos" w:hAnsi="Aptos"/>
                <w:b w:val="0"/>
                <w:sz w:val="16"/>
              </w:rPr>
              <w:t>Detect suspicious network signatures, protocol anomalies and known malicious patterns.</w:t>
            </w:r>
          </w:p>
        </w:tc>
      </w:tr>
      <w:tr>
        <w:tc>
          <w:tcPr>
            <w:tcW w:type="dxa" w:w="2160"/>
            <w:vAlign w:val="center"/>
          </w:tcPr>
          <w:p>
            <w:pPr>
              <w:spacing w:after="0"/>
            </w:pPr>
            <w:r/>
            <w:r>
              <w:rPr>
                <w:rFonts w:ascii="Aptos" w:hAnsi="Aptos"/>
                <w:b w:val="0"/>
                <w:sz w:val="16"/>
              </w:rPr>
              <w:t>Wazuh</w:t>
            </w:r>
          </w:p>
        </w:tc>
        <w:tc>
          <w:tcPr>
            <w:tcW w:type="dxa" w:w="2736"/>
            <w:vAlign w:val="center"/>
          </w:tcPr>
          <w:p>
            <w:pPr>
              <w:spacing w:after="0"/>
            </w:pPr>
            <w:r/>
            <w:r>
              <w:rPr>
                <w:rFonts w:ascii="Aptos" w:hAnsi="Aptos"/>
                <w:b w:val="0"/>
                <w:sz w:val="16"/>
              </w:rPr>
              <w:t>Endpoint + SIEM/XDR</w:t>
            </w:r>
          </w:p>
        </w:tc>
        <w:tc>
          <w:tcPr>
            <w:tcW w:type="dxa" w:w="5184"/>
            <w:vAlign w:val="center"/>
          </w:tcPr>
          <w:p>
            <w:pPr>
              <w:spacing w:after="0"/>
            </w:pPr>
            <w:r/>
            <w:r>
              <w:rPr>
                <w:rFonts w:ascii="Aptos" w:hAnsi="Aptos"/>
                <w:b w:val="0"/>
                <w:sz w:val="16"/>
              </w:rPr>
              <w:t>Collect endpoint logs, file-integrity events, configuration findings and security alerts.</w:t>
            </w:r>
          </w:p>
        </w:tc>
      </w:tr>
      <w:tr>
        <w:tc>
          <w:tcPr>
            <w:tcW w:type="dxa" w:w="2160"/>
            <w:vAlign w:val="center"/>
          </w:tcPr>
          <w:p>
            <w:pPr>
              <w:spacing w:after="0"/>
            </w:pPr>
            <w:r/>
            <w:r>
              <w:rPr>
                <w:rFonts w:ascii="Aptos" w:hAnsi="Aptos"/>
                <w:b w:val="0"/>
                <w:sz w:val="16"/>
              </w:rPr>
              <w:t>Zeek</w:t>
            </w:r>
          </w:p>
        </w:tc>
        <w:tc>
          <w:tcPr>
            <w:tcW w:type="dxa" w:w="2736"/>
            <w:vAlign w:val="center"/>
          </w:tcPr>
          <w:p>
            <w:pPr>
              <w:spacing w:after="0"/>
            </w:pPr>
            <w:r/>
            <w:r>
              <w:rPr>
                <w:rFonts w:ascii="Aptos" w:hAnsi="Aptos"/>
                <w:b w:val="0"/>
                <w:sz w:val="16"/>
              </w:rPr>
              <w:t>Network security monitoring</w:t>
            </w:r>
          </w:p>
        </w:tc>
        <w:tc>
          <w:tcPr>
            <w:tcW w:type="dxa" w:w="5184"/>
            <w:vAlign w:val="center"/>
          </w:tcPr>
          <w:p>
            <w:pPr>
              <w:spacing w:after="0"/>
            </w:pPr>
            <w:r/>
            <w:r>
              <w:rPr>
                <w:rFonts w:ascii="Aptos" w:hAnsi="Aptos"/>
                <w:b w:val="0"/>
                <w:sz w:val="16"/>
              </w:rPr>
              <w:t>Provide rich network metadata for investigation and anomaly analysis.</w:t>
            </w:r>
          </w:p>
        </w:tc>
      </w:tr>
      <w:tr>
        <w:tc>
          <w:tcPr>
            <w:tcW w:type="dxa" w:w="2160"/>
            <w:vAlign w:val="center"/>
          </w:tcPr>
          <w:p>
            <w:pPr>
              <w:spacing w:after="0"/>
            </w:pPr>
            <w:r/>
            <w:r>
              <w:rPr>
                <w:rFonts w:ascii="Aptos" w:hAnsi="Aptos"/>
                <w:b w:val="0"/>
                <w:sz w:val="16"/>
              </w:rPr>
              <w:t>OpenSearch / similar log store</w:t>
            </w:r>
          </w:p>
        </w:tc>
        <w:tc>
          <w:tcPr>
            <w:tcW w:type="dxa" w:w="2736"/>
            <w:vAlign w:val="center"/>
          </w:tcPr>
          <w:p>
            <w:pPr>
              <w:spacing w:after="0"/>
            </w:pPr>
            <w:r/>
            <w:r>
              <w:rPr>
                <w:rFonts w:ascii="Aptos" w:hAnsi="Aptos"/>
                <w:b w:val="0"/>
                <w:sz w:val="16"/>
              </w:rPr>
              <w:t>Centralized search and dashboards</w:t>
            </w:r>
          </w:p>
        </w:tc>
        <w:tc>
          <w:tcPr>
            <w:tcW w:type="dxa" w:w="5184"/>
            <w:vAlign w:val="center"/>
          </w:tcPr>
          <w:p>
            <w:pPr>
              <w:spacing w:after="0"/>
            </w:pPr>
            <w:r/>
            <w:r>
              <w:rPr>
                <w:rFonts w:ascii="Aptos" w:hAnsi="Aptos"/>
                <w:b w:val="0"/>
                <w:sz w:val="16"/>
              </w:rPr>
              <w:t>Aggregate and query normalized logs and alerts.</w:t>
            </w:r>
          </w:p>
        </w:tc>
      </w:tr>
      <w:tr>
        <w:tc>
          <w:tcPr>
            <w:tcW w:type="dxa" w:w="2160"/>
            <w:vAlign w:val="center"/>
          </w:tcPr>
          <w:p>
            <w:pPr>
              <w:spacing w:after="0"/>
            </w:pPr>
            <w:r/>
            <w:r>
              <w:rPr>
                <w:rFonts w:ascii="Aptos" w:hAnsi="Aptos"/>
                <w:b w:val="0"/>
                <w:sz w:val="16"/>
              </w:rPr>
              <w:t>Auditd / OS audit logs</w:t>
            </w:r>
          </w:p>
        </w:tc>
        <w:tc>
          <w:tcPr>
            <w:tcW w:type="dxa" w:w="2736"/>
            <w:vAlign w:val="center"/>
          </w:tcPr>
          <w:p>
            <w:pPr>
              <w:spacing w:after="0"/>
            </w:pPr>
            <w:r/>
            <w:r>
              <w:rPr>
                <w:rFonts w:ascii="Aptos" w:hAnsi="Aptos"/>
                <w:b w:val="0"/>
                <w:sz w:val="16"/>
              </w:rPr>
              <w:t>Host auditing</w:t>
            </w:r>
          </w:p>
        </w:tc>
        <w:tc>
          <w:tcPr>
            <w:tcW w:type="dxa" w:w="5184"/>
            <w:vAlign w:val="center"/>
          </w:tcPr>
          <w:p>
            <w:pPr>
              <w:spacing w:after="0"/>
            </w:pPr>
            <w:r/>
            <w:r>
              <w:rPr>
                <w:rFonts w:ascii="Aptos" w:hAnsi="Aptos"/>
                <w:b w:val="0"/>
                <w:sz w:val="16"/>
              </w:rPr>
              <w:t>Track privileged commands, process and authentication activity.</w:t>
            </w:r>
          </w:p>
        </w:tc>
      </w:tr>
      <w:tr>
        <w:tc>
          <w:tcPr>
            <w:tcW w:type="dxa" w:w="2160"/>
            <w:vAlign w:val="center"/>
          </w:tcPr>
          <w:p>
            <w:pPr>
              <w:spacing w:after="0"/>
            </w:pPr>
            <w:r/>
            <w:r>
              <w:rPr>
                <w:rFonts w:ascii="Aptos" w:hAnsi="Aptos"/>
                <w:b w:val="0"/>
                <w:sz w:val="16"/>
              </w:rPr>
              <w:t>ClamAV or enterprise malware tooling</w:t>
            </w:r>
          </w:p>
        </w:tc>
        <w:tc>
          <w:tcPr>
            <w:tcW w:type="dxa" w:w="2736"/>
            <w:vAlign w:val="center"/>
          </w:tcPr>
          <w:p>
            <w:pPr>
              <w:spacing w:after="0"/>
            </w:pPr>
            <w:r/>
            <w:r>
              <w:rPr>
                <w:rFonts w:ascii="Aptos" w:hAnsi="Aptos"/>
                <w:b w:val="0"/>
                <w:sz w:val="16"/>
              </w:rPr>
              <w:t>Malware screening</w:t>
            </w:r>
          </w:p>
        </w:tc>
        <w:tc>
          <w:tcPr>
            <w:tcW w:type="dxa" w:w="5184"/>
            <w:vAlign w:val="center"/>
          </w:tcPr>
          <w:p>
            <w:pPr>
              <w:spacing w:after="0"/>
            </w:pPr>
            <w:r/>
            <w:r>
              <w:rPr>
                <w:rFonts w:ascii="Aptos" w:hAnsi="Aptos"/>
                <w:b w:val="0"/>
                <w:sz w:val="16"/>
              </w:rPr>
              <w:t>Support malware triage where appropriate.</w:t>
            </w:r>
          </w:p>
        </w:tc>
      </w:tr>
    </w:tbl>
    <w:p>
      <w:pPr>
        <w:spacing w:after="20"/>
      </w:pPr>
    </w:p>
    <w:p>
      <w:pPr>
        <w:pStyle w:val="Heading2"/>
      </w:pPr>
      <w:r>
        <w:t>4.2 Telemetry sources</w:t>
      </w:r>
    </w:p>
    <w:p>
      <w:pPr>
        <w:pStyle w:val="ListBullet"/>
        <w:spacing w:after="40"/>
        <w:ind w:left="259"/>
      </w:pPr>
      <w:r>
        <w:t>Identity: authentication successes/failures, MFA events, password changes, privileged-role changes, token creation and session anomalies.</w:t>
      </w:r>
    </w:p>
    <w:p>
      <w:pPr>
        <w:pStyle w:val="ListBullet"/>
        <w:spacing w:after="40"/>
        <w:ind w:left="259"/>
      </w:pPr>
      <w:r>
        <w:t>Application: API calls, authorization failures, unusual request rates, administrative actions and error spikes.</w:t>
      </w:r>
    </w:p>
    <w:p>
      <w:pPr>
        <w:pStyle w:val="ListBullet"/>
        <w:spacing w:after="40"/>
        <w:ind w:left="259"/>
      </w:pPr>
      <w:r>
        <w:t>Network: firewall, DNS, proxy, VPN, IDS/IPS and flow telemetry.</w:t>
      </w:r>
    </w:p>
    <w:p>
      <w:pPr>
        <w:pStyle w:val="ListBullet"/>
        <w:spacing w:after="40"/>
        <w:ind w:left="259"/>
      </w:pPr>
      <w:r>
        <w:t>Endpoint: process creation, service changes, file-integrity events, login events and security-tool status.</w:t>
      </w:r>
    </w:p>
    <w:p>
      <w:pPr>
        <w:pStyle w:val="ListBullet"/>
        <w:spacing w:after="40"/>
        <w:ind w:left="259"/>
      </w:pPr>
      <w:r>
        <w:t>Database: privileged queries, bulk reads, schema changes, failed authentication and unusual query volume.</w:t>
      </w:r>
    </w:p>
    <w:p>
      <w:pPr>
        <w:pStyle w:val="ListBullet"/>
        <w:spacing w:after="40"/>
        <w:ind w:left="259"/>
      </w:pPr>
      <w:r>
        <w:t>Cloud: control-plane events, storage access, security-group changes and suspicious API activity.</w:t>
      </w:r>
    </w:p>
    <w:p>
      <w:pPr>
        <w:pStyle w:val="Heading1"/>
      </w:pPr>
      <w:r>
        <w:t>5. Real-Time Detection, Log Analysis and Anomaly Detection</w:t>
      </w:r>
    </w:p>
    <w:p>
      <w:r>
        <w:t>Detection should combine signature-based rules with behavioural analysis. Signatures are efficient for known patterns; anomaly detection is valuable when the attacker uses valid credentials or previously unseen techniques.</w:t>
      </w:r>
    </w:p>
    <w:p>
      <w:pPr>
        <w:pStyle w:val="Heading2"/>
      </w:pPr>
      <w:r>
        <w:t>5.1 Detection rules</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E7EAF0"/>
          </w:tcPr>
          <w:p>
            <w:pPr>
              <w:spacing w:after="0"/>
            </w:pPr>
            <w:r/>
            <w:r>
              <w:rPr>
                <w:rFonts w:ascii="Aptos" w:hAnsi="Aptos"/>
                <w:b/>
                <w:sz w:val="16"/>
              </w:rPr>
              <w:t>Signal</w:t>
            </w:r>
          </w:p>
        </w:tc>
        <w:tc>
          <w:tcPr>
            <w:tcW w:type="dxa" w:w="7056"/>
            <w:vAlign w:val="center"/>
            <w:shd w:fill="E7EAF0"/>
          </w:tcPr>
          <w:p>
            <w:pPr>
              <w:spacing w:after="0"/>
            </w:pPr>
            <w:r/>
            <w:r>
              <w:rPr>
                <w:rFonts w:ascii="Aptos" w:hAnsi="Aptos"/>
                <w:b/>
                <w:sz w:val="16"/>
              </w:rPr>
              <w:t>Rule / analytic</w:t>
            </w:r>
          </w:p>
        </w:tc>
        <w:tc>
          <w:tcPr>
            <w:tcW w:type="dxa" w:w="1152"/>
            <w:vAlign w:val="center"/>
            <w:shd w:fill="E7EAF0"/>
          </w:tcPr>
          <w:p>
            <w:pPr>
              <w:spacing w:after="0"/>
            </w:pPr>
            <w:r/>
            <w:r>
              <w:rPr>
                <w:rFonts w:ascii="Aptos" w:hAnsi="Aptos"/>
                <w:b/>
                <w:sz w:val="16"/>
              </w:rPr>
              <w:t>Priority</w:t>
            </w:r>
          </w:p>
        </w:tc>
      </w:tr>
      <w:tr>
        <w:tc>
          <w:tcPr>
            <w:tcW w:type="dxa" w:w="2016"/>
            <w:vAlign w:val="center"/>
          </w:tcPr>
          <w:p>
            <w:pPr>
              <w:spacing w:after="0"/>
            </w:pPr>
            <w:r/>
            <w:r>
              <w:rPr>
                <w:rFonts w:ascii="Aptos" w:hAnsi="Aptos"/>
                <w:b w:val="0"/>
                <w:sz w:val="16"/>
              </w:rPr>
              <w:t>Authentication</w:t>
            </w:r>
          </w:p>
        </w:tc>
        <w:tc>
          <w:tcPr>
            <w:tcW w:type="dxa" w:w="7056"/>
            <w:vAlign w:val="center"/>
          </w:tcPr>
          <w:p>
            <w:pPr>
              <w:spacing w:after="0"/>
            </w:pPr>
            <w:r/>
            <w:r>
              <w:rPr>
                <w:rFonts w:ascii="Aptos" w:hAnsi="Aptos"/>
                <w:b w:val="0"/>
                <w:sz w:val="16"/>
              </w:rPr>
              <w:t>Successful privileged login following repeated failures, especially from a new country/device/time window.</w:t>
            </w:r>
          </w:p>
        </w:tc>
        <w:tc>
          <w:tcPr>
            <w:tcW w:type="dxa" w:w="1152"/>
            <w:vAlign w:val="center"/>
          </w:tcPr>
          <w:p>
            <w:pPr>
              <w:spacing w:after="0"/>
            </w:pPr>
            <w:r/>
            <w:r>
              <w:rPr>
                <w:rFonts w:ascii="Aptos" w:hAnsi="Aptos"/>
                <w:b w:val="0"/>
                <w:sz w:val="16"/>
              </w:rPr>
              <w:t>High</w:t>
            </w:r>
          </w:p>
        </w:tc>
      </w:tr>
      <w:tr>
        <w:tc>
          <w:tcPr>
            <w:tcW w:type="dxa" w:w="2016"/>
            <w:vAlign w:val="center"/>
          </w:tcPr>
          <w:p>
            <w:pPr>
              <w:spacing w:after="0"/>
            </w:pPr>
            <w:r/>
            <w:r>
              <w:rPr>
                <w:rFonts w:ascii="Aptos" w:hAnsi="Aptos"/>
                <w:b w:val="0"/>
                <w:sz w:val="16"/>
              </w:rPr>
              <w:t>Privilege</w:t>
            </w:r>
          </w:p>
        </w:tc>
        <w:tc>
          <w:tcPr>
            <w:tcW w:type="dxa" w:w="7056"/>
            <w:vAlign w:val="center"/>
          </w:tcPr>
          <w:p>
            <w:pPr>
              <w:spacing w:after="0"/>
            </w:pPr>
            <w:r/>
            <w:r>
              <w:rPr>
                <w:rFonts w:ascii="Aptos" w:hAnsi="Aptos"/>
                <w:b w:val="0"/>
                <w:sz w:val="16"/>
              </w:rPr>
              <w:t>New administrator role, service account or API token created outside an approved change.</w:t>
            </w:r>
          </w:p>
        </w:tc>
        <w:tc>
          <w:tcPr>
            <w:tcW w:type="dxa" w:w="1152"/>
            <w:vAlign w:val="center"/>
          </w:tcPr>
          <w:p>
            <w:pPr>
              <w:spacing w:after="0"/>
            </w:pPr>
            <w:r/>
            <w:r>
              <w:rPr>
                <w:rFonts w:ascii="Aptos" w:hAnsi="Aptos"/>
                <w:b w:val="0"/>
                <w:sz w:val="16"/>
              </w:rPr>
              <w:t>Critical</w:t>
            </w:r>
          </w:p>
        </w:tc>
      </w:tr>
      <w:tr>
        <w:tc>
          <w:tcPr>
            <w:tcW w:type="dxa" w:w="2016"/>
            <w:vAlign w:val="center"/>
          </w:tcPr>
          <w:p>
            <w:pPr>
              <w:spacing w:after="0"/>
            </w:pPr>
            <w:r/>
            <w:r>
              <w:rPr>
                <w:rFonts w:ascii="Aptos" w:hAnsi="Aptos"/>
                <w:b w:val="0"/>
                <w:sz w:val="16"/>
              </w:rPr>
              <w:t>Network</w:t>
            </w:r>
          </w:p>
        </w:tc>
        <w:tc>
          <w:tcPr>
            <w:tcW w:type="dxa" w:w="7056"/>
            <w:vAlign w:val="center"/>
          </w:tcPr>
          <w:p>
            <w:pPr>
              <w:spacing w:after="0"/>
            </w:pPr>
            <w:r/>
            <w:r>
              <w:rPr>
                <w:rFonts w:ascii="Aptos" w:hAnsi="Aptos"/>
                <w:b w:val="0"/>
                <w:sz w:val="16"/>
              </w:rPr>
              <w:t>Server initiates outbound connection to a rare destination immediately after a suspicious process starts.</w:t>
            </w:r>
          </w:p>
        </w:tc>
        <w:tc>
          <w:tcPr>
            <w:tcW w:type="dxa" w:w="1152"/>
            <w:vAlign w:val="center"/>
          </w:tcPr>
          <w:p>
            <w:pPr>
              <w:spacing w:after="0"/>
            </w:pPr>
            <w:r/>
            <w:r>
              <w:rPr>
                <w:rFonts w:ascii="Aptos" w:hAnsi="Aptos"/>
                <w:b w:val="0"/>
                <w:sz w:val="16"/>
              </w:rPr>
              <w:t>High</w:t>
            </w:r>
          </w:p>
        </w:tc>
      </w:tr>
      <w:tr>
        <w:tc>
          <w:tcPr>
            <w:tcW w:type="dxa" w:w="2016"/>
            <w:vAlign w:val="center"/>
          </w:tcPr>
          <w:p>
            <w:pPr>
              <w:spacing w:after="0"/>
            </w:pPr>
            <w:r/>
            <w:r>
              <w:rPr>
                <w:rFonts w:ascii="Aptos" w:hAnsi="Aptos"/>
                <w:b w:val="0"/>
                <w:sz w:val="16"/>
              </w:rPr>
              <w:t>File integrity</w:t>
            </w:r>
          </w:p>
        </w:tc>
        <w:tc>
          <w:tcPr>
            <w:tcW w:type="dxa" w:w="7056"/>
            <w:vAlign w:val="center"/>
          </w:tcPr>
          <w:p>
            <w:pPr>
              <w:spacing w:after="0"/>
            </w:pPr>
            <w:r/>
            <w:r>
              <w:rPr>
                <w:rFonts w:ascii="Aptos" w:hAnsi="Aptos"/>
                <w:b w:val="0"/>
                <w:sz w:val="16"/>
              </w:rPr>
              <w:t>Web/application directory changes outside deployment window.</w:t>
            </w:r>
          </w:p>
        </w:tc>
        <w:tc>
          <w:tcPr>
            <w:tcW w:type="dxa" w:w="1152"/>
            <w:vAlign w:val="center"/>
          </w:tcPr>
          <w:p>
            <w:pPr>
              <w:spacing w:after="0"/>
            </w:pPr>
            <w:r/>
            <w:r>
              <w:rPr>
                <w:rFonts w:ascii="Aptos" w:hAnsi="Aptos"/>
                <w:b w:val="0"/>
                <w:sz w:val="16"/>
              </w:rPr>
              <w:t>High</w:t>
            </w:r>
          </w:p>
        </w:tc>
      </w:tr>
      <w:tr>
        <w:tc>
          <w:tcPr>
            <w:tcW w:type="dxa" w:w="2016"/>
            <w:vAlign w:val="center"/>
          </w:tcPr>
          <w:p>
            <w:pPr>
              <w:spacing w:after="0"/>
            </w:pPr>
            <w:r/>
            <w:r>
              <w:rPr>
                <w:rFonts w:ascii="Aptos" w:hAnsi="Aptos"/>
                <w:b w:val="0"/>
                <w:sz w:val="16"/>
              </w:rPr>
              <w:t>Database</w:t>
            </w:r>
          </w:p>
        </w:tc>
        <w:tc>
          <w:tcPr>
            <w:tcW w:type="dxa" w:w="7056"/>
            <w:vAlign w:val="center"/>
          </w:tcPr>
          <w:p>
            <w:pPr>
              <w:spacing w:after="0"/>
            </w:pPr>
            <w:r/>
            <w:r>
              <w:rPr>
                <w:rFonts w:ascii="Aptos" w:hAnsi="Aptos"/>
                <w:b w:val="0"/>
                <w:sz w:val="16"/>
              </w:rPr>
              <w:t>Unusual bulk read or export by a service/support identity.</w:t>
            </w:r>
          </w:p>
        </w:tc>
        <w:tc>
          <w:tcPr>
            <w:tcW w:type="dxa" w:w="1152"/>
            <w:vAlign w:val="center"/>
          </w:tcPr>
          <w:p>
            <w:pPr>
              <w:spacing w:after="0"/>
            </w:pPr>
            <w:r/>
            <w:r>
              <w:rPr>
                <w:rFonts w:ascii="Aptos" w:hAnsi="Aptos"/>
                <w:b w:val="0"/>
                <w:sz w:val="16"/>
              </w:rPr>
              <w:t>Critical</w:t>
            </w:r>
          </w:p>
        </w:tc>
      </w:tr>
      <w:tr>
        <w:tc>
          <w:tcPr>
            <w:tcW w:type="dxa" w:w="2016"/>
            <w:vAlign w:val="center"/>
          </w:tcPr>
          <w:p>
            <w:pPr>
              <w:spacing w:after="0"/>
            </w:pPr>
            <w:r/>
            <w:r>
              <w:rPr>
                <w:rFonts w:ascii="Aptos" w:hAnsi="Aptos"/>
                <w:b w:val="0"/>
                <w:sz w:val="16"/>
              </w:rPr>
              <w:t>Availability</w:t>
            </w:r>
          </w:p>
        </w:tc>
        <w:tc>
          <w:tcPr>
            <w:tcW w:type="dxa" w:w="7056"/>
            <w:vAlign w:val="center"/>
          </w:tcPr>
          <w:p>
            <w:pPr>
              <w:spacing w:after="0"/>
            </w:pPr>
            <w:r/>
            <w:r>
              <w:rPr>
                <w:rFonts w:ascii="Aptos" w:hAnsi="Aptos"/>
                <w:b w:val="0"/>
                <w:sz w:val="16"/>
              </w:rPr>
              <w:t>Sharp increase in 5xx responses, latency or failed transactions.</w:t>
            </w:r>
          </w:p>
        </w:tc>
        <w:tc>
          <w:tcPr>
            <w:tcW w:type="dxa" w:w="1152"/>
            <w:vAlign w:val="center"/>
          </w:tcPr>
          <w:p>
            <w:pPr>
              <w:spacing w:after="0"/>
            </w:pPr>
            <w:r/>
            <w:r>
              <w:rPr>
                <w:rFonts w:ascii="Aptos" w:hAnsi="Aptos"/>
                <w:b w:val="0"/>
                <w:sz w:val="16"/>
              </w:rPr>
              <w:t>High</w:t>
            </w:r>
          </w:p>
        </w:tc>
      </w:tr>
      <w:tr>
        <w:tc>
          <w:tcPr>
            <w:tcW w:type="dxa" w:w="2016"/>
            <w:vAlign w:val="center"/>
          </w:tcPr>
          <w:p>
            <w:pPr>
              <w:spacing w:after="0"/>
            </w:pPr>
            <w:r/>
            <w:r>
              <w:rPr>
                <w:rFonts w:ascii="Aptos" w:hAnsi="Aptos"/>
                <w:b w:val="0"/>
                <w:sz w:val="16"/>
              </w:rPr>
              <w:t>Security controls</w:t>
            </w:r>
          </w:p>
        </w:tc>
        <w:tc>
          <w:tcPr>
            <w:tcW w:type="dxa" w:w="7056"/>
            <w:vAlign w:val="center"/>
          </w:tcPr>
          <w:p>
            <w:pPr>
              <w:spacing w:after="0"/>
            </w:pPr>
            <w:r/>
            <w:r>
              <w:rPr>
                <w:rFonts w:ascii="Aptos" w:hAnsi="Aptos"/>
                <w:b w:val="0"/>
                <w:sz w:val="16"/>
              </w:rPr>
              <w:t>IDS/endpoint agent disabled or configuration altered.</w:t>
            </w:r>
          </w:p>
        </w:tc>
        <w:tc>
          <w:tcPr>
            <w:tcW w:type="dxa" w:w="1152"/>
            <w:vAlign w:val="center"/>
          </w:tcPr>
          <w:p>
            <w:pPr>
              <w:spacing w:after="0"/>
            </w:pPr>
            <w:r/>
            <w:r>
              <w:rPr>
                <w:rFonts w:ascii="Aptos" w:hAnsi="Aptos"/>
                <w:b w:val="0"/>
                <w:sz w:val="16"/>
              </w:rPr>
              <w:t>Critical</w:t>
            </w:r>
          </w:p>
        </w:tc>
      </w:tr>
    </w:tbl>
    <w:p>
      <w:pPr>
        <w:spacing w:after="20"/>
      </w:pPr>
    </w:p>
    <w:p>
      <w:pPr>
        <w:pStyle w:val="Heading2"/>
      </w:pPr>
      <w:r>
        <w:t>5.2 Log pipeline</w:t>
      </w:r>
    </w:p>
    <w:p>
      <w:pPr>
        <w:pStyle w:val="ListNumber"/>
        <w:spacing w:after="40"/>
      </w:pPr>
      <w:r>
        <w:t>Collect: ingest logs from identity, endpoints, network devices, applications, databases and cloud services.</w:t>
      </w:r>
    </w:p>
    <w:p>
      <w:pPr>
        <w:pStyle w:val="ListNumber"/>
        <w:spacing w:after="40"/>
      </w:pPr>
      <w:r>
        <w:t>Normalize: standardize timestamps, host names, user identifiers, source/destination addresses and event categories.</w:t>
      </w:r>
    </w:p>
    <w:p>
      <w:pPr>
        <w:pStyle w:val="ListNumber"/>
        <w:spacing w:after="40"/>
      </w:pPr>
      <w:r>
        <w:t>Enrich: attach asset criticality, user role, known threat indicators and geolocation where legally and operationally appropriate.</w:t>
      </w:r>
    </w:p>
    <w:p>
      <w:pPr>
        <w:pStyle w:val="ListNumber"/>
        <w:spacing w:after="40"/>
      </w:pPr>
      <w:r>
        <w:t>Correlate: connect related events into sequences rather than treating each alert independently.</w:t>
      </w:r>
    </w:p>
    <w:p>
      <w:pPr>
        <w:pStyle w:val="ListNumber"/>
        <w:spacing w:after="40"/>
      </w:pPr>
      <w:r>
        <w:t>Prioritize: score by confidence, business impact and attack stage.</w:t>
      </w:r>
    </w:p>
    <w:p>
      <w:pPr>
        <w:pStyle w:val="ListNumber"/>
        <w:spacing w:after="40"/>
      </w:pPr>
      <w:r>
        <w:t>Investigate: preserve the raw event and analyst notes so the conclusion can be reproduced.</w:t>
      </w:r>
    </w:p>
    <w:p>
      <w:pPr>
        <w:pStyle w:val="Heading2"/>
      </w:pPr>
      <w:r>
        <w:t>5.3 Anomaly detection examples</w:t>
      </w:r>
    </w:p>
    <w:p>
      <w:pPr>
        <w:pStyle w:val="ListBullet"/>
        <w:spacing w:after="40"/>
        <w:ind w:left="259"/>
      </w:pPr>
      <w:r>
        <w:t>Baseline normal login hours for privileged staff and flag statistically unusual access times.</w:t>
      </w:r>
    </w:p>
    <w:p>
      <w:pPr>
        <w:pStyle w:val="ListBullet"/>
        <w:spacing w:after="40"/>
        <w:ind w:left="259"/>
      </w:pPr>
      <w:r>
        <w:t>Compare API request rates to each account's historical baseline; trigger on sustained deviations rather than one noisy spike.</w:t>
      </w:r>
    </w:p>
    <w:p>
      <w:pPr>
        <w:pStyle w:val="ListBullet"/>
        <w:spacing w:after="40"/>
        <w:ind w:left="259"/>
      </w:pPr>
      <w:r>
        <w:t>Detect unusual outbound data volume from application servers.</w:t>
      </w:r>
    </w:p>
    <w:p>
      <w:pPr>
        <w:pStyle w:val="ListBullet"/>
        <w:spacing w:after="40"/>
        <w:ind w:left="259"/>
      </w:pPr>
      <w:r>
        <w:t>Use peer-group analysis: a service account behaving differently from similar service accounts may indicate compromise.</w:t>
      </w:r>
    </w:p>
    <w:p>
      <w:pPr>
        <w:pStyle w:val="ListBullet"/>
        <w:spacing w:after="40"/>
        <w:ind w:left="259"/>
      </w:pPr>
      <w:r>
        <w:t>Detect impossible or implausible access patterns, such as rapid changes of network origin combined with privileged activity.</w:t>
      </w:r>
    </w:p>
    <w:p>
      <w:pPr>
        <w:pStyle w:val="ListBullet"/>
        <w:spacing w:after="40"/>
        <w:ind w:left="259"/>
      </w:pPr>
      <w:r>
        <w:t>Use change windows to reduce false positives: deployments, maintenance and approved bulk operations should be explicitly tagged.</w:t>
      </w:r>
    </w:p>
    <w:tbl>
      <w:tblPr>
        <w:tblStyle w:val="TableGrid"/>
        <w:tblW w:type="auto" w:w="0"/>
        <w:tblLook w:firstColumn="1" w:firstRow="1" w:lastColumn="0" w:lastRow="0" w:noHBand="0" w:noVBand="1" w:val="04A0"/>
      </w:tblPr>
      <w:tblGrid>
        <w:gridCol w:w="10166"/>
      </w:tblGrid>
      <w:tr>
        <w:tc>
          <w:tcPr>
            <w:tcW w:type="dxa" w:w="10166"/>
            <w:shd w:fill="F3F5F7"/>
          </w:tcPr>
          <w:p>
            <w:r>
              <w:rPr>
                <w:b/>
                <w:sz w:val="18"/>
              </w:rPr>
              <w:t>Important</w:t>
              <w:br/>
            </w:r>
            <w:r>
              <w:rPr>
                <w:sz w:val="17"/>
              </w:rPr>
              <w:t>Anomaly alerts are decision-support signals, not automatic proof of compromise. Every high-impact automated response should be protected by confidence thresholds, allow-lists and an analyst approval path unless a pre-authorized containment playbook applies.</w:t>
            </w:r>
          </w:p>
        </w:tc>
      </w:tr>
    </w:tbl>
    <w:p>
      <w:pPr>
        <w:spacing w:after="0"/>
      </w:pPr>
    </w:p>
    <w:p>
      <w:r>
        <w:br w:type="page"/>
      </w:r>
    </w:p>
    <w:p>
      <w:pPr>
        <w:pStyle w:val="Heading1"/>
      </w:pPr>
      <w:r>
        <w:t>6. Incident Handling and Response Strategy</w:t>
      </w:r>
    </w:p>
    <w:p>
      <w:r>
        <w:t>The response process is organized around preparation, detection and analysis, containment, eradication, recovery and post-incident improvement. NIST SP 800-61 Rev. 3 emphasizes integrating incident response into broader cybersecurity risk management rather than treating it as an isolated emergency procedure.</w:t>
      </w:r>
    </w:p>
    <w:p>
      <w:pPr>
        <w:pStyle w:val="Heading2"/>
      </w:pPr>
      <w:r>
        <w:t>6.1 Preparation</w:t>
      </w:r>
    </w:p>
    <w:p>
      <w:pPr>
        <w:pStyle w:val="ListBullet"/>
        <w:spacing w:after="40"/>
        <w:ind w:left="259"/>
      </w:pPr>
      <w:r>
        <w:t>Maintain an incident response policy approved by management and reviewed at least annually.</w:t>
      </w:r>
    </w:p>
    <w:p>
      <w:pPr>
        <w:pStyle w:val="ListBullet"/>
        <w:spacing w:after="40"/>
        <w:ind w:left="259"/>
      </w:pPr>
      <w:r>
        <w:t>Maintain an asset inventory with criticality, owners, dependencies and recovery priorities.</w:t>
      </w:r>
    </w:p>
    <w:p>
      <w:pPr>
        <w:pStyle w:val="ListBullet"/>
        <w:spacing w:after="40"/>
        <w:ind w:left="259"/>
      </w:pPr>
      <w:r>
        <w:t>Define on-call contacts for SOC, IT operations, application owners, management, legal/privacy, communications and vendors.</w:t>
      </w:r>
    </w:p>
    <w:p>
      <w:pPr>
        <w:pStyle w:val="ListBullet"/>
        <w:spacing w:after="40"/>
        <w:ind w:left="259"/>
      </w:pPr>
      <w:r>
        <w:t>Pre-stage forensic collection procedures, secure evidence storage and time-synchronized systems.</w:t>
      </w:r>
    </w:p>
    <w:p>
      <w:pPr>
        <w:pStyle w:val="ListBullet"/>
        <w:spacing w:after="40"/>
        <w:ind w:left="259"/>
      </w:pPr>
      <w:r>
        <w:t>Maintain tested offline/immutable backups and document recovery dependencies.</w:t>
      </w:r>
    </w:p>
    <w:p>
      <w:pPr>
        <w:pStyle w:val="ListBullet"/>
        <w:spacing w:after="40"/>
        <w:ind w:left="259"/>
      </w:pPr>
      <w:r>
        <w:t>Run tabletop exercises and technical simulations at least periodically.</w:t>
      </w:r>
    </w:p>
    <w:p>
      <w:pPr>
        <w:pStyle w:val="Heading2"/>
      </w:pPr>
      <w:r>
        <w:t>6.2 Detection and analysis</w:t>
      </w:r>
    </w:p>
    <w:p>
      <w:pPr>
        <w:pStyle w:val="ListBullet"/>
        <w:spacing w:after="40"/>
        <w:ind w:left="259"/>
      </w:pPr>
      <w:r>
        <w:t>Validate whether the alert represents a true security incident.</w:t>
      </w:r>
    </w:p>
    <w:p>
      <w:pPr>
        <w:pStyle w:val="ListBullet"/>
        <w:spacing w:after="40"/>
        <w:ind w:left="259"/>
      </w:pPr>
      <w:r>
        <w:t>Identify affected accounts, systems, data and services.</w:t>
      </w:r>
    </w:p>
    <w:p>
      <w:pPr>
        <w:pStyle w:val="ListBullet"/>
        <w:spacing w:after="40"/>
        <w:ind w:left="259"/>
      </w:pPr>
      <w:r>
        <w:t>Create an incident timeline using synchronized timestamps.</w:t>
      </w:r>
    </w:p>
    <w:p>
      <w:pPr>
        <w:pStyle w:val="ListBullet"/>
        <w:spacing w:after="40"/>
        <w:ind w:left="259"/>
      </w:pPr>
      <w:r>
        <w:t>Determine attack vector, scope, persistence and potential data exposure.</w:t>
      </w:r>
    </w:p>
    <w:p>
      <w:pPr>
        <w:pStyle w:val="ListBullet"/>
        <w:spacing w:after="40"/>
        <w:ind w:left="259"/>
      </w:pPr>
      <w:r>
        <w:t>Assign severity and an incident commander for SEV-1/SEV-2 events.</w:t>
      </w:r>
    </w:p>
    <w:p>
      <w:pPr>
        <w:pStyle w:val="Heading2"/>
      </w:pPr>
      <w:r>
        <w:t>6.3 Containment</w:t>
      </w:r>
    </w:p>
    <w:p>
      <w:pPr>
        <w:pStyle w:val="ListBullet"/>
        <w:spacing w:after="40"/>
        <w:ind w:left="259"/>
      </w:pPr>
      <w:r>
        <w:t>Disable or constrain compromised accounts, sessions, tokens and credentials.</w:t>
      </w:r>
    </w:p>
    <w:p>
      <w:pPr>
        <w:pStyle w:val="ListBullet"/>
        <w:spacing w:after="40"/>
        <w:ind w:left="259"/>
      </w:pPr>
      <w:r>
        <w:t>Isolate affected hosts using endpoint/network controls while preserving evidence.</w:t>
      </w:r>
    </w:p>
    <w:p>
      <w:pPr>
        <w:pStyle w:val="ListBullet"/>
        <w:spacing w:after="40"/>
        <w:ind w:left="259"/>
      </w:pPr>
      <w:r>
        <w:t>Block malicious domains, addresses or indicators where confidence is sufficient.</w:t>
      </w:r>
    </w:p>
    <w:p>
      <w:pPr>
        <w:pStyle w:val="ListBullet"/>
        <w:spacing w:after="40"/>
        <w:ind w:left="259"/>
      </w:pPr>
      <w:r>
        <w:t>Apply temporary access controls or rate limits to protect public services.</w:t>
      </w:r>
    </w:p>
    <w:p>
      <w:pPr>
        <w:pStyle w:val="ListBullet"/>
        <w:spacing w:after="40"/>
        <w:ind w:left="259"/>
      </w:pPr>
      <w:r>
        <w:t>Preserve volatile and persistent evidence according to the organization's forensic procedure.</w:t>
      </w:r>
    </w:p>
    <w:p>
      <w:pPr>
        <w:pStyle w:val="ListBullet"/>
        <w:spacing w:after="40"/>
        <w:ind w:left="259"/>
      </w:pPr>
      <w:r>
        <w:t>Record every containment action, time, author and expected effect.</w:t>
      </w:r>
    </w:p>
    <w:p>
      <w:pPr>
        <w:pStyle w:val="Heading2"/>
      </w:pPr>
      <w:r>
        <w:t>6.4 Eradication</w:t>
      </w:r>
    </w:p>
    <w:p>
      <w:pPr>
        <w:pStyle w:val="ListBullet"/>
        <w:spacing w:after="40"/>
        <w:ind w:left="259"/>
      </w:pPr>
      <w:r>
        <w:t>Remove malicious files, unauthorized accounts, persistence mechanisms and rogue tokens.</w:t>
      </w:r>
    </w:p>
    <w:p>
      <w:pPr>
        <w:pStyle w:val="ListBullet"/>
        <w:spacing w:after="40"/>
        <w:ind w:left="259"/>
      </w:pPr>
      <w:r>
        <w:t>Patch or mitigate the exploited weakness and verify the fix.</w:t>
      </w:r>
    </w:p>
    <w:p>
      <w:pPr>
        <w:pStyle w:val="ListBullet"/>
        <w:spacing w:after="40"/>
        <w:ind w:left="259"/>
      </w:pPr>
      <w:r>
        <w:t>Rotate credentials, keys, secrets and certificates that may have been exposed.</w:t>
      </w:r>
    </w:p>
    <w:p>
      <w:pPr>
        <w:pStyle w:val="ListBullet"/>
        <w:spacing w:after="40"/>
        <w:ind w:left="259"/>
      </w:pPr>
      <w:r>
        <w:t>Rebuild compromised systems from trusted images when integrity cannot be established.</w:t>
      </w:r>
    </w:p>
    <w:p>
      <w:pPr>
        <w:pStyle w:val="ListBullet"/>
        <w:spacing w:after="40"/>
        <w:ind w:left="259"/>
      </w:pPr>
      <w:r>
        <w:t>Threat-hunt across similar assets to identify additional compromise.</w:t>
      </w:r>
    </w:p>
    <w:p>
      <w:pPr>
        <w:pStyle w:val="Heading2"/>
      </w:pPr>
      <w:r>
        <w:t>6.5 Recovery</w:t>
      </w:r>
    </w:p>
    <w:p>
      <w:pPr>
        <w:pStyle w:val="ListBullet"/>
        <w:spacing w:after="40"/>
        <w:ind w:left="259"/>
      </w:pPr>
      <w:r>
        <w:t>Restore only from verified clean backups or trusted golden images.</w:t>
      </w:r>
    </w:p>
    <w:p>
      <w:pPr>
        <w:pStyle w:val="ListBullet"/>
        <w:spacing w:after="40"/>
        <w:ind w:left="259"/>
      </w:pPr>
      <w:r>
        <w:t>Validate application, database and security-control integrity before reopening access.</w:t>
      </w:r>
    </w:p>
    <w:p>
      <w:pPr>
        <w:pStyle w:val="ListBullet"/>
        <w:spacing w:after="40"/>
        <w:ind w:left="259"/>
      </w:pPr>
      <w:r>
        <w:t>Return services in controlled stages, starting with lower-risk components where practical.</w:t>
      </w:r>
    </w:p>
    <w:p>
      <w:pPr>
        <w:pStyle w:val="ListBullet"/>
        <w:spacing w:after="40"/>
        <w:ind w:left="259"/>
      </w:pPr>
      <w:r>
        <w:t>Monitor intensively for recurrence and keep heightened logging during the recovery window.</w:t>
      </w:r>
    </w:p>
    <w:p>
      <w:pPr>
        <w:pStyle w:val="ListBullet"/>
        <w:spacing w:after="40"/>
        <w:ind w:left="259"/>
      </w:pPr>
      <w:r>
        <w:t>Obtain service-owner sign-off before declaring business recovery complete.</w:t>
      </w:r>
    </w:p>
    <w:p>
      <w:r>
        <w:br w:type="page"/>
      </w:r>
    </w:p>
    <w:p>
      <w:pPr>
        <w:pStyle w:val="Heading1"/>
      </w:pPr>
      <w:r>
        <w:t>7. Communication and Escalation Protocol</w:t>
      </w:r>
    </w:p>
    <w:p>
      <w:r>
        <w:t>Incident communication must be fast, accurate and role-based. The incident commander owns the operational picture; technical responders provide facts; management makes business-risk decisions; legal/privacy and communications teams coordinate obligations and public messaging.</w:t>
      </w:r>
    </w:p>
    <w:p>
      <w:pPr>
        <w:pStyle w:val="Heading2"/>
      </w:pPr>
      <w:r>
        <w:t>7.1 Incident command structure</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E7EAF0"/>
          </w:tcPr>
          <w:p>
            <w:pPr>
              <w:spacing w:after="0"/>
            </w:pPr>
            <w:r/>
            <w:r>
              <w:rPr>
                <w:rFonts w:ascii="Aptos" w:hAnsi="Aptos"/>
                <w:b/>
                <w:sz w:val="16"/>
              </w:rPr>
              <w:t>Role</w:t>
            </w:r>
          </w:p>
        </w:tc>
        <w:tc>
          <w:tcPr>
            <w:tcW w:type="dxa" w:w="7920"/>
            <w:vAlign w:val="center"/>
            <w:shd w:fill="E7EAF0"/>
          </w:tcPr>
          <w:p>
            <w:pPr>
              <w:spacing w:after="0"/>
            </w:pPr>
            <w:r/>
            <w:r>
              <w:rPr>
                <w:rFonts w:ascii="Aptos" w:hAnsi="Aptos"/>
                <w:b/>
                <w:sz w:val="16"/>
              </w:rPr>
              <w:t>Primary responsibility</w:t>
            </w:r>
          </w:p>
        </w:tc>
      </w:tr>
      <w:tr>
        <w:tc>
          <w:tcPr>
            <w:tcW w:type="dxa" w:w="2448"/>
            <w:vAlign w:val="center"/>
          </w:tcPr>
          <w:p>
            <w:pPr>
              <w:spacing w:after="0"/>
            </w:pPr>
            <w:r/>
            <w:r>
              <w:rPr>
                <w:rFonts w:ascii="Aptos" w:hAnsi="Aptos"/>
                <w:b w:val="0"/>
                <w:sz w:val="16"/>
              </w:rPr>
              <w:t>Incident Commander</w:t>
            </w:r>
          </w:p>
        </w:tc>
        <w:tc>
          <w:tcPr>
            <w:tcW w:type="dxa" w:w="7920"/>
            <w:vAlign w:val="center"/>
          </w:tcPr>
          <w:p>
            <w:pPr>
              <w:spacing w:after="0"/>
            </w:pPr>
            <w:r/>
            <w:r>
              <w:rPr>
                <w:rFonts w:ascii="Aptos" w:hAnsi="Aptos"/>
                <w:b w:val="0"/>
                <w:sz w:val="16"/>
              </w:rPr>
              <w:t>Owns priorities, decisions, coordination and incident status.</w:t>
            </w:r>
          </w:p>
        </w:tc>
      </w:tr>
      <w:tr>
        <w:tc>
          <w:tcPr>
            <w:tcW w:type="dxa" w:w="2448"/>
            <w:vAlign w:val="center"/>
          </w:tcPr>
          <w:p>
            <w:pPr>
              <w:spacing w:after="0"/>
            </w:pPr>
            <w:r/>
            <w:r>
              <w:rPr>
                <w:rFonts w:ascii="Aptos" w:hAnsi="Aptos"/>
                <w:b w:val="0"/>
                <w:sz w:val="16"/>
              </w:rPr>
              <w:t>SOC Lead</w:t>
            </w:r>
          </w:p>
        </w:tc>
        <w:tc>
          <w:tcPr>
            <w:tcW w:type="dxa" w:w="7920"/>
            <w:vAlign w:val="center"/>
          </w:tcPr>
          <w:p>
            <w:pPr>
              <w:spacing w:after="0"/>
            </w:pPr>
            <w:r/>
            <w:r>
              <w:rPr>
                <w:rFonts w:ascii="Aptos" w:hAnsi="Aptos"/>
                <w:b w:val="0"/>
                <w:sz w:val="16"/>
              </w:rPr>
              <w:t>Coordinates alert validation, triage, threat hunting and technical evidence.</w:t>
            </w:r>
          </w:p>
        </w:tc>
      </w:tr>
      <w:tr>
        <w:tc>
          <w:tcPr>
            <w:tcW w:type="dxa" w:w="2448"/>
            <w:vAlign w:val="center"/>
          </w:tcPr>
          <w:p>
            <w:pPr>
              <w:spacing w:after="0"/>
            </w:pPr>
            <w:r/>
            <w:r>
              <w:rPr>
                <w:rFonts w:ascii="Aptos" w:hAnsi="Aptos"/>
                <w:b w:val="0"/>
                <w:sz w:val="16"/>
              </w:rPr>
              <w:t>IT / Platform Lead</w:t>
            </w:r>
          </w:p>
        </w:tc>
        <w:tc>
          <w:tcPr>
            <w:tcW w:type="dxa" w:w="7920"/>
            <w:vAlign w:val="center"/>
          </w:tcPr>
          <w:p>
            <w:pPr>
              <w:spacing w:after="0"/>
            </w:pPr>
            <w:r/>
            <w:r>
              <w:rPr>
                <w:rFonts w:ascii="Aptos" w:hAnsi="Aptos"/>
                <w:b w:val="0"/>
                <w:sz w:val="16"/>
              </w:rPr>
              <w:t>Executes isolation, patching, rebuilding and service restoration.</w:t>
            </w:r>
          </w:p>
        </w:tc>
      </w:tr>
      <w:tr>
        <w:tc>
          <w:tcPr>
            <w:tcW w:type="dxa" w:w="2448"/>
            <w:vAlign w:val="center"/>
          </w:tcPr>
          <w:p>
            <w:pPr>
              <w:spacing w:after="0"/>
            </w:pPr>
            <w:r/>
            <w:r>
              <w:rPr>
                <w:rFonts w:ascii="Aptos" w:hAnsi="Aptos"/>
                <w:b w:val="0"/>
                <w:sz w:val="16"/>
              </w:rPr>
              <w:t>Application / Data Owner</w:t>
            </w:r>
          </w:p>
        </w:tc>
        <w:tc>
          <w:tcPr>
            <w:tcW w:type="dxa" w:w="7920"/>
            <w:vAlign w:val="center"/>
          </w:tcPr>
          <w:p>
            <w:pPr>
              <w:spacing w:after="0"/>
            </w:pPr>
            <w:r/>
            <w:r>
              <w:rPr>
                <w:rFonts w:ascii="Aptos" w:hAnsi="Aptos"/>
                <w:b w:val="0"/>
                <w:sz w:val="16"/>
              </w:rPr>
              <w:t>Assesses application and data impact; validates functional recovery.</w:t>
            </w:r>
          </w:p>
        </w:tc>
      </w:tr>
      <w:tr>
        <w:tc>
          <w:tcPr>
            <w:tcW w:type="dxa" w:w="2448"/>
            <w:vAlign w:val="center"/>
          </w:tcPr>
          <w:p>
            <w:pPr>
              <w:spacing w:after="0"/>
            </w:pPr>
            <w:r/>
            <w:r>
              <w:rPr>
                <w:rFonts w:ascii="Aptos" w:hAnsi="Aptos"/>
                <w:b w:val="0"/>
                <w:sz w:val="16"/>
              </w:rPr>
              <w:t>IAM / Network Lead</w:t>
            </w:r>
          </w:p>
        </w:tc>
        <w:tc>
          <w:tcPr>
            <w:tcW w:type="dxa" w:w="7920"/>
            <w:vAlign w:val="center"/>
          </w:tcPr>
          <w:p>
            <w:pPr>
              <w:spacing w:after="0"/>
            </w:pPr>
            <w:r/>
            <w:r>
              <w:rPr>
                <w:rFonts w:ascii="Aptos" w:hAnsi="Aptos"/>
                <w:b w:val="0"/>
                <w:sz w:val="16"/>
              </w:rPr>
              <w:t>Controls identities, sessions, tokens, segmentation and network blocks.</w:t>
            </w:r>
          </w:p>
        </w:tc>
      </w:tr>
      <w:tr>
        <w:tc>
          <w:tcPr>
            <w:tcW w:type="dxa" w:w="2448"/>
            <w:vAlign w:val="center"/>
          </w:tcPr>
          <w:p>
            <w:pPr>
              <w:spacing w:after="0"/>
            </w:pPr>
            <w:r/>
            <w:r>
              <w:rPr>
                <w:rFonts w:ascii="Aptos" w:hAnsi="Aptos"/>
                <w:b w:val="0"/>
                <w:sz w:val="16"/>
              </w:rPr>
              <w:t>Legal / Privacy</w:t>
            </w:r>
          </w:p>
        </w:tc>
        <w:tc>
          <w:tcPr>
            <w:tcW w:type="dxa" w:w="7920"/>
            <w:vAlign w:val="center"/>
          </w:tcPr>
          <w:p>
            <w:pPr>
              <w:spacing w:after="0"/>
            </w:pPr>
            <w:r/>
            <w:r>
              <w:rPr>
                <w:rFonts w:ascii="Aptos" w:hAnsi="Aptos"/>
                <w:b w:val="0"/>
                <w:sz w:val="16"/>
              </w:rPr>
              <w:t>Advises on notification, evidence, contractual and regulatory obligations.</w:t>
            </w:r>
          </w:p>
        </w:tc>
      </w:tr>
      <w:tr>
        <w:tc>
          <w:tcPr>
            <w:tcW w:type="dxa" w:w="2448"/>
            <w:vAlign w:val="center"/>
          </w:tcPr>
          <w:p>
            <w:pPr>
              <w:spacing w:after="0"/>
            </w:pPr>
            <w:r/>
            <w:r>
              <w:rPr>
                <w:rFonts w:ascii="Aptos" w:hAnsi="Aptos"/>
                <w:b w:val="0"/>
                <w:sz w:val="16"/>
              </w:rPr>
              <w:t>Communications Lead</w:t>
            </w:r>
          </w:p>
        </w:tc>
        <w:tc>
          <w:tcPr>
            <w:tcW w:type="dxa" w:w="7920"/>
            <w:vAlign w:val="center"/>
          </w:tcPr>
          <w:p>
            <w:pPr>
              <w:spacing w:after="0"/>
            </w:pPr>
            <w:r/>
            <w:r>
              <w:rPr>
                <w:rFonts w:ascii="Aptos" w:hAnsi="Aptos"/>
                <w:b w:val="0"/>
                <w:sz w:val="16"/>
              </w:rPr>
              <w:t>Controls internal/external messaging and prevents conflicting statements.</w:t>
            </w:r>
          </w:p>
        </w:tc>
      </w:tr>
      <w:tr>
        <w:tc>
          <w:tcPr>
            <w:tcW w:type="dxa" w:w="2448"/>
            <w:vAlign w:val="center"/>
          </w:tcPr>
          <w:p>
            <w:pPr>
              <w:spacing w:after="0"/>
            </w:pPr>
            <w:r/>
            <w:r>
              <w:rPr>
                <w:rFonts w:ascii="Aptos" w:hAnsi="Aptos"/>
                <w:b w:val="0"/>
                <w:sz w:val="16"/>
              </w:rPr>
              <w:t>Executive Sponsor</w:t>
            </w:r>
          </w:p>
        </w:tc>
        <w:tc>
          <w:tcPr>
            <w:tcW w:type="dxa" w:w="7920"/>
            <w:vAlign w:val="center"/>
          </w:tcPr>
          <w:p>
            <w:pPr>
              <w:spacing w:after="0"/>
            </w:pPr>
            <w:r/>
            <w:r>
              <w:rPr>
                <w:rFonts w:ascii="Aptos" w:hAnsi="Aptos"/>
                <w:b w:val="0"/>
                <w:sz w:val="16"/>
              </w:rPr>
              <w:t>Approves major business decisions and crisis-level actions.</w:t>
            </w:r>
          </w:p>
        </w:tc>
      </w:tr>
    </w:tbl>
    <w:p>
      <w:pPr>
        <w:spacing w:after="20"/>
      </w:pPr>
    </w:p>
    <w:p>
      <w:pPr>
        <w:pStyle w:val="Heading2"/>
      </w:pPr>
      <w:r>
        <w:t>7.2 Escalation matrix</w:t>
      </w:r>
    </w:p>
    <w:tbl>
      <w:tblPr>
        <w:tblStyle w:val="TableGrid"/>
        <w:tblW w:type="auto" w:w="0"/>
        <w:jc w:val="center"/>
        <w:tblLook w:firstColumn="1" w:firstRow="1" w:lastColumn="0" w:lastRow="0" w:noHBand="0" w:noVBand="1" w:val="04A0"/>
      </w:tblPr>
      <w:tblGrid>
        <w:gridCol w:w="3389"/>
        <w:gridCol w:w="3389"/>
        <w:gridCol w:w="3389"/>
      </w:tblGrid>
      <w:tr>
        <w:tc>
          <w:tcPr>
            <w:tcW w:type="dxa" w:w="3600"/>
            <w:vAlign w:val="center"/>
            <w:shd w:fill="E7EAF0"/>
          </w:tcPr>
          <w:p>
            <w:pPr>
              <w:spacing w:after="0"/>
            </w:pPr>
            <w:r/>
            <w:r>
              <w:rPr>
                <w:rFonts w:ascii="Aptos" w:hAnsi="Aptos"/>
                <w:b/>
                <w:sz w:val="16"/>
              </w:rPr>
              <w:t>Trigger</w:t>
            </w:r>
          </w:p>
        </w:tc>
        <w:tc>
          <w:tcPr>
            <w:tcW w:type="dxa" w:w="4608"/>
            <w:vAlign w:val="center"/>
            <w:shd w:fill="E7EAF0"/>
          </w:tcPr>
          <w:p>
            <w:pPr>
              <w:spacing w:after="0"/>
            </w:pPr>
            <w:r/>
            <w:r>
              <w:rPr>
                <w:rFonts w:ascii="Aptos" w:hAnsi="Aptos"/>
                <w:b/>
                <w:sz w:val="16"/>
              </w:rPr>
              <w:t>Escalate to</w:t>
            </w:r>
          </w:p>
        </w:tc>
        <w:tc>
          <w:tcPr>
            <w:tcW w:type="dxa" w:w="2160"/>
            <w:vAlign w:val="center"/>
            <w:shd w:fill="E7EAF0"/>
          </w:tcPr>
          <w:p>
            <w:pPr>
              <w:spacing w:after="0"/>
            </w:pPr>
            <w:r/>
            <w:r>
              <w:rPr>
                <w:rFonts w:ascii="Aptos" w:hAnsi="Aptos"/>
                <w:b/>
                <w:sz w:val="16"/>
              </w:rPr>
              <w:t>Timing</w:t>
            </w:r>
          </w:p>
        </w:tc>
      </w:tr>
      <w:tr>
        <w:tc>
          <w:tcPr>
            <w:tcW w:type="dxa" w:w="3600"/>
            <w:vAlign w:val="center"/>
          </w:tcPr>
          <w:p>
            <w:pPr>
              <w:spacing w:after="0"/>
            </w:pPr>
            <w:r/>
            <w:r>
              <w:rPr>
                <w:rFonts w:ascii="Aptos" w:hAnsi="Aptos"/>
                <w:b w:val="0"/>
                <w:sz w:val="16"/>
              </w:rPr>
              <w:t>Confirmed privileged-account compromise</w:t>
            </w:r>
          </w:p>
        </w:tc>
        <w:tc>
          <w:tcPr>
            <w:tcW w:type="dxa" w:w="4608"/>
            <w:vAlign w:val="center"/>
          </w:tcPr>
          <w:p>
            <w:pPr>
              <w:spacing w:after="0"/>
            </w:pPr>
            <w:r/>
            <w:r>
              <w:rPr>
                <w:rFonts w:ascii="Aptos" w:hAnsi="Aptos"/>
                <w:b w:val="0"/>
                <w:sz w:val="16"/>
              </w:rPr>
              <w:t>SOC Lead + IAM + Incident Commander</w:t>
            </w:r>
          </w:p>
        </w:tc>
        <w:tc>
          <w:tcPr>
            <w:tcW w:type="dxa" w:w="2160"/>
            <w:vAlign w:val="center"/>
          </w:tcPr>
          <w:p>
            <w:pPr>
              <w:spacing w:after="0"/>
            </w:pPr>
            <w:r/>
            <w:r>
              <w:rPr>
                <w:rFonts w:ascii="Aptos" w:hAnsi="Aptos"/>
                <w:b w:val="0"/>
                <w:sz w:val="16"/>
              </w:rPr>
              <w:t>Immediately</w:t>
            </w:r>
          </w:p>
        </w:tc>
      </w:tr>
      <w:tr>
        <w:tc>
          <w:tcPr>
            <w:tcW w:type="dxa" w:w="3600"/>
            <w:vAlign w:val="center"/>
          </w:tcPr>
          <w:p>
            <w:pPr>
              <w:spacing w:after="0"/>
            </w:pPr>
            <w:r/>
            <w:r>
              <w:rPr>
                <w:rFonts w:ascii="Aptos" w:hAnsi="Aptos"/>
                <w:b w:val="0"/>
                <w:sz w:val="16"/>
              </w:rPr>
              <w:t>Possible citizen data exposure</w:t>
            </w:r>
          </w:p>
        </w:tc>
        <w:tc>
          <w:tcPr>
            <w:tcW w:type="dxa" w:w="4608"/>
            <w:vAlign w:val="center"/>
          </w:tcPr>
          <w:p>
            <w:pPr>
              <w:spacing w:after="0"/>
            </w:pPr>
            <w:r/>
            <w:r>
              <w:rPr>
                <w:rFonts w:ascii="Aptos" w:hAnsi="Aptos"/>
                <w:b w:val="0"/>
                <w:sz w:val="16"/>
              </w:rPr>
              <w:t>Incident Commander + Legal/Privacy + Management</w:t>
            </w:r>
          </w:p>
        </w:tc>
        <w:tc>
          <w:tcPr>
            <w:tcW w:type="dxa" w:w="2160"/>
            <w:vAlign w:val="center"/>
          </w:tcPr>
          <w:p>
            <w:pPr>
              <w:spacing w:after="0"/>
            </w:pPr>
            <w:r/>
            <w:r>
              <w:rPr>
                <w:rFonts w:ascii="Aptos" w:hAnsi="Aptos"/>
                <w:b w:val="0"/>
                <w:sz w:val="16"/>
              </w:rPr>
              <w:t>Immediately after validation</w:t>
            </w:r>
          </w:p>
        </w:tc>
      </w:tr>
      <w:tr>
        <w:tc>
          <w:tcPr>
            <w:tcW w:type="dxa" w:w="3600"/>
            <w:vAlign w:val="center"/>
          </w:tcPr>
          <w:p>
            <w:pPr>
              <w:spacing w:after="0"/>
            </w:pPr>
            <w:r/>
            <w:r>
              <w:rPr>
                <w:rFonts w:ascii="Aptos" w:hAnsi="Aptos"/>
                <w:b w:val="0"/>
                <w:sz w:val="16"/>
              </w:rPr>
              <w:t>Critical public-service outage</w:t>
            </w:r>
          </w:p>
        </w:tc>
        <w:tc>
          <w:tcPr>
            <w:tcW w:type="dxa" w:w="4608"/>
            <w:vAlign w:val="center"/>
          </w:tcPr>
          <w:p>
            <w:pPr>
              <w:spacing w:after="0"/>
            </w:pPr>
            <w:r/>
            <w:r>
              <w:rPr>
                <w:rFonts w:ascii="Aptos" w:hAnsi="Aptos"/>
                <w:b w:val="0"/>
                <w:sz w:val="16"/>
              </w:rPr>
              <w:t>Executive Sponsor + Operations + Communications</w:t>
            </w:r>
          </w:p>
        </w:tc>
        <w:tc>
          <w:tcPr>
            <w:tcW w:type="dxa" w:w="2160"/>
            <w:vAlign w:val="center"/>
          </w:tcPr>
          <w:p>
            <w:pPr>
              <w:spacing w:after="0"/>
            </w:pPr>
            <w:r/>
            <w:r>
              <w:rPr>
                <w:rFonts w:ascii="Aptos" w:hAnsi="Aptos"/>
                <w:b w:val="0"/>
                <w:sz w:val="16"/>
              </w:rPr>
              <w:t>Immediately</w:t>
            </w:r>
          </w:p>
        </w:tc>
      </w:tr>
      <w:tr>
        <w:tc>
          <w:tcPr>
            <w:tcW w:type="dxa" w:w="3600"/>
            <w:vAlign w:val="center"/>
          </w:tcPr>
          <w:p>
            <w:pPr>
              <w:spacing w:after="0"/>
            </w:pPr>
            <w:r/>
            <w:r>
              <w:rPr>
                <w:rFonts w:ascii="Aptos" w:hAnsi="Aptos"/>
                <w:b w:val="0"/>
                <w:sz w:val="16"/>
              </w:rPr>
              <w:t>Suspected reportable cyber incident</w:t>
            </w:r>
          </w:p>
        </w:tc>
        <w:tc>
          <w:tcPr>
            <w:tcW w:type="dxa" w:w="4608"/>
            <w:vAlign w:val="center"/>
          </w:tcPr>
          <w:p>
            <w:pPr>
              <w:spacing w:after="0"/>
            </w:pPr>
            <w:r/>
            <w:r>
              <w:rPr>
                <w:rFonts w:ascii="Aptos" w:hAnsi="Aptos"/>
                <w:b w:val="0"/>
                <w:sz w:val="16"/>
              </w:rPr>
              <w:t>Designated CERT-In Point of Contact / responsible authority</w:t>
            </w:r>
          </w:p>
        </w:tc>
        <w:tc>
          <w:tcPr>
            <w:tcW w:type="dxa" w:w="2160"/>
            <w:vAlign w:val="center"/>
          </w:tcPr>
          <w:p>
            <w:pPr>
              <w:spacing w:after="0"/>
            </w:pPr>
            <w:r/>
            <w:r>
              <w:rPr>
                <w:rFonts w:ascii="Aptos" w:hAnsi="Aptos"/>
                <w:b w:val="0"/>
                <w:sz w:val="16"/>
              </w:rPr>
              <w:t>Within applicable reporting timeline</w:t>
            </w:r>
          </w:p>
        </w:tc>
      </w:tr>
      <w:tr>
        <w:tc>
          <w:tcPr>
            <w:tcW w:type="dxa" w:w="3600"/>
            <w:vAlign w:val="center"/>
          </w:tcPr>
          <w:p>
            <w:pPr>
              <w:spacing w:after="0"/>
            </w:pPr>
            <w:r/>
            <w:r>
              <w:rPr>
                <w:rFonts w:ascii="Aptos" w:hAnsi="Aptos"/>
                <w:b w:val="0"/>
                <w:sz w:val="16"/>
              </w:rPr>
              <w:t>Media/public awareness</w:t>
            </w:r>
          </w:p>
        </w:tc>
        <w:tc>
          <w:tcPr>
            <w:tcW w:type="dxa" w:w="4608"/>
            <w:vAlign w:val="center"/>
          </w:tcPr>
          <w:p>
            <w:pPr>
              <w:spacing w:after="0"/>
            </w:pPr>
            <w:r/>
            <w:r>
              <w:rPr>
                <w:rFonts w:ascii="Aptos" w:hAnsi="Aptos"/>
                <w:b w:val="0"/>
                <w:sz w:val="16"/>
              </w:rPr>
              <w:t>Communications Lead + authorized management</w:t>
            </w:r>
          </w:p>
        </w:tc>
        <w:tc>
          <w:tcPr>
            <w:tcW w:type="dxa" w:w="2160"/>
            <w:vAlign w:val="center"/>
          </w:tcPr>
          <w:p>
            <w:pPr>
              <w:spacing w:after="0"/>
            </w:pPr>
            <w:r/>
            <w:r>
              <w:rPr>
                <w:rFonts w:ascii="Aptos" w:hAnsi="Aptos"/>
                <w:b w:val="0"/>
                <w:sz w:val="16"/>
              </w:rPr>
              <w:t>Only through approved channel</w:t>
            </w:r>
          </w:p>
        </w:tc>
      </w:tr>
    </w:tbl>
    <w:p>
      <w:pPr>
        <w:spacing w:after="20"/>
      </w:pPr>
    </w:p>
    <w:p>
      <w:pPr>
        <w:pStyle w:val="Heading2"/>
      </w:pPr>
      <w:r>
        <w:t>7.3 Communication rules</w:t>
      </w:r>
    </w:p>
    <w:p>
      <w:pPr>
        <w:pStyle w:val="ListBullet"/>
        <w:spacing w:after="40"/>
        <w:ind w:left="259"/>
      </w:pPr>
      <w:r>
        <w:t>Use one incident channel and one authoritative incident record.</w:t>
      </w:r>
    </w:p>
    <w:p>
      <w:pPr>
        <w:pStyle w:val="ListBullet"/>
        <w:spacing w:after="40"/>
        <w:ind w:left="259"/>
      </w:pPr>
      <w:r>
        <w:t>Use timestamps and facts; label assumptions and unknowns explicitly.</w:t>
      </w:r>
    </w:p>
    <w:p>
      <w:pPr>
        <w:pStyle w:val="ListBullet"/>
        <w:spacing w:after="40"/>
        <w:ind w:left="259"/>
      </w:pPr>
      <w:r>
        <w:t>Never circulate citizen PII, passwords, tokens or forensic data in general chat.</w:t>
      </w:r>
    </w:p>
    <w:p>
      <w:pPr>
        <w:pStyle w:val="ListBullet"/>
        <w:spacing w:after="40"/>
        <w:ind w:left="259"/>
      </w:pPr>
      <w:r>
        <w:t>Provide short status updates at an agreed cadence during active response.</w:t>
      </w:r>
    </w:p>
    <w:p>
      <w:pPr>
        <w:pStyle w:val="ListBullet"/>
        <w:spacing w:after="40"/>
        <w:ind w:left="259"/>
      </w:pPr>
      <w:r>
        <w:t>Maintain a separate external statement that does not expose investigative details prematurely.</w:t>
      </w:r>
    </w:p>
    <w:tbl>
      <w:tblPr>
        <w:tblStyle w:val="TableGrid"/>
        <w:tblW w:type="auto" w:w="0"/>
        <w:tblLook w:firstColumn="1" w:firstRow="1" w:lastColumn="0" w:lastRow="0" w:noHBand="0" w:noVBand="1" w:val="04A0"/>
      </w:tblPr>
      <w:tblGrid>
        <w:gridCol w:w="10166"/>
      </w:tblGrid>
      <w:tr>
        <w:tc>
          <w:tcPr>
            <w:tcW w:type="dxa" w:w="10166"/>
            <w:shd w:fill="F3F5F7"/>
          </w:tcPr>
          <w:p>
            <w:r>
              <w:rPr>
                <w:b/>
                <w:sz w:val="18"/>
              </w:rPr>
              <w:t>India-specific consideration</w:t>
              <w:br/>
            </w:r>
            <w:r>
              <w:rPr>
                <w:sz w:val="17"/>
              </w:rPr>
              <w:t>CERT-In's 2022 Directions require covered entities to report specified cyber incidents within the stipulated six-hour period and to maintain ICT logs securely for a rolling 180 days within Indian jurisdiction. The organization should maintain a designated point of contact and a reporting playbook so that incident response does not begin the compliance process from zero.</w:t>
            </w:r>
          </w:p>
        </w:tc>
      </w:tr>
    </w:tbl>
    <w:p>
      <w:pPr>
        <w:spacing w:after="0"/>
      </w:pPr>
    </w:p>
    <w:p>
      <w:pPr>
        <w:pStyle w:val="Heading1"/>
      </w:pPr>
      <w:r>
        <w:t>8. Evidence Preservation and Forensic Readiness</w:t>
      </w:r>
    </w:p>
    <w:p>
      <w:r>
        <w:t>A strong incident response plan assumes that technical evidence may later be needed for internal review, regulatory reporting, contractual discussions or law-enforcement processes. Evidence handling should therefore be repeatable and access-controlled.</w:t>
      </w:r>
    </w:p>
    <w:p>
      <w:pPr>
        <w:pStyle w:val="Heading2"/>
      </w:pPr>
      <w:r>
        <w:t>8.1 Evidence sources</w:t>
      </w:r>
    </w:p>
    <w:p>
      <w:pPr>
        <w:pStyle w:val="ListBullet"/>
        <w:spacing w:after="40"/>
        <w:ind w:left="259"/>
      </w:pPr>
      <w:r>
        <w:t>Authentication and identity logs, including MFA and token events.</w:t>
      </w:r>
    </w:p>
    <w:p>
      <w:pPr>
        <w:pStyle w:val="ListBullet"/>
        <w:spacing w:after="40"/>
        <w:ind w:left="259"/>
      </w:pPr>
      <w:r>
        <w:t>Web server, API gateway, application and database logs.</w:t>
      </w:r>
    </w:p>
    <w:p>
      <w:pPr>
        <w:pStyle w:val="ListBullet"/>
        <w:spacing w:after="40"/>
        <w:ind w:left="259"/>
      </w:pPr>
      <w:r>
        <w:t>Firewall, VPN, DNS, proxy, IDS/IPS and network flow records.</w:t>
      </w:r>
    </w:p>
    <w:p>
      <w:pPr>
        <w:pStyle w:val="ListBullet"/>
        <w:spacing w:after="40"/>
        <w:ind w:left="259"/>
      </w:pPr>
      <w:r>
        <w:t>Endpoint process, file-integrity and security-agent logs.</w:t>
      </w:r>
    </w:p>
    <w:p>
      <w:pPr>
        <w:pStyle w:val="ListBullet"/>
        <w:spacing w:after="40"/>
        <w:ind w:left="259"/>
      </w:pPr>
      <w:r>
        <w:t>Cloud control-plane and storage-access logs.</w:t>
      </w:r>
    </w:p>
    <w:p>
      <w:pPr>
        <w:pStyle w:val="ListBullet"/>
        <w:spacing w:after="40"/>
        <w:ind w:left="259"/>
      </w:pPr>
      <w:r>
        <w:t>Relevant configuration snapshots, threat indicators, screenshots and analyst notes.</w:t>
      </w:r>
    </w:p>
    <w:p>
      <w:pPr>
        <w:pStyle w:val="Heading2"/>
      </w:pPr>
      <w:r>
        <w:t>8.2 Evidence handling procedure</w:t>
      </w:r>
    </w:p>
    <w:p>
      <w:pPr>
        <w:pStyle w:val="ListNumber"/>
        <w:spacing w:after="40"/>
      </w:pPr>
      <w:r>
        <w:t>Record the incident identifier, date/time, collector and reason for collection.</w:t>
      </w:r>
    </w:p>
    <w:p>
      <w:pPr>
        <w:pStyle w:val="ListNumber"/>
        <w:spacing w:after="40"/>
      </w:pPr>
      <w:r>
        <w:t>Preserve original logs or forensic images in read-only or access-controlled storage.</w:t>
      </w:r>
    </w:p>
    <w:p>
      <w:pPr>
        <w:pStyle w:val="ListNumber"/>
        <w:spacing w:after="40"/>
      </w:pPr>
      <w:r>
        <w:t>Calculate cryptographic hashes for collected files where appropriate and record the algorithm used.</w:t>
      </w:r>
    </w:p>
    <w:p>
      <w:pPr>
        <w:pStyle w:val="ListNumber"/>
        <w:spacing w:after="40"/>
      </w:pPr>
      <w:r>
        <w:t>Maintain a chain-of-custody register for evidence transfers and access.</w:t>
      </w:r>
    </w:p>
    <w:p>
      <w:pPr>
        <w:pStyle w:val="ListNumber"/>
        <w:spacing w:after="40"/>
      </w:pPr>
      <w:r>
        <w:t>Separate working copies from original evidence.</w:t>
      </w:r>
    </w:p>
    <w:p>
      <w:pPr>
        <w:pStyle w:val="ListNumber"/>
        <w:spacing w:after="40"/>
      </w:pPr>
      <w:r>
        <w:t>Document any transformation, parsing, filtering or redaction performed during analysis.</w:t>
      </w:r>
    </w:p>
    <w:p>
      <w:pPr>
        <w:pStyle w:val="Heading2"/>
      </w:pPr>
      <w:r>
        <w:t>8.3 Minimum incident record</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E7EAF0"/>
          </w:tcPr>
          <w:p>
            <w:pPr>
              <w:spacing w:after="0"/>
            </w:pPr>
            <w:r/>
            <w:r>
              <w:rPr>
                <w:rFonts w:ascii="Aptos" w:hAnsi="Aptos"/>
                <w:b/>
                <w:sz w:val="16"/>
              </w:rPr>
              <w:t>Field</w:t>
            </w:r>
          </w:p>
        </w:tc>
        <w:tc>
          <w:tcPr>
            <w:tcW w:type="dxa" w:w="8208"/>
            <w:vAlign w:val="center"/>
            <w:shd w:fill="E7EAF0"/>
          </w:tcPr>
          <w:p>
            <w:pPr>
              <w:spacing w:after="0"/>
            </w:pPr>
            <w:r/>
            <w:r>
              <w:rPr>
                <w:rFonts w:ascii="Aptos" w:hAnsi="Aptos"/>
                <w:b/>
                <w:sz w:val="16"/>
              </w:rPr>
              <w:t>Required information</w:t>
            </w:r>
          </w:p>
        </w:tc>
      </w:tr>
      <w:tr>
        <w:tc>
          <w:tcPr>
            <w:tcW w:type="dxa" w:w="2160"/>
            <w:vAlign w:val="center"/>
          </w:tcPr>
          <w:p>
            <w:pPr>
              <w:spacing w:after="0"/>
            </w:pPr>
            <w:r/>
            <w:r>
              <w:rPr>
                <w:rFonts w:ascii="Aptos" w:hAnsi="Aptos"/>
                <w:b w:val="0"/>
                <w:sz w:val="16"/>
              </w:rPr>
              <w:t>Incident ID</w:t>
            </w:r>
          </w:p>
        </w:tc>
        <w:tc>
          <w:tcPr>
            <w:tcW w:type="dxa" w:w="8208"/>
            <w:vAlign w:val="center"/>
          </w:tcPr>
          <w:p>
            <w:pPr>
              <w:spacing w:after="0"/>
            </w:pPr>
            <w:r/>
            <w:r>
              <w:rPr>
                <w:rFonts w:ascii="Aptos" w:hAnsi="Aptos"/>
                <w:b w:val="0"/>
                <w:sz w:val="16"/>
              </w:rPr>
              <w:t>Unique identifier, severity, current status</w:t>
            </w:r>
          </w:p>
        </w:tc>
      </w:tr>
      <w:tr>
        <w:tc>
          <w:tcPr>
            <w:tcW w:type="dxa" w:w="2160"/>
            <w:vAlign w:val="center"/>
          </w:tcPr>
          <w:p>
            <w:pPr>
              <w:spacing w:after="0"/>
            </w:pPr>
            <w:r/>
            <w:r>
              <w:rPr>
                <w:rFonts w:ascii="Aptos" w:hAnsi="Aptos"/>
                <w:b w:val="0"/>
                <w:sz w:val="16"/>
              </w:rPr>
              <w:t>Timeline</w:t>
            </w:r>
          </w:p>
        </w:tc>
        <w:tc>
          <w:tcPr>
            <w:tcW w:type="dxa" w:w="8208"/>
            <w:vAlign w:val="center"/>
          </w:tcPr>
          <w:p>
            <w:pPr>
              <w:spacing w:after="0"/>
            </w:pPr>
            <w:r/>
            <w:r>
              <w:rPr>
                <w:rFonts w:ascii="Aptos" w:hAnsi="Aptos"/>
                <w:b w:val="0"/>
                <w:sz w:val="16"/>
              </w:rPr>
              <w:t>UTC/local timestamp, event, source and confidence</w:t>
            </w:r>
          </w:p>
        </w:tc>
      </w:tr>
      <w:tr>
        <w:tc>
          <w:tcPr>
            <w:tcW w:type="dxa" w:w="2160"/>
            <w:vAlign w:val="center"/>
          </w:tcPr>
          <w:p>
            <w:pPr>
              <w:spacing w:after="0"/>
            </w:pPr>
            <w:r/>
            <w:r>
              <w:rPr>
                <w:rFonts w:ascii="Aptos" w:hAnsi="Aptos"/>
                <w:b w:val="0"/>
                <w:sz w:val="16"/>
              </w:rPr>
              <w:t>Scope</w:t>
            </w:r>
          </w:p>
        </w:tc>
        <w:tc>
          <w:tcPr>
            <w:tcW w:type="dxa" w:w="8208"/>
            <w:vAlign w:val="center"/>
          </w:tcPr>
          <w:p>
            <w:pPr>
              <w:spacing w:after="0"/>
            </w:pPr>
            <w:r/>
            <w:r>
              <w:rPr>
                <w:rFonts w:ascii="Aptos" w:hAnsi="Aptos"/>
                <w:b w:val="0"/>
                <w:sz w:val="16"/>
              </w:rPr>
              <w:t>Affected users, hosts, applications, networks and data</w:t>
            </w:r>
          </w:p>
        </w:tc>
      </w:tr>
      <w:tr>
        <w:tc>
          <w:tcPr>
            <w:tcW w:type="dxa" w:w="2160"/>
            <w:vAlign w:val="center"/>
          </w:tcPr>
          <w:p>
            <w:pPr>
              <w:spacing w:after="0"/>
            </w:pPr>
            <w:r/>
            <w:r>
              <w:rPr>
                <w:rFonts w:ascii="Aptos" w:hAnsi="Aptos"/>
                <w:b w:val="0"/>
                <w:sz w:val="16"/>
              </w:rPr>
              <w:t>Indicators</w:t>
            </w:r>
          </w:p>
        </w:tc>
        <w:tc>
          <w:tcPr>
            <w:tcW w:type="dxa" w:w="8208"/>
            <w:vAlign w:val="center"/>
          </w:tcPr>
          <w:p>
            <w:pPr>
              <w:spacing w:after="0"/>
            </w:pPr>
            <w:r/>
            <w:r>
              <w:rPr>
                <w:rFonts w:ascii="Aptos" w:hAnsi="Aptos"/>
                <w:b w:val="0"/>
                <w:sz w:val="16"/>
              </w:rPr>
              <w:t>IPs/domains/hashes/accounts/tokens/processes where relevant</w:t>
            </w:r>
          </w:p>
        </w:tc>
      </w:tr>
      <w:tr>
        <w:tc>
          <w:tcPr>
            <w:tcW w:type="dxa" w:w="2160"/>
            <w:vAlign w:val="center"/>
          </w:tcPr>
          <w:p>
            <w:pPr>
              <w:spacing w:after="0"/>
            </w:pPr>
            <w:r/>
            <w:r>
              <w:rPr>
                <w:rFonts w:ascii="Aptos" w:hAnsi="Aptos"/>
                <w:b w:val="0"/>
                <w:sz w:val="16"/>
              </w:rPr>
              <w:t>Actions</w:t>
            </w:r>
          </w:p>
        </w:tc>
        <w:tc>
          <w:tcPr>
            <w:tcW w:type="dxa" w:w="8208"/>
            <w:vAlign w:val="center"/>
          </w:tcPr>
          <w:p>
            <w:pPr>
              <w:spacing w:after="0"/>
            </w:pPr>
            <w:r/>
            <w:r>
              <w:rPr>
                <w:rFonts w:ascii="Aptos" w:hAnsi="Aptos"/>
                <w:b w:val="0"/>
                <w:sz w:val="16"/>
              </w:rPr>
              <w:t>Containment, eradication and recovery actions with owner</w:t>
            </w:r>
          </w:p>
        </w:tc>
      </w:tr>
      <w:tr>
        <w:tc>
          <w:tcPr>
            <w:tcW w:type="dxa" w:w="2160"/>
            <w:vAlign w:val="center"/>
          </w:tcPr>
          <w:p>
            <w:pPr>
              <w:spacing w:after="0"/>
            </w:pPr>
            <w:r/>
            <w:r>
              <w:rPr>
                <w:rFonts w:ascii="Aptos" w:hAnsi="Aptos"/>
                <w:b w:val="0"/>
                <w:sz w:val="16"/>
              </w:rPr>
              <w:t>Impact</w:t>
            </w:r>
          </w:p>
        </w:tc>
        <w:tc>
          <w:tcPr>
            <w:tcW w:type="dxa" w:w="8208"/>
            <w:vAlign w:val="center"/>
          </w:tcPr>
          <w:p>
            <w:pPr>
              <w:spacing w:after="0"/>
            </w:pPr>
            <w:r/>
            <w:r>
              <w:rPr>
                <w:rFonts w:ascii="Aptos" w:hAnsi="Aptos"/>
                <w:b w:val="0"/>
                <w:sz w:val="16"/>
              </w:rPr>
              <w:t>CIA impact, service disruption, citizen/business impact</w:t>
            </w:r>
          </w:p>
        </w:tc>
      </w:tr>
      <w:tr>
        <w:tc>
          <w:tcPr>
            <w:tcW w:type="dxa" w:w="2160"/>
            <w:vAlign w:val="center"/>
          </w:tcPr>
          <w:p>
            <w:pPr>
              <w:spacing w:after="0"/>
            </w:pPr>
            <w:r/>
            <w:r>
              <w:rPr>
                <w:rFonts w:ascii="Aptos" w:hAnsi="Aptos"/>
                <w:b w:val="0"/>
                <w:sz w:val="16"/>
              </w:rPr>
              <w:t>Communications</w:t>
            </w:r>
          </w:p>
        </w:tc>
        <w:tc>
          <w:tcPr>
            <w:tcW w:type="dxa" w:w="8208"/>
            <w:vAlign w:val="center"/>
          </w:tcPr>
          <w:p>
            <w:pPr>
              <w:spacing w:after="0"/>
            </w:pPr>
            <w:r/>
            <w:r>
              <w:rPr>
                <w:rFonts w:ascii="Aptos" w:hAnsi="Aptos"/>
                <w:b w:val="0"/>
                <w:sz w:val="16"/>
              </w:rPr>
              <w:t>Internal/external notifications and decisions</w:t>
            </w:r>
          </w:p>
        </w:tc>
      </w:tr>
      <w:tr>
        <w:tc>
          <w:tcPr>
            <w:tcW w:type="dxa" w:w="2160"/>
            <w:vAlign w:val="center"/>
          </w:tcPr>
          <w:p>
            <w:pPr>
              <w:spacing w:after="0"/>
            </w:pPr>
            <w:r/>
            <w:r>
              <w:rPr>
                <w:rFonts w:ascii="Aptos" w:hAnsi="Aptos"/>
                <w:b w:val="0"/>
                <w:sz w:val="16"/>
              </w:rPr>
              <w:t>Closure</w:t>
            </w:r>
          </w:p>
        </w:tc>
        <w:tc>
          <w:tcPr>
            <w:tcW w:type="dxa" w:w="8208"/>
            <w:vAlign w:val="center"/>
          </w:tcPr>
          <w:p>
            <w:pPr>
              <w:spacing w:after="0"/>
            </w:pPr>
            <w:r/>
            <w:r>
              <w:rPr>
                <w:rFonts w:ascii="Aptos" w:hAnsi="Aptos"/>
                <w:b w:val="0"/>
                <w:sz w:val="16"/>
              </w:rPr>
              <w:t>Root cause, evidence summary, lessons and improvement actions</w:t>
            </w:r>
          </w:p>
        </w:tc>
      </w:tr>
    </w:tbl>
    <w:p>
      <w:pPr>
        <w:spacing w:after="20"/>
      </w:pPr>
    </w:p>
    <w:p>
      <w:pPr>
        <w:pStyle w:val="Heading2"/>
      </w:pPr>
      <w:r>
        <w:t>8.4 Privacy and minimization</w:t>
      </w:r>
    </w:p>
    <w:p>
      <w:r>
        <w:t>Incident investigations should collect only what is necessary, restrict access to authorized responders, and avoid copying citizen information into unnecessary workspaces. Reports should use anonymized examples where possible. Retention and disclosure should follow applicable law, policy and organizational requirements.</w:t>
      </w:r>
    </w:p>
    <w:p>
      <w:pPr>
        <w:pStyle w:val="Heading1"/>
      </w:pPr>
      <w:r>
        <w:t>9. Recovery, Business Continuity and Post-Incident Evaluation</w:t>
      </w:r>
    </w:p>
    <w:p>
      <w:pPr>
        <w:pStyle w:val="Heading2"/>
      </w:pPr>
      <w:r>
        <w:t>9.1 Recovery gates</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E7EAF0"/>
          </w:tcPr>
          <w:p>
            <w:pPr>
              <w:spacing w:after="0"/>
            </w:pPr>
            <w:r/>
            <w:r>
              <w:rPr>
                <w:rFonts w:ascii="Aptos" w:hAnsi="Aptos"/>
                <w:b/>
                <w:sz w:val="16"/>
              </w:rPr>
              <w:t>Gate</w:t>
            </w:r>
          </w:p>
        </w:tc>
        <w:tc>
          <w:tcPr>
            <w:tcW w:type="dxa" w:w="6912"/>
            <w:vAlign w:val="center"/>
            <w:shd w:fill="E7EAF0"/>
          </w:tcPr>
          <w:p>
            <w:pPr>
              <w:spacing w:after="0"/>
            </w:pPr>
            <w:r/>
            <w:r>
              <w:rPr>
                <w:rFonts w:ascii="Aptos" w:hAnsi="Aptos"/>
                <w:b/>
                <w:sz w:val="16"/>
              </w:rPr>
              <w:t>Validation question</w:t>
            </w:r>
          </w:p>
        </w:tc>
        <w:tc>
          <w:tcPr>
            <w:tcW w:type="dxa" w:w="1728"/>
            <w:vAlign w:val="center"/>
            <w:shd w:fill="E7EAF0"/>
          </w:tcPr>
          <w:p>
            <w:pPr>
              <w:spacing w:after="0"/>
            </w:pPr>
            <w:r/>
            <w:r>
              <w:rPr>
                <w:rFonts w:ascii="Aptos" w:hAnsi="Aptos"/>
                <w:b/>
                <w:sz w:val="16"/>
              </w:rPr>
              <w:t>Owner</w:t>
            </w:r>
          </w:p>
        </w:tc>
      </w:tr>
      <w:tr>
        <w:tc>
          <w:tcPr>
            <w:tcW w:type="dxa" w:w="2016"/>
            <w:vAlign w:val="center"/>
          </w:tcPr>
          <w:p>
            <w:pPr>
              <w:spacing w:after="0"/>
            </w:pPr>
            <w:r/>
            <w:r>
              <w:rPr>
                <w:rFonts w:ascii="Aptos" w:hAnsi="Aptos"/>
                <w:b w:val="0"/>
                <w:sz w:val="16"/>
              </w:rPr>
              <w:t>G1 – Threat removed</w:t>
            </w:r>
          </w:p>
        </w:tc>
        <w:tc>
          <w:tcPr>
            <w:tcW w:type="dxa" w:w="6912"/>
            <w:vAlign w:val="center"/>
          </w:tcPr>
          <w:p>
            <w:pPr>
              <w:spacing w:after="0"/>
            </w:pPr>
            <w:r/>
            <w:r>
              <w:rPr>
                <w:rFonts w:ascii="Aptos" w:hAnsi="Aptos"/>
                <w:b w:val="0"/>
                <w:sz w:val="16"/>
              </w:rPr>
              <w:t>Are malicious processes, accounts, tokens and persistence mechanisms removed?</w:t>
            </w:r>
          </w:p>
        </w:tc>
        <w:tc>
          <w:tcPr>
            <w:tcW w:type="dxa" w:w="1728"/>
            <w:vAlign w:val="center"/>
          </w:tcPr>
          <w:p>
            <w:pPr>
              <w:spacing w:after="0"/>
            </w:pPr>
            <w:r/>
            <w:r>
              <w:rPr>
                <w:rFonts w:ascii="Aptos" w:hAnsi="Aptos"/>
                <w:b w:val="0"/>
                <w:sz w:val="16"/>
              </w:rPr>
              <w:t>SOC / IT</w:t>
            </w:r>
          </w:p>
        </w:tc>
      </w:tr>
      <w:tr>
        <w:tc>
          <w:tcPr>
            <w:tcW w:type="dxa" w:w="2016"/>
            <w:vAlign w:val="center"/>
          </w:tcPr>
          <w:p>
            <w:pPr>
              <w:spacing w:after="0"/>
            </w:pPr>
            <w:r/>
            <w:r>
              <w:rPr>
                <w:rFonts w:ascii="Aptos" w:hAnsi="Aptos"/>
                <w:b w:val="0"/>
                <w:sz w:val="16"/>
              </w:rPr>
              <w:t>G2 – Vulnerability addressed</w:t>
            </w:r>
          </w:p>
        </w:tc>
        <w:tc>
          <w:tcPr>
            <w:tcW w:type="dxa" w:w="6912"/>
            <w:vAlign w:val="center"/>
          </w:tcPr>
          <w:p>
            <w:pPr>
              <w:spacing w:after="0"/>
            </w:pPr>
            <w:r/>
            <w:r>
              <w:rPr>
                <w:rFonts w:ascii="Aptos" w:hAnsi="Aptos"/>
                <w:b w:val="0"/>
                <w:sz w:val="16"/>
              </w:rPr>
              <w:t>Is the exploited weakness patched or otherwise mitigated?</w:t>
            </w:r>
          </w:p>
        </w:tc>
        <w:tc>
          <w:tcPr>
            <w:tcW w:type="dxa" w:w="1728"/>
            <w:vAlign w:val="center"/>
          </w:tcPr>
          <w:p>
            <w:pPr>
              <w:spacing w:after="0"/>
            </w:pPr>
            <w:r/>
            <w:r>
              <w:rPr>
                <w:rFonts w:ascii="Aptos" w:hAnsi="Aptos"/>
                <w:b w:val="0"/>
                <w:sz w:val="16"/>
              </w:rPr>
              <w:t>IT / App Owner</w:t>
            </w:r>
          </w:p>
        </w:tc>
      </w:tr>
      <w:tr>
        <w:tc>
          <w:tcPr>
            <w:tcW w:type="dxa" w:w="2016"/>
            <w:vAlign w:val="center"/>
          </w:tcPr>
          <w:p>
            <w:pPr>
              <w:spacing w:after="0"/>
            </w:pPr>
            <w:r/>
            <w:r>
              <w:rPr>
                <w:rFonts w:ascii="Aptos" w:hAnsi="Aptos"/>
                <w:b w:val="0"/>
                <w:sz w:val="16"/>
              </w:rPr>
              <w:t>G3 – Integrity verified</w:t>
            </w:r>
          </w:p>
        </w:tc>
        <w:tc>
          <w:tcPr>
            <w:tcW w:type="dxa" w:w="6912"/>
            <w:vAlign w:val="center"/>
          </w:tcPr>
          <w:p>
            <w:pPr>
              <w:spacing w:after="0"/>
            </w:pPr>
            <w:r/>
            <w:r>
              <w:rPr>
                <w:rFonts w:ascii="Aptos" w:hAnsi="Aptos"/>
                <w:b w:val="0"/>
                <w:sz w:val="16"/>
              </w:rPr>
              <w:t>Are application files, configurations and databases consistent with trusted baselines?</w:t>
            </w:r>
          </w:p>
        </w:tc>
        <w:tc>
          <w:tcPr>
            <w:tcW w:type="dxa" w:w="1728"/>
            <w:vAlign w:val="center"/>
          </w:tcPr>
          <w:p>
            <w:pPr>
              <w:spacing w:after="0"/>
            </w:pPr>
            <w:r/>
            <w:r>
              <w:rPr>
                <w:rFonts w:ascii="Aptos" w:hAnsi="Aptos"/>
                <w:b w:val="0"/>
                <w:sz w:val="16"/>
              </w:rPr>
              <w:t>App / Data Owner</w:t>
            </w:r>
          </w:p>
        </w:tc>
      </w:tr>
      <w:tr>
        <w:tc>
          <w:tcPr>
            <w:tcW w:type="dxa" w:w="2016"/>
            <w:vAlign w:val="center"/>
          </w:tcPr>
          <w:p>
            <w:pPr>
              <w:spacing w:after="0"/>
            </w:pPr>
            <w:r/>
            <w:r>
              <w:rPr>
                <w:rFonts w:ascii="Aptos" w:hAnsi="Aptos"/>
                <w:b w:val="0"/>
                <w:sz w:val="16"/>
              </w:rPr>
              <w:t>G4 – Backup verified</w:t>
            </w:r>
          </w:p>
        </w:tc>
        <w:tc>
          <w:tcPr>
            <w:tcW w:type="dxa" w:w="6912"/>
            <w:vAlign w:val="center"/>
          </w:tcPr>
          <w:p>
            <w:pPr>
              <w:spacing w:after="0"/>
            </w:pPr>
            <w:r/>
            <w:r>
              <w:rPr>
                <w:rFonts w:ascii="Aptos" w:hAnsi="Aptos"/>
                <w:b w:val="0"/>
                <w:sz w:val="16"/>
              </w:rPr>
              <w:t>Is the recovery source known-good and free from the same compromise?</w:t>
            </w:r>
          </w:p>
        </w:tc>
        <w:tc>
          <w:tcPr>
            <w:tcW w:type="dxa" w:w="1728"/>
            <w:vAlign w:val="center"/>
          </w:tcPr>
          <w:p>
            <w:pPr>
              <w:spacing w:after="0"/>
            </w:pPr>
            <w:r/>
            <w:r>
              <w:rPr>
                <w:rFonts w:ascii="Aptos" w:hAnsi="Aptos"/>
                <w:b w:val="0"/>
                <w:sz w:val="16"/>
              </w:rPr>
              <w:t>Backup / IT</w:t>
            </w:r>
          </w:p>
        </w:tc>
      </w:tr>
      <w:tr>
        <w:tc>
          <w:tcPr>
            <w:tcW w:type="dxa" w:w="2016"/>
            <w:vAlign w:val="center"/>
          </w:tcPr>
          <w:p>
            <w:pPr>
              <w:spacing w:after="0"/>
            </w:pPr>
            <w:r/>
            <w:r>
              <w:rPr>
                <w:rFonts w:ascii="Aptos" w:hAnsi="Aptos"/>
                <w:b w:val="0"/>
                <w:sz w:val="16"/>
              </w:rPr>
              <w:t>G5 – Monitoring ready</w:t>
            </w:r>
          </w:p>
        </w:tc>
        <w:tc>
          <w:tcPr>
            <w:tcW w:type="dxa" w:w="6912"/>
            <w:vAlign w:val="center"/>
          </w:tcPr>
          <w:p>
            <w:pPr>
              <w:spacing w:after="0"/>
            </w:pPr>
            <w:r/>
            <w:r>
              <w:rPr>
                <w:rFonts w:ascii="Aptos" w:hAnsi="Aptos"/>
                <w:b w:val="0"/>
                <w:sz w:val="16"/>
              </w:rPr>
              <w:t>Are enhanced alerts and logging active before reopening service?</w:t>
            </w:r>
          </w:p>
        </w:tc>
        <w:tc>
          <w:tcPr>
            <w:tcW w:type="dxa" w:w="1728"/>
            <w:vAlign w:val="center"/>
          </w:tcPr>
          <w:p>
            <w:pPr>
              <w:spacing w:after="0"/>
            </w:pPr>
            <w:r/>
            <w:r>
              <w:rPr>
                <w:rFonts w:ascii="Aptos" w:hAnsi="Aptos"/>
                <w:b w:val="0"/>
                <w:sz w:val="16"/>
              </w:rPr>
              <w:t>SOC</w:t>
            </w:r>
          </w:p>
        </w:tc>
      </w:tr>
      <w:tr>
        <w:tc>
          <w:tcPr>
            <w:tcW w:type="dxa" w:w="2016"/>
            <w:vAlign w:val="center"/>
          </w:tcPr>
          <w:p>
            <w:pPr>
              <w:spacing w:after="0"/>
            </w:pPr>
            <w:r/>
            <w:r>
              <w:rPr>
                <w:rFonts w:ascii="Aptos" w:hAnsi="Aptos"/>
                <w:b w:val="0"/>
                <w:sz w:val="16"/>
              </w:rPr>
              <w:t>G6 – Business sign-off</w:t>
            </w:r>
          </w:p>
        </w:tc>
        <w:tc>
          <w:tcPr>
            <w:tcW w:type="dxa" w:w="6912"/>
            <w:vAlign w:val="center"/>
          </w:tcPr>
          <w:p>
            <w:pPr>
              <w:spacing w:after="0"/>
            </w:pPr>
            <w:r/>
            <w:r>
              <w:rPr>
                <w:rFonts w:ascii="Aptos" w:hAnsi="Aptos"/>
                <w:b w:val="0"/>
                <w:sz w:val="16"/>
              </w:rPr>
              <w:t>Has the service owner accepted operational recovery risk?</w:t>
            </w:r>
          </w:p>
        </w:tc>
        <w:tc>
          <w:tcPr>
            <w:tcW w:type="dxa" w:w="1728"/>
            <w:vAlign w:val="center"/>
          </w:tcPr>
          <w:p>
            <w:pPr>
              <w:spacing w:after="0"/>
            </w:pPr>
            <w:r/>
            <w:r>
              <w:rPr>
                <w:rFonts w:ascii="Aptos" w:hAnsi="Aptos"/>
                <w:b w:val="0"/>
                <w:sz w:val="16"/>
              </w:rPr>
              <w:t>Service Owner</w:t>
            </w:r>
          </w:p>
        </w:tc>
      </w:tr>
    </w:tbl>
    <w:p>
      <w:pPr>
        <w:spacing w:after="20"/>
      </w:pPr>
    </w:p>
    <w:p>
      <w:pPr>
        <w:pStyle w:val="Heading2"/>
      </w:pPr>
      <w:r>
        <w:t>9.2 Post-incident review</w:t>
      </w:r>
    </w:p>
    <w:p>
      <w:pPr>
        <w:pStyle w:val="ListNumber"/>
        <w:spacing w:after="40"/>
      </w:pPr>
      <w:r>
        <w:t>Reconstruct the incident timeline from detection through closure.</w:t>
      </w:r>
    </w:p>
    <w:p>
      <w:pPr>
        <w:pStyle w:val="ListNumber"/>
        <w:spacing w:after="40"/>
      </w:pPr>
      <w:r>
        <w:t>Identify the root cause and contributing control failures.</w:t>
      </w:r>
    </w:p>
    <w:p>
      <w:pPr>
        <w:pStyle w:val="ListNumber"/>
        <w:spacing w:after="40"/>
      </w:pPr>
      <w:r>
        <w:t>Measure detection, containment and recovery performance against targets.</w:t>
      </w:r>
    </w:p>
    <w:p>
      <w:pPr>
        <w:pStyle w:val="ListNumber"/>
        <w:spacing w:after="40"/>
      </w:pPr>
      <w:r>
        <w:t>Document what worked, what failed and what created unnecessary delay.</w:t>
      </w:r>
    </w:p>
    <w:p>
      <w:pPr>
        <w:pStyle w:val="ListNumber"/>
        <w:spacing w:after="40"/>
      </w:pPr>
      <w:r>
        <w:t>Assign corrective actions with owners and deadlines.</w:t>
      </w:r>
    </w:p>
    <w:p>
      <w:pPr>
        <w:pStyle w:val="ListNumber"/>
        <w:spacing w:after="40"/>
      </w:pPr>
      <w:r>
        <w:t>Update detection rules, architecture, policies, training and playbooks.</w:t>
      </w:r>
    </w:p>
    <w:p>
      <w:pPr>
        <w:pStyle w:val="ListNumber"/>
        <w:spacing w:after="40"/>
      </w:pPr>
      <w:r>
        <w:t>Retest the changed controls and close actions only after evidence of effectiveness.</w:t>
      </w:r>
    </w:p>
    <w:p>
      <w:pPr>
        <w:pStyle w:val="Heading2"/>
      </w:pPr>
      <w:r>
        <w:t>9.3 Key performance indicators</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E7EAF0"/>
          </w:tcPr>
          <w:p>
            <w:pPr>
              <w:spacing w:after="0"/>
            </w:pPr>
            <w:r/>
            <w:r>
              <w:rPr>
                <w:rFonts w:ascii="Aptos" w:hAnsi="Aptos"/>
                <w:b/>
                <w:sz w:val="16"/>
              </w:rPr>
              <w:t>Metric</w:t>
            </w:r>
          </w:p>
        </w:tc>
        <w:tc>
          <w:tcPr>
            <w:tcW w:type="dxa" w:w="6336"/>
            <w:vAlign w:val="center"/>
            <w:shd w:fill="E7EAF0"/>
          </w:tcPr>
          <w:p>
            <w:pPr>
              <w:spacing w:after="0"/>
            </w:pPr>
            <w:r/>
            <w:r>
              <w:rPr>
                <w:rFonts w:ascii="Aptos" w:hAnsi="Aptos"/>
                <w:b/>
                <w:sz w:val="16"/>
              </w:rPr>
              <w:t>Purpose</w:t>
            </w:r>
          </w:p>
        </w:tc>
        <w:tc>
          <w:tcPr>
            <w:tcW w:type="dxa" w:w="1440"/>
            <w:vAlign w:val="center"/>
            <w:shd w:fill="E7EAF0"/>
          </w:tcPr>
          <w:p>
            <w:pPr>
              <w:spacing w:after="0"/>
            </w:pPr>
            <w:r/>
            <w:r>
              <w:rPr>
                <w:rFonts w:ascii="Aptos" w:hAnsi="Aptos"/>
                <w:b/>
                <w:sz w:val="16"/>
              </w:rPr>
              <w:t>Target direction</w:t>
            </w:r>
          </w:p>
        </w:tc>
      </w:tr>
      <w:tr>
        <w:tc>
          <w:tcPr>
            <w:tcW w:type="dxa" w:w="2880"/>
            <w:vAlign w:val="center"/>
          </w:tcPr>
          <w:p>
            <w:pPr>
              <w:spacing w:after="0"/>
            </w:pPr>
            <w:r/>
            <w:r>
              <w:rPr>
                <w:rFonts w:ascii="Aptos" w:hAnsi="Aptos"/>
                <w:b w:val="0"/>
                <w:sz w:val="16"/>
              </w:rPr>
              <w:t>Mean Time to Detect (MTTD)</w:t>
            </w:r>
          </w:p>
        </w:tc>
        <w:tc>
          <w:tcPr>
            <w:tcW w:type="dxa" w:w="6336"/>
            <w:vAlign w:val="center"/>
          </w:tcPr>
          <w:p>
            <w:pPr>
              <w:spacing w:after="0"/>
            </w:pPr>
            <w:r/>
            <w:r>
              <w:rPr>
                <w:rFonts w:ascii="Aptos" w:hAnsi="Aptos"/>
                <w:b w:val="0"/>
                <w:sz w:val="16"/>
              </w:rPr>
              <w:t>Measures speed of identifying malicious activity.</w:t>
            </w:r>
          </w:p>
        </w:tc>
        <w:tc>
          <w:tcPr>
            <w:tcW w:type="dxa" w:w="1440"/>
            <w:vAlign w:val="center"/>
          </w:tcPr>
          <w:p>
            <w:pPr>
              <w:spacing w:after="0"/>
            </w:pPr>
            <w:r/>
            <w:r>
              <w:rPr>
                <w:rFonts w:ascii="Aptos" w:hAnsi="Aptos"/>
                <w:b w:val="0"/>
                <w:sz w:val="16"/>
              </w:rPr>
              <w:t>Decrease</w:t>
            </w:r>
          </w:p>
        </w:tc>
      </w:tr>
      <w:tr>
        <w:tc>
          <w:tcPr>
            <w:tcW w:type="dxa" w:w="2880"/>
            <w:vAlign w:val="center"/>
          </w:tcPr>
          <w:p>
            <w:pPr>
              <w:spacing w:after="0"/>
            </w:pPr>
            <w:r/>
            <w:r>
              <w:rPr>
                <w:rFonts w:ascii="Aptos" w:hAnsi="Aptos"/>
                <w:b w:val="0"/>
                <w:sz w:val="16"/>
              </w:rPr>
              <w:t>Mean Time to Contain (MTTC)</w:t>
            </w:r>
          </w:p>
        </w:tc>
        <w:tc>
          <w:tcPr>
            <w:tcW w:type="dxa" w:w="6336"/>
            <w:vAlign w:val="center"/>
          </w:tcPr>
          <w:p>
            <w:pPr>
              <w:spacing w:after="0"/>
            </w:pPr>
            <w:r/>
            <w:r>
              <w:rPr>
                <w:rFonts w:ascii="Aptos" w:hAnsi="Aptos"/>
                <w:b w:val="0"/>
                <w:sz w:val="16"/>
              </w:rPr>
              <w:t>Measures speed of limiting attacker access.</w:t>
            </w:r>
          </w:p>
        </w:tc>
        <w:tc>
          <w:tcPr>
            <w:tcW w:type="dxa" w:w="1440"/>
            <w:vAlign w:val="center"/>
          </w:tcPr>
          <w:p>
            <w:pPr>
              <w:spacing w:after="0"/>
            </w:pPr>
            <w:r/>
            <w:r>
              <w:rPr>
                <w:rFonts w:ascii="Aptos" w:hAnsi="Aptos"/>
                <w:b w:val="0"/>
                <w:sz w:val="16"/>
              </w:rPr>
              <w:t>Decrease</w:t>
            </w:r>
          </w:p>
        </w:tc>
      </w:tr>
      <w:tr>
        <w:tc>
          <w:tcPr>
            <w:tcW w:type="dxa" w:w="2880"/>
            <w:vAlign w:val="center"/>
          </w:tcPr>
          <w:p>
            <w:pPr>
              <w:spacing w:after="0"/>
            </w:pPr>
            <w:r/>
            <w:r>
              <w:rPr>
                <w:rFonts w:ascii="Aptos" w:hAnsi="Aptos"/>
                <w:b w:val="0"/>
                <w:sz w:val="16"/>
              </w:rPr>
              <w:t>Mean Time to Recover (MTTR)</w:t>
            </w:r>
          </w:p>
        </w:tc>
        <w:tc>
          <w:tcPr>
            <w:tcW w:type="dxa" w:w="6336"/>
            <w:vAlign w:val="center"/>
          </w:tcPr>
          <w:p>
            <w:pPr>
              <w:spacing w:after="0"/>
            </w:pPr>
            <w:r/>
            <w:r>
              <w:rPr>
                <w:rFonts w:ascii="Aptos" w:hAnsi="Aptos"/>
                <w:b w:val="0"/>
                <w:sz w:val="16"/>
              </w:rPr>
              <w:t>Measures restoration speed.</w:t>
            </w:r>
          </w:p>
        </w:tc>
        <w:tc>
          <w:tcPr>
            <w:tcW w:type="dxa" w:w="1440"/>
            <w:vAlign w:val="center"/>
          </w:tcPr>
          <w:p>
            <w:pPr>
              <w:spacing w:after="0"/>
            </w:pPr>
            <w:r/>
            <w:r>
              <w:rPr>
                <w:rFonts w:ascii="Aptos" w:hAnsi="Aptos"/>
                <w:b w:val="0"/>
                <w:sz w:val="16"/>
              </w:rPr>
              <w:t>Decrease</w:t>
            </w:r>
          </w:p>
        </w:tc>
      </w:tr>
      <w:tr>
        <w:tc>
          <w:tcPr>
            <w:tcW w:type="dxa" w:w="2880"/>
            <w:vAlign w:val="center"/>
          </w:tcPr>
          <w:p>
            <w:pPr>
              <w:spacing w:after="0"/>
            </w:pPr>
            <w:r/>
            <w:r>
              <w:rPr>
                <w:rFonts w:ascii="Aptos" w:hAnsi="Aptos"/>
                <w:b w:val="0"/>
                <w:sz w:val="16"/>
              </w:rPr>
              <w:t>False-positive rate</w:t>
            </w:r>
          </w:p>
        </w:tc>
        <w:tc>
          <w:tcPr>
            <w:tcW w:type="dxa" w:w="6336"/>
            <w:vAlign w:val="center"/>
          </w:tcPr>
          <w:p>
            <w:pPr>
              <w:spacing w:after="0"/>
            </w:pPr>
            <w:r/>
            <w:r>
              <w:rPr>
                <w:rFonts w:ascii="Aptos" w:hAnsi="Aptos"/>
                <w:b w:val="0"/>
                <w:sz w:val="16"/>
              </w:rPr>
              <w:t>Measures alert quality and analyst fatigue.</w:t>
            </w:r>
          </w:p>
        </w:tc>
        <w:tc>
          <w:tcPr>
            <w:tcW w:type="dxa" w:w="1440"/>
            <w:vAlign w:val="center"/>
          </w:tcPr>
          <w:p>
            <w:pPr>
              <w:spacing w:after="0"/>
            </w:pPr>
            <w:r/>
            <w:r>
              <w:rPr>
                <w:rFonts w:ascii="Aptos" w:hAnsi="Aptos"/>
                <w:b w:val="0"/>
                <w:sz w:val="16"/>
              </w:rPr>
              <w:t>Decrease</w:t>
            </w:r>
          </w:p>
        </w:tc>
      </w:tr>
      <w:tr>
        <w:tc>
          <w:tcPr>
            <w:tcW w:type="dxa" w:w="2880"/>
            <w:vAlign w:val="center"/>
          </w:tcPr>
          <w:p>
            <w:pPr>
              <w:spacing w:after="0"/>
            </w:pPr>
            <w:r/>
            <w:r>
              <w:rPr>
                <w:rFonts w:ascii="Aptos" w:hAnsi="Aptos"/>
                <w:b w:val="0"/>
                <w:sz w:val="16"/>
              </w:rPr>
              <w:t>Log coverage</w:t>
            </w:r>
          </w:p>
        </w:tc>
        <w:tc>
          <w:tcPr>
            <w:tcW w:type="dxa" w:w="6336"/>
            <w:vAlign w:val="center"/>
          </w:tcPr>
          <w:p>
            <w:pPr>
              <w:spacing w:after="0"/>
            </w:pPr>
            <w:r/>
            <w:r>
              <w:rPr>
                <w:rFonts w:ascii="Aptos" w:hAnsi="Aptos"/>
                <w:b w:val="0"/>
                <w:sz w:val="16"/>
              </w:rPr>
              <w:t>Percentage of critical assets sending required telemetry.</w:t>
            </w:r>
          </w:p>
        </w:tc>
        <w:tc>
          <w:tcPr>
            <w:tcW w:type="dxa" w:w="1440"/>
            <w:vAlign w:val="center"/>
          </w:tcPr>
          <w:p>
            <w:pPr>
              <w:spacing w:after="0"/>
            </w:pPr>
            <w:r/>
            <w:r>
              <w:rPr>
                <w:rFonts w:ascii="Aptos" w:hAnsi="Aptos"/>
                <w:b w:val="0"/>
                <w:sz w:val="16"/>
              </w:rPr>
              <w:t>Increase</w:t>
            </w:r>
          </w:p>
        </w:tc>
      </w:tr>
      <w:tr>
        <w:tc>
          <w:tcPr>
            <w:tcW w:type="dxa" w:w="2880"/>
            <w:vAlign w:val="center"/>
          </w:tcPr>
          <w:p>
            <w:pPr>
              <w:spacing w:after="0"/>
            </w:pPr>
            <w:r/>
            <w:r>
              <w:rPr>
                <w:rFonts w:ascii="Aptos" w:hAnsi="Aptos"/>
                <w:b w:val="0"/>
                <w:sz w:val="16"/>
              </w:rPr>
              <w:t>Playbook test success</w:t>
            </w:r>
          </w:p>
        </w:tc>
        <w:tc>
          <w:tcPr>
            <w:tcW w:type="dxa" w:w="6336"/>
            <w:vAlign w:val="center"/>
          </w:tcPr>
          <w:p>
            <w:pPr>
              <w:spacing w:after="0"/>
            </w:pPr>
            <w:r/>
            <w:r>
              <w:rPr>
                <w:rFonts w:ascii="Aptos" w:hAnsi="Aptos"/>
                <w:b w:val="0"/>
                <w:sz w:val="16"/>
              </w:rPr>
              <w:t>Percentage of exercises completed without major gaps.</w:t>
            </w:r>
          </w:p>
        </w:tc>
        <w:tc>
          <w:tcPr>
            <w:tcW w:type="dxa" w:w="1440"/>
            <w:vAlign w:val="center"/>
          </w:tcPr>
          <w:p>
            <w:pPr>
              <w:spacing w:after="0"/>
            </w:pPr>
            <w:r/>
            <w:r>
              <w:rPr>
                <w:rFonts w:ascii="Aptos" w:hAnsi="Aptos"/>
                <w:b w:val="0"/>
                <w:sz w:val="16"/>
              </w:rPr>
              <w:t>Increase</w:t>
            </w:r>
          </w:p>
        </w:tc>
      </w:tr>
      <w:tr>
        <w:tc>
          <w:tcPr>
            <w:tcW w:type="dxa" w:w="2880"/>
            <w:vAlign w:val="center"/>
          </w:tcPr>
          <w:p>
            <w:pPr>
              <w:spacing w:after="0"/>
            </w:pPr>
            <w:r/>
            <w:r>
              <w:rPr>
                <w:rFonts w:ascii="Aptos" w:hAnsi="Aptos"/>
                <w:b w:val="0"/>
                <w:sz w:val="16"/>
              </w:rPr>
              <w:t>Patch/remediation SLA</w:t>
            </w:r>
          </w:p>
        </w:tc>
        <w:tc>
          <w:tcPr>
            <w:tcW w:type="dxa" w:w="6336"/>
            <w:vAlign w:val="center"/>
          </w:tcPr>
          <w:p>
            <w:pPr>
              <w:spacing w:after="0"/>
            </w:pPr>
            <w:r/>
            <w:r>
              <w:rPr>
                <w:rFonts w:ascii="Aptos" w:hAnsi="Aptos"/>
                <w:b w:val="0"/>
                <w:sz w:val="16"/>
              </w:rPr>
              <w:t>Speed of correcting exploited weaknesses.</w:t>
            </w:r>
          </w:p>
        </w:tc>
        <w:tc>
          <w:tcPr>
            <w:tcW w:type="dxa" w:w="1440"/>
            <w:vAlign w:val="center"/>
          </w:tcPr>
          <w:p>
            <w:pPr>
              <w:spacing w:after="0"/>
            </w:pPr>
            <w:r/>
            <w:r>
              <w:rPr>
                <w:rFonts w:ascii="Aptos" w:hAnsi="Aptos"/>
                <w:b w:val="0"/>
                <w:sz w:val="16"/>
              </w:rPr>
              <w:t>Decrease</w:t>
            </w:r>
          </w:p>
        </w:tc>
      </w:tr>
    </w:tbl>
    <w:p>
      <w:pPr>
        <w:spacing w:after="20"/>
      </w:pPr>
    </w:p>
    <w:p>
      <w:pPr>
        <w:pStyle w:val="Heading2"/>
      </w:pPr>
      <w:r>
        <w:t>9.4 Continuous improvement cycle</w:t>
      </w:r>
    </w:p>
    <w:p>
      <w:r>
        <w:t>Every significant incident should produce at least one concrete security improvement. Examples include enforcing MFA for privileged users, reducing service-account permissions, improving API rate controls, adding database audit events, increasing network segmentation, strengthening backup isolation, or creating a new detection rule based on the observed attacker behaviour.</w:t>
      </w:r>
    </w:p>
    <w:p>
      <w:r>
        <w:br w:type="page"/>
      </w:r>
    </w:p>
    <w:p>
      <w:pPr>
        <w:pStyle w:val="Heading1"/>
      </w:pPr>
      <w:r>
        <w:t>10. Implementation Roadmap and Operational Playbooks</w:t>
      </w:r>
    </w:p>
    <w:p>
      <w:pPr>
        <w:pStyle w:val="Heading2"/>
      </w:pPr>
      <w:r>
        <w:t>10.1 30-60-90 day implementation plan</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E7EAF0"/>
          </w:tcPr>
          <w:p>
            <w:pPr>
              <w:spacing w:after="0"/>
            </w:pPr>
            <w:r/>
            <w:r>
              <w:rPr>
                <w:rFonts w:ascii="Aptos" w:hAnsi="Aptos"/>
                <w:b/>
                <w:sz w:val="16"/>
              </w:rPr>
              <w:t>Period</w:t>
            </w:r>
          </w:p>
        </w:tc>
        <w:tc>
          <w:tcPr>
            <w:tcW w:type="dxa" w:w="7488"/>
            <w:vAlign w:val="center"/>
            <w:shd w:fill="E7EAF0"/>
          </w:tcPr>
          <w:p>
            <w:pPr>
              <w:spacing w:after="0"/>
            </w:pPr>
            <w:r/>
            <w:r>
              <w:rPr>
                <w:rFonts w:ascii="Aptos" w:hAnsi="Aptos"/>
                <w:b/>
                <w:sz w:val="16"/>
              </w:rPr>
              <w:t>Priority actions</w:t>
            </w:r>
          </w:p>
        </w:tc>
        <w:tc>
          <w:tcPr>
            <w:tcW w:type="dxa" w:w="2016"/>
            <w:vAlign w:val="center"/>
            <w:shd w:fill="E7EAF0"/>
          </w:tcPr>
          <w:p>
            <w:pPr>
              <w:spacing w:after="0"/>
            </w:pPr>
            <w:r/>
            <w:r>
              <w:rPr>
                <w:rFonts w:ascii="Aptos" w:hAnsi="Aptos"/>
                <w:b/>
                <w:sz w:val="16"/>
              </w:rPr>
              <w:t>Deliverable</w:t>
            </w:r>
          </w:p>
        </w:tc>
      </w:tr>
      <w:tr>
        <w:tc>
          <w:tcPr>
            <w:tcW w:type="dxa" w:w="1440"/>
            <w:vAlign w:val="center"/>
          </w:tcPr>
          <w:p>
            <w:pPr>
              <w:spacing w:after="0"/>
            </w:pPr>
            <w:r/>
            <w:r>
              <w:rPr>
                <w:rFonts w:ascii="Aptos" w:hAnsi="Aptos"/>
                <w:b w:val="0"/>
                <w:sz w:val="16"/>
              </w:rPr>
              <w:t>Days 0–30</w:t>
            </w:r>
          </w:p>
        </w:tc>
        <w:tc>
          <w:tcPr>
            <w:tcW w:type="dxa" w:w="7488"/>
            <w:vAlign w:val="center"/>
          </w:tcPr>
          <w:p>
            <w:pPr>
              <w:spacing w:after="0"/>
            </w:pPr>
            <w:r/>
            <w:r>
              <w:rPr>
                <w:rFonts w:ascii="Aptos" w:hAnsi="Aptos"/>
                <w:b w:val="0"/>
                <w:sz w:val="16"/>
              </w:rPr>
              <w:t>Asset inventory; criticality classification; incident roles; log-source inventory; time synchronization; baseline incident record; backup review.</w:t>
            </w:r>
          </w:p>
        </w:tc>
        <w:tc>
          <w:tcPr>
            <w:tcW w:type="dxa" w:w="2016"/>
            <w:vAlign w:val="center"/>
          </w:tcPr>
          <w:p>
            <w:pPr>
              <w:spacing w:after="0"/>
            </w:pPr>
            <w:r/>
            <w:r>
              <w:rPr>
                <w:rFonts w:ascii="Aptos" w:hAnsi="Aptos"/>
                <w:b w:val="0"/>
                <w:sz w:val="16"/>
              </w:rPr>
              <w:t>Approved IR plan + telemetry gap register</w:t>
            </w:r>
          </w:p>
        </w:tc>
      </w:tr>
      <w:tr>
        <w:tc>
          <w:tcPr>
            <w:tcW w:type="dxa" w:w="1440"/>
            <w:vAlign w:val="center"/>
          </w:tcPr>
          <w:p>
            <w:pPr>
              <w:spacing w:after="0"/>
            </w:pPr>
            <w:r/>
            <w:r>
              <w:rPr>
                <w:rFonts w:ascii="Aptos" w:hAnsi="Aptos"/>
                <w:b w:val="0"/>
                <w:sz w:val="16"/>
              </w:rPr>
              <w:t>Days 31–60</w:t>
            </w:r>
          </w:p>
        </w:tc>
        <w:tc>
          <w:tcPr>
            <w:tcW w:type="dxa" w:w="7488"/>
            <w:vAlign w:val="center"/>
          </w:tcPr>
          <w:p>
            <w:pPr>
              <w:spacing w:after="0"/>
            </w:pPr>
            <w:r/>
            <w:r>
              <w:rPr>
                <w:rFonts w:ascii="Aptos" w:hAnsi="Aptos"/>
                <w:b w:val="0"/>
                <w:sz w:val="16"/>
              </w:rPr>
              <w:t>Deploy/tune Suricata and Wazuh; centralize logs; implement privileged-account alerts; create severity matrix and escalation contacts.</w:t>
            </w:r>
          </w:p>
        </w:tc>
        <w:tc>
          <w:tcPr>
            <w:tcW w:type="dxa" w:w="2016"/>
            <w:vAlign w:val="center"/>
          </w:tcPr>
          <w:p>
            <w:pPr>
              <w:spacing w:after="0"/>
            </w:pPr>
            <w:r/>
            <w:r>
              <w:rPr>
                <w:rFonts w:ascii="Aptos" w:hAnsi="Aptos"/>
                <w:b w:val="0"/>
                <w:sz w:val="16"/>
              </w:rPr>
              <w:t>Operational SOC dashboard + detection catalogue</w:t>
            </w:r>
          </w:p>
        </w:tc>
      </w:tr>
      <w:tr>
        <w:tc>
          <w:tcPr>
            <w:tcW w:type="dxa" w:w="1440"/>
            <w:vAlign w:val="center"/>
          </w:tcPr>
          <w:p>
            <w:pPr>
              <w:spacing w:after="0"/>
            </w:pPr>
            <w:r/>
            <w:r>
              <w:rPr>
                <w:rFonts w:ascii="Aptos" w:hAnsi="Aptos"/>
                <w:b w:val="0"/>
                <w:sz w:val="16"/>
              </w:rPr>
              <w:t>Days 61–90</w:t>
            </w:r>
          </w:p>
        </w:tc>
        <w:tc>
          <w:tcPr>
            <w:tcW w:type="dxa" w:w="7488"/>
            <w:vAlign w:val="center"/>
          </w:tcPr>
          <w:p>
            <w:pPr>
              <w:spacing w:after="0"/>
            </w:pPr>
            <w:r/>
            <w:r>
              <w:rPr>
                <w:rFonts w:ascii="Aptos" w:hAnsi="Aptos"/>
                <w:b w:val="0"/>
                <w:sz w:val="16"/>
              </w:rPr>
              <w:t>Threat-hunting routines; tabletop exercise; recovery drill; CERT-In reporting rehearsal; metrics dashboard; playbook refinement.</w:t>
            </w:r>
          </w:p>
        </w:tc>
        <w:tc>
          <w:tcPr>
            <w:tcW w:type="dxa" w:w="2016"/>
            <w:vAlign w:val="center"/>
          </w:tcPr>
          <w:p>
            <w:pPr>
              <w:spacing w:after="0"/>
            </w:pPr>
            <w:r/>
            <w:r>
              <w:rPr>
                <w:rFonts w:ascii="Aptos" w:hAnsi="Aptos"/>
                <w:b w:val="0"/>
                <w:sz w:val="16"/>
              </w:rPr>
              <w:t>Exercise report + improvement backlog</w:t>
            </w:r>
          </w:p>
        </w:tc>
      </w:tr>
    </w:tbl>
    <w:p>
      <w:pPr>
        <w:spacing w:after="20"/>
      </w:pPr>
    </w:p>
    <w:p>
      <w:pPr>
        <w:pStyle w:val="Heading2"/>
      </w:pPr>
      <w:r>
        <w:t>10.2 Priority playbooks</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E7EAF0"/>
          </w:tcPr>
          <w:p>
            <w:pPr>
              <w:spacing w:after="0"/>
            </w:pPr>
            <w:r/>
            <w:r>
              <w:rPr>
                <w:rFonts w:ascii="Aptos" w:hAnsi="Aptos"/>
                <w:b/>
                <w:sz w:val="16"/>
              </w:rPr>
              <w:t>Playbook</w:t>
            </w:r>
          </w:p>
        </w:tc>
        <w:tc>
          <w:tcPr>
            <w:tcW w:type="dxa" w:w="6192"/>
            <w:vAlign w:val="center"/>
            <w:shd w:fill="E7EAF0"/>
          </w:tcPr>
          <w:p>
            <w:pPr>
              <w:spacing w:after="0"/>
            </w:pPr>
            <w:r/>
            <w:r>
              <w:rPr>
                <w:rFonts w:ascii="Aptos" w:hAnsi="Aptos"/>
                <w:b/>
                <w:sz w:val="16"/>
              </w:rPr>
              <w:t>First actions</w:t>
            </w:r>
          </w:p>
        </w:tc>
        <w:tc>
          <w:tcPr>
            <w:tcW w:type="dxa" w:w="2304"/>
            <w:vAlign w:val="center"/>
            <w:shd w:fill="E7EAF0"/>
          </w:tcPr>
          <w:p>
            <w:pPr>
              <w:spacing w:after="0"/>
            </w:pPr>
            <w:r/>
            <w:r>
              <w:rPr>
                <w:rFonts w:ascii="Aptos" w:hAnsi="Aptos"/>
                <w:b/>
                <w:sz w:val="16"/>
              </w:rPr>
              <w:t>Exit condition</w:t>
            </w:r>
          </w:p>
        </w:tc>
      </w:tr>
      <w:tr>
        <w:tc>
          <w:tcPr>
            <w:tcW w:type="dxa" w:w="2448"/>
            <w:vAlign w:val="center"/>
          </w:tcPr>
          <w:p>
            <w:pPr>
              <w:spacing w:after="0"/>
            </w:pPr>
            <w:r/>
            <w:r>
              <w:rPr>
                <w:rFonts w:ascii="Aptos" w:hAnsi="Aptos"/>
                <w:b w:val="0"/>
                <w:sz w:val="16"/>
              </w:rPr>
              <w:t>Compromised privileged account</w:t>
            </w:r>
          </w:p>
        </w:tc>
        <w:tc>
          <w:tcPr>
            <w:tcW w:type="dxa" w:w="6192"/>
            <w:vAlign w:val="center"/>
          </w:tcPr>
          <w:p>
            <w:pPr>
              <w:spacing w:after="0"/>
            </w:pPr>
            <w:r/>
            <w:r>
              <w:rPr>
                <w:rFonts w:ascii="Aptos" w:hAnsi="Aptos"/>
                <w:b w:val="0"/>
                <w:sz w:val="16"/>
              </w:rPr>
              <w:t>Disable session/token; reset credentials; review recent actions; hunt for persistence.</w:t>
            </w:r>
          </w:p>
        </w:tc>
        <w:tc>
          <w:tcPr>
            <w:tcW w:type="dxa" w:w="2304"/>
            <w:vAlign w:val="center"/>
          </w:tcPr>
          <w:p>
            <w:pPr>
              <w:spacing w:after="0"/>
            </w:pPr>
            <w:r/>
            <w:r>
              <w:rPr>
                <w:rFonts w:ascii="Aptos" w:hAnsi="Aptos"/>
                <w:b w:val="0"/>
                <w:sz w:val="16"/>
              </w:rPr>
              <w:t>Identity verified clean; no suspicious follow-on activity.</w:t>
            </w:r>
          </w:p>
        </w:tc>
      </w:tr>
      <w:tr>
        <w:tc>
          <w:tcPr>
            <w:tcW w:type="dxa" w:w="2448"/>
            <w:vAlign w:val="center"/>
          </w:tcPr>
          <w:p>
            <w:pPr>
              <w:spacing w:after="0"/>
            </w:pPr>
            <w:r/>
            <w:r>
              <w:rPr>
                <w:rFonts w:ascii="Aptos" w:hAnsi="Aptos"/>
                <w:b w:val="0"/>
                <w:sz w:val="16"/>
              </w:rPr>
              <w:t>Web server compromise</w:t>
            </w:r>
          </w:p>
        </w:tc>
        <w:tc>
          <w:tcPr>
            <w:tcW w:type="dxa" w:w="6192"/>
            <w:vAlign w:val="center"/>
          </w:tcPr>
          <w:p>
            <w:pPr>
              <w:spacing w:after="0"/>
            </w:pPr>
            <w:r/>
            <w:r>
              <w:rPr>
                <w:rFonts w:ascii="Aptos" w:hAnsi="Aptos"/>
                <w:b w:val="0"/>
                <w:sz w:val="16"/>
              </w:rPr>
              <w:t>Isolate host; preserve evidence; inspect processes/files; block C2; rebuild if integrity uncertain.</w:t>
            </w:r>
          </w:p>
        </w:tc>
        <w:tc>
          <w:tcPr>
            <w:tcW w:type="dxa" w:w="2304"/>
            <w:vAlign w:val="center"/>
          </w:tcPr>
          <w:p>
            <w:pPr>
              <w:spacing w:after="0"/>
            </w:pPr>
            <w:r/>
            <w:r>
              <w:rPr>
                <w:rFonts w:ascii="Aptos" w:hAnsi="Aptos"/>
                <w:b w:val="0"/>
                <w:sz w:val="16"/>
              </w:rPr>
              <w:t>Clean rebuild validated and monitoring active.</w:t>
            </w:r>
          </w:p>
        </w:tc>
      </w:tr>
      <w:tr>
        <w:tc>
          <w:tcPr>
            <w:tcW w:type="dxa" w:w="2448"/>
            <w:vAlign w:val="center"/>
          </w:tcPr>
          <w:p>
            <w:pPr>
              <w:spacing w:after="0"/>
            </w:pPr>
            <w:r/>
            <w:r>
              <w:rPr>
                <w:rFonts w:ascii="Aptos" w:hAnsi="Aptos"/>
                <w:b w:val="0"/>
                <w:sz w:val="16"/>
              </w:rPr>
              <w:t>Data exfiltration suspicion</w:t>
            </w:r>
          </w:p>
        </w:tc>
        <w:tc>
          <w:tcPr>
            <w:tcW w:type="dxa" w:w="6192"/>
            <w:vAlign w:val="center"/>
          </w:tcPr>
          <w:p>
            <w:pPr>
              <w:spacing w:after="0"/>
            </w:pPr>
            <w:r/>
            <w:r>
              <w:rPr>
                <w:rFonts w:ascii="Aptos" w:hAnsi="Aptos"/>
                <w:b w:val="0"/>
                <w:sz w:val="16"/>
              </w:rPr>
              <w:t>Preserve database/proxy/network logs; identify accounts and records; stop transfer; assess scope.</w:t>
            </w:r>
          </w:p>
        </w:tc>
        <w:tc>
          <w:tcPr>
            <w:tcW w:type="dxa" w:w="2304"/>
            <w:vAlign w:val="center"/>
          </w:tcPr>
          <w:p>
            <w:pPr>
              <w:spacing w:after="0"/>
            </w:pPr>
            <w:r/>
            <w:r>
              <w:rPr>
                <w:rFonts w:ascii="Aptos" w:hAnsi="Aptos"/>
                <w:b w:val="0"/>
                <w:sz w:val="16"/>
              </w:rPr>
              <w:t>Transfer contained and exposure assessment documented.</w:t>
            </w:r>
          </w:p>
        </w:tc>
      </w:tr>
      <w:tr>
        <w:tc>
          <w:tcPr>
            <w:tcW w:type="dxa" w:w="2448"/>
            <w:vAlign w:val="center"/>
          </w:tcPr>
          <w:p>
            <w:pPr>
              <w:spacing w:after="0"/>
            </w:pPr>
            <w:r/>
            <w:r>
              <w:rPr>
                <w:rFonts w:ascii="Aptos" w:hAnsi="Aptos"/>
                <w:b w:val="0"/>
                <w:sz w:val="16"/>
              </w:rPr>
              <w:t>DDoS</w:t>
            </w:r>
          </w:p>
        </w:tc>
        <w:tc>
          <w:tcPr>
            <w:tcW w:type="dxa" w:w="6192"/>
            <w:vAlign w:val="center"/>
          </w:tcPr>
          <w:p>
            <w:pPr>
              <w:spacing w:after="0"/>
            </w:pPr>
            <w:r/>
            <w:r>
              <w:rPr>
                <w:rFonts w:ascii="Aptos" w:hAnsi="Aptos"/>
                <w:b w:val="0"/>
                <w:sz w:val="16"/>
              </w:rPr>
              <w:t>Activate provider/network controls; rate-limit; protect critical endpoints; communicate service impact.</w:t>
            </w:r>
          </w:p>
        </w:tc>
        <w:tc>
          <w:tcPr>
            <w:tcW w:type="dxa" w:w="2304"/>
            <w:vAlign w:val="center"/>
          </w:tcPr>
          <w:p>
            <w:pPr>
              <w:spacing w:after="0"/>
            </w:pPr>
            <w:r/>
            <w:r>
              <w:rPr>
                <w:rFonts w:ascii="Aptos" w:hAnsi="Aptos"/>
                <w:b w:val="0"/>
                <w:sz w:val="16"/>
              </w:rPr>
              <w:t>Service stable and attack traffic controlled.</w:t>
            </w:r>
          </w:p>
        </w:tc>
      </w:tr>
      <w:tr>
        <w:tc>
          <w:tcPr>
            <w:tcW w:type="dxa" w:w="2448"/>
            <w:vAlign w:val="center"/>
          </w:tcPr>
          <w:p>
            <w:pPr>
              <w:spacing w:after="0"/>
            </w:pPr>
            <w:r/>
            <w:r>
              <w:rPr>
                <w:rFonts w:ascii="Aptos" w:hAnsi="Aptos"/>
                <w:b w:val="0"/>
                <w:sz w:val="16"/>
              </w:rPr>
              <w:t>Ransomware</w:t>
            </w:r>
          </w:p>
        </w:tc>
        <w:tc>
          <w:tcPr>
            <w:tcW w:type="dxa" w:w="6192"/>
            <w:vAlign w:val="center"/>
          </w:tcPr>
          <w:p>
            <w:pPr>
              <w:spacing w:after="0"/>
            </w:pPr>
            <w:r/>
            <w:r>
              <w:rPr>
                <w:rFonts w:ascii="Aptos" w:hAnsi="Aptos"/>
                <w:b w:val="0"/>
                <w:sz w:val="16"/>
              </w:rPr>
              <w:t>Isolate affected endpoints; protect backups; stop spread; preserve evidence; activate recovery plan.</w:t>
            </w:r>
          </w:p>
        </w:tc>
        <w:tc>
          <w:tcPr>
            <w:tcW w:type="dxa" w:w="2304"/>
            <w:vAlign w:val="center"/>
          </w:tcPr>
          <w:p>
            <w:pPr>
              <w:spacing w:after="0"/>
            </w:pPr>
            <w:r/>
            <w:r>
              <w:rPr>
                <w:rFonts w:ascii="Aptos" w:hAnsi="Aptos"/>
                <w:b w:val="0"/>
                <w:sz w:val="16"/>
              </w:rPr>
              <w:t>Threat eradicated and trusted recovery completed.</w:t>
            </w:r>
          </w:p>
        </w:tc>
      </w:tr>
    </w:tbl>
    <w:p>
      <w:pPr>
        <w:spacing w:after="20"/>
      </w:pPr>
    </w:p>
    <w:p>
      <w:pPr>
        <w:pStyle w:val="Heading2"/>
      </w:pPr>
      <w:r>
        <w:t>10.3 Human readiness</w:t>
      </w:r>
    </w:p>
    <w:p>
      <w:pPr>
        <w:pStyle w:val="ListBullet"/>
        <w:spacing w:after="40"/>
        <w:ind w:left="259"/>
      </w:pPr>
      <w:r>
        <w:t>Train all staff on reporting suspicious events without fear of blame.</w:t>
      </w:r>
    </w:p>
    <w:p>
      <w:pPr>
        <w:pStyle w:val="ListBullet"/>
        <w:spacing w:after="40"/>
        <w:ind w:left="259"/>
      </w:pPr>
      <w:r>
        <w:t>Train administrators on privileged access, phishing resistance and incident escalation.</w:t>
      </w:r>
    </w:p>
    <w:p>
      <w:pPr>
        <w:pStyle w:val="ListBullet"/>
        <w:spacing w:after="40"/>
        <w:ind w:left="259"/>
      </w:pPr>
      <w:r>
        <w:t>Train SOC analysts on log correlation, MITRE ATT&amp;CK mapping and evidence handling.</w:t>
      </w:r>
    </w:p>
    <w:p>
      <w:pPr>
        <w:pStyle w:val="ListBullet"/>
        <w:spacing w:after="40"/>
        <w:ind w:left="259"/>
      </w:pPr>
      <w:r>
        <w:t>Run tabletop exercises for management and communications teams.</w:t>
      </w:r>
    </w:p>
    <w:p>
      <w:pPr>
        <w:pStyle w:val="ListBullet"/>
        <w:spacing w:after="40"/>
        <w:ind w:left="259"/>
      </w:pPr>
      <w:r>
        <w:t>Test technical recovery using isolated environments before a real incident occurs.</w:t>
      </w:r>
    </w:p>
    <w:p>
      <w:pPr>
        <w:pStyle w:val="Heading2"/>
      </w:pPr>
      <w:r>
        <w:t>10.4 Expected outcomes</w:t>
      </w:r>
    </w:p>
    <w:p>
      <w:pPr>
        <w:pStyle w:val="ListBullet"/>
        <w:spacing w:after="40"/>
        <w:ind w:left="259"/>
      </w:pPr>
      <w:r>
        <w:t>Faster identification of abnormal behaviour.</w:t>
      </w:r>
    </w:p>
    <w:p>
      <w:pPr>
        <w:pStyle w:val="ListBullet"/>
        <w:spacing w:after="40"/>
        <w:ind w:left="259"/>
      </w:pPr>
      <w:r>
        <w:t>Reduced attacker dwell time and lateral movement.</w:t>
      </w:r>
    </w:p>
    <w:p>
      <w:pPr>
        <w:pStyle w:val="ListBullet"/>
        <w:spacing w:after="40"/>
        <w:ind w:left="259"/>
      </w:pPr>
      <w:r>
        <w:t>More reliable evidence and incident timelines.</w:t>
      </w:r>
    </w:p>
    <w:p>
      <w:pPr>
        <w:pStyle w:val="ListBullet"/>
        <w:spacing w:after="40"/>
        <w:ind w:left="259"/>
      </w:pPr>
      <w:r>
        <w:t>Predictable escalation and regulatory readiness.</w:t>
      </w:r>
    </w:p>
    <w:p>
      <w:pPr>
        <w:pStyle w:val="ListBullet"/>
        <w:spacing w:after="40"/>
        <w:ind w:left="259"/>
      </w:pPr>
      <w:r>
        <w:t>Safer restoration of citizen-facing services.</w:t>
      </w:r>
    </w:p>
    <w:p>
      <w:pPr>
        <w:pStyle w:val="ListBullet"/>
        <w:spacing w:after="40"/>
        <w:ind w:left="259"/>
      </w:pPr>
      <w:r>
        <w:t>A measurable feedback loop from incidents into improved controls.</w:t>
      </w:r>
    </w:p>
    <w:p>
      <w:r>
        <w:br w:type="page"/>
      </w:r>
    </w:p>
    <w:p>
      <w:pPr>
        <w:pStyle w:val="Heading1"/>
      </w:pPr>
      <w:r>
        <w:t>11. Conclusion</w:t>
      </w:r>
    </w:p>
    <w:p>
      <w:r>
        <w:t>A digital governance environment cannot depend on perimeter security alone. Effective incident response requires continuous visibility, well-defined roles, disciplined evidence handling, rapid containment and tested recovery. The proposed SCSP strategy combines network intrusion detection, endpoint monitoring, centralized logs, behavioural analytics and structured human decision-making.</w:t>
      </w:r>
    </w:p>
    <w:p>
      <w:r>
        <w:t>The most important operational recommendation is to make the plan executable before a crisis occurs. Contacts, severity criteria, log sources, containment actions, evidence locations, backup procedures and reporting paths should all be documented and exercised. When an incident occurs, responders should not have to invent the process while citizens are waiting for services to return.</w:t>
      </w:r>
    </w:p>
    <w:p>
      <w:r>
        <w:t>The strategy also deliberately avoids dependence on a single commercial product. Open-source technologies such as Suricata, Wazuh and Zeek can provide a strong starting point, while the organization can integrate additional enterprise capabilities as scale and risk increase. The architecture should be reviewed regularly against evolving threats, national requirements and lessons from exercises and real incidents.</w:t>
      </w:r>
    </w:p>
    <w:p>
      <w:pPr>
        <w:pStyle w:val="Heading1"/>
      </w:pPr>
      <w:r>
        <w:t>12. References and Public Frameworks</w:t>
      </w:r>
    </w:p>
    <w:p>
      <w:pPr>
        <w:spacing w:after="60"/>
        <w:ind w:left="360" w:hanging="360"/>
      </w:pPr>
      <w:r>
        <w:t>[1] NIST, SP 800-61 Rev. 3, “Incident Response Recommendations and Considerations for Cybersecurity Risk Management: A CSF 2.0 Community Profile,” April 2025.</w:t>
      </w:r>
    </w:p>
    <w:p>
      <w:pPr>
        <w:spacing w:after="60"/>
        <w:ind w:left="360" w:hanging="360"/>
      </w:pPr>
      <w:r>
        <w:t>[2] NIST, “The NIST Cybersecurity Framework (CSF) 2.0,” NIST CSWP 29, February 2024.</w:t>
      </w:r>
    </w:p>
    <w:p>
      <w:pPr>
        <w:spacing w:after="60"/>
        <w:ind w:left="360" w:hanging="360"/>
      </w:pPr>
      <w:r>
        <w:t>[3] CERT-In, “Directions under sub-section (6) of section 70B of the Information Technology Act, 2000,” 28 April 2022.</w:t>
      </w:r>
    </w:p>
    <w:p>
      <w:pPr>
        <w:spacing w:after="60"/>
        <w:ind w:left="360" w:hanging="360"/>
      </w:pPr>
      <w:r>
        <w:t>[4] CERT-In, “Guidelines on Information Security Practices for Government Entities,” June 2023.</w:t>
      </w:r>
    </w:p>
    <w:p>
      <w:pPr>
        <w:spacing w:after="60"/>
        <w:ind w:left="360" w:hanging="360"/>
      </w:pPr>
      <w:r>
        <w:t>[5] CISA, “Incident Response Plan (IRP) Basics,” February 2024.</w:t>
      </w:r>
    </w:p>
    <w:p>
      <w:pPr>
        <w:spacing w:after="60"/>
        <w:ind w:left="360" w:hanging="360"/>
      </w:pPr>
      <w:r>
        <w:t>[6] MITRE ATT&amp;CK, Enterprise Tactics and Techniques, public knowledge base.</w:t>
      </w:r>
    </w:p>
    <w:p>
      <w:pPr>
        <w:spacing w:after="60"/>
        <w:ind w:left="360" w:hanging="360"/>
      </w:pPr>
      <w:r>
        <w:t>[7] Suricata Documentation, “What is Suricata?” Open Information Security Foundation.</w:t>
      </w:r>
    </w:p>
    <w:p>
      <w:pPr>
        <w:spacing w:after="60"/>
        <w:ind w:left="360" w:hanging="360"/>
      </w:pPr>
      <w:r>
        <w:t>[8] Wazuh Documentation, “Quickstart / Platform Overview,” open-source XDR and SIEM documentation.</w:t>
      </w:r>
    </w:p>
    <w:p>
      <w:pPr>
        <w:spacing w:after="60"/>
        <w:ind w:left="360" w:hanging="360"/>
      </w:pPr>
      <w:r>
        <w:t>[9] NIST, SP 800-184, “Guide for Cybersecurity Event Recovery,” December 2016.</w:t>
      </w:r>
    </w:p>
    <w:p>
      <w:pPr>
        <w:spacing w:after="60"/>
        <w:ind w:left="360" w:hanging="360"/>
      </w:pPr>
      <w:r>
        <w:t>[10] NIST, SP 800-92, “Guide to Computer Security Log Management,” and related log-management resources.</w:t>
      </w:r>
    </w:p>
    <w:p>
      <w:pPr>
        <w:pStyle w:val="Heading2"/>
      </w:pPr>
      <w:r>
        <w:t>Appendix A – Submission Description (200+ words)</w:t>
      </w:r>
    </w:p>
    <w:p>
      <w:r>
        <w:t>This report presents a structured Incident Response and Intrusion Detection Strategy designed for a hypothetical digital-governance environment. The project simulates a realistic cyber incident affecting a State Citizen Services Portal and demonstrates how a security team can detect, analyze, contain, eradicate and recover from the attack while protecting citizen services and preserving evidence. The strategy combines established cybersecurity practices with publicly available technologies and frameworks. NIST Cybersecurity Framework 2.0 and NIST SP 800-61 Revision 3 provide the overall risk-management and incident-response foundation, while MITRE ATT&amp;CK is used to describe attacker behaviour and improve detection coverage. The technical detection design incorporates open-source tools such as Suricata for network intrusion detection, Wazuh for endpoint and SIEM capabilities, and Zeek for network security monitoring. The report also explains centralized logging, event correlation, anomaly detection, evidence preservation, severity classification, escalation, communication and recovery validation. A dedicated communication plan defines responsibilities for the incident commander, SOC, IT, application and data owners, legal/privacy functions, management and communications teams. The recovery section introduces validation gates so that services are not restored until the threat has been removed, vulnerabilities addressed, integrity verified and enhanced monitoring enabled. Finally, the project proposes measurable indicators such as Mean Time to Detect, Mean Time to Contain, Mean Time to Recover, log coverage and playbook-test success. The overall objective is to demonstrate a professional, repeatable and auditable approach to cyber incident management in e-governance, with continuous improvement built into the lifecycle.</w:t>
      </w:r>
    </w:p>
    <w:sectPr w:rsidR="00FC693F" w:rsidRPr="0006063C" w:rsidSect="00034616">
      <w:headerReference w:type="default" r:id="rId10"/>
      <w:footerReference w:type="default" r:id="rId1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Raja Rajeshwari College of Engineering • B.E. Artificial Intelligence</w:t>
    </w:r>
    <w:r>
      <w:t xml:space="preserv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5"/>
      </w:rPr>
      <w:t>WEEK 3 • INCIDENT RESPONSE &amp; INTRUSION DETECTION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Response and Intrusion Detection Strategy for Digital Governance</dc:title>
  <dc:subject>Week 3 Internship Task</dc:subject>
  <dc:creator>Manasvi H H</dc:creator>
  <cp:keywords>Incident Response, IDS, SIEM, E-Governance, NIST, CERT-In, Suricata, Wazuh, MITRE ATT&amp;CK</cp:keywords>
  <dc:description>generated by python-docx</dc:description>
  <cp:lastModifiedBy/>
  <cp:revision>1</cp:revision>
  <dcterms:created xsi:type="dcterms:W3CDTF">2013-12-23T23:15:00Z</dcterms:created>
  <dcterms:modified xsi:type="dcterms:W3CDTF">2013-12-23T23:15:00Z</dcterms:modified>
  <cp:category/>
</cp:coreProperties>
</file>