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Department of Physics,</w:t>
      </w:r>
      <w:r>
        <w:rPr>
          <w:i/>
          <w:iCs/>
        </w:rPr>
        <w:t xml:space="preserve"> </w:t>
      </w:r>
      <w:r>
        <w:rPr>
          <w:b/>
          <w:bCs/>
          <w:i/>
          <w:iCs/>
        </w:rPr>
        <w:t xml:space="preserve">[AFFILIATION REQUIRED — DO NOT SUBMIT WITH PLACEHOLDER]</w:t>
      </w:r>
    </w:p>
    <w:p>
      <w:pPr>
        <w:pStyle w:val="BodyText"/>
      </w:pPr>
      <w:r>
        <w:rPr>
          <w:b/>
          <w:bCs/>
        </w:rPr>
        <w:t xml:space="preserve">Corresponding author:</w:t>
      </w:r>
      <w:r>
        <w:t xml:space="preserve"> </w:t>
      </w:r>
      <w:r>
        <w:t xml:space="preserve">[email]</w:t>
      </w:r>
    </w:p>
    <w:p>
      <w:pPr>
        <w:pStyle w:val="BodyText"/>
      </w:pPr>
      <w:r>
        <w:rPr>
          <w:b/>
          <w:bCs/>
        </w:rPr>
        <w:t xml:space="preserve">Manuscript version:</w:t>
      </w:r>
      <w:r>
        <w:t xml:space="preserve"> </w:t>
      </w:r>
      <w:r>
        <w:t xml:space="preserve">v04 (v03-r4 → v04: Phase 4 internal audit applied — abstract RVE wording, H1 energy qualifier, §4.2 beam description, §5.1.3 EPDL97 citation, §5.2.2 stale note removed, §3.3 feasibility note, §8 limitations updated; figure style guide compliance applied)</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Nanoparticle-loaded radiation-shielding materials are routinely simulated in Geant4 as elemental homogeneous mixtures, despite the term</w:t>
      </w:r>
      <w:r>
        <w:t xml:space="preserve"> </w:t>
      </w:r>
      <w:r>
        <w:rPr>
          <w:i/>
          <w:iCs/>
        </w:rPr>
        <w:t xml:space="preserve">nanocomposite</w:t>
      </w:r>
      <w:r>
        <w:t xml:space="preserve"> </w:t>
      </w:r>
      <w:r>
        <w:t xml:space="preserve">implying a resolved microstructure. The validity boundary of this homogenisation has not been systematically mapped against the explicit-geometry alternatives that Geant4 actually supports, and the computational cost of moving beyond homogenisation is rarely quantified. This paper presents a controlled benchmark of three Geant4 modelling regimes applied to an HDPE/Bi₂O₃ nanocomposite at volume fraction</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derived from the linear mixture rule with pure-phase densities</w:t>
      </w:r>
      <w:r>
        <w:t xml:space="preserve"> </w:t>
      </w:r>
      <m:oMath>
        <m:sSub>
          <m:e>
            <m:r>
              <m:t>ρ</m:t>
            </m:r>
          </m:e>
          <m:sub>
            <m:r>
              <m:t>f</m:t>
            </m:r>
          </m:sub>
        </m:sSub>
        <m:r>
          <m:rPr>
            <m:sty m:val="p"/>
          </m:rPr>
          <m:t>=</m:t>
        </m:r>
        <m:r>
          <m:t>8.9</m:t>
        </m:r>
      </m:oMath>
      <w:r>
        <w:t xml:space="preserve"> </w:t>
      </w:r>
      <w:r>
        <w:t xml:space="preserve">and</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(A) effective-medium mass-fraction</w:t>
      </w:r>
      <w:r>
        <w:t xml:space="preserve"> </w:t>
      </w:r>
      <w:r>
        <w:rPr>
          <w:rStyle w:val="VerbatimChar"/>
        </w:rPr>
        <w:t xml:space="preserve">G4Material</w:t>
      </w:r>
      <w:r>
        <w:t xml:space="preserve">; (B) explicit nanoparticle placement via</w:t>
      </w:r>
      <w:r>
        <w:t xml:space="preserve"> </w:t>
      </w:r>
      <w:r>
        <w:rPr>
          <w:rStyle w:val="VerbatimChar"/>
        </w:rPr>
        <w:t xml:space="preserve">G4PVParameterised</w:t>
      </w:r>
      <w:r>
        <w:t xml:space="preserve"> </w:t>
      </w:r>
      <w:r>
        <w:t xml:space="preserve">inside a 1 µm representative-volume-element (RVE) cube; and (C) voxelised</w:t>
      </w:r>
      <w:r>
        <w:t xml:space="preserve"> </w:t>
      </w:r>
      <w:r>
        <w:rPr>
          <w:rStyle w:val="VerbatimChar"/>
        </w:rPr>
        <w:t xml:space="preserve">G4MultiUnion</w:t>
      </w:r>
      <w:r>
        <w:t xml:space="preserve"> </w:t>
      </w:r>
      <w:r>
        <w:t xml:space="preserve">inclusion clusters inside a 250 nm RVE (</w:t>
      </w:r>
      <m:oMath>
        <m:r>
          <m:t>N</m:t>
        </m:r>
        <m:r>
          <m:rPr>
            <m:sty m:val="p"/>
          </m:rPr>
          <m:t>=</m:t>
        </m:r>
        <m:r>
          <m:t>45</m:t>
        </m:r>
      </m:oMath>
      <w:r>
        <w:t xml:space="preserve"> </w:t>
      </w:r>
      <w:r>
        <w:t xml:space="preserve">spheres). All three regimes use the same Geant4 11.4 build, the same physics list (</w:t>
      </w:r>
      <w:r>
        <w:rPr>
          <w:rStyle w:val="VerbatimChar"/>
        </w:rPr>
        <w:t xml:space="preserve">G4EmLivermorePhysics</w:t>
      </w:r>
      <w:r>
        <w:t xml:space="preserve">), and a matched photon energy grid spanning 30 keV–1.33 MeV. The primary endpoint is the mass attenuation coefficient</w:t>
      </w:r>
      <w:r>
        <w:t xml:space="preserve"> </w:t>
      </w:r>
      <m:oMath>
        <m:r>
          <m:t>μ</m:t>
        </m:r>
        <m:r>
          <m:rPr>
            <m:sty m:val="p"/>
          </m:rPr>
          <m:t>/</m:t>
        </m:r>
        <m:r>
          <m:t>ρ</m:t>
        </m:r>
        <m:r>
          <m:rPr>
            <m:sty m:val="p"/>
          </m:rPr>
          <m:t>(</m:t>
        </m:r>
        <m:r>
          <m:t>E</m:t>
        </m:r>
        <m:r>
          <m:rPr>
            <m:sty m:val="p"/>
          </m:rPr>
          <m:t>)</m:t>
        </m:r>
      </m:oMath>
      <w:r>
        <w:t xml:space="preserve"> </w:t>
      </w:r>
      <w:r>
        <w:t xml:space="preserve">compared against NIST XCOM.</w:t>
      </w:r>
    </w:p>
    <w:p>
      <w:pPr>
        <w:pStyle w:val="BodyText"/>
      </w:pPr>
      <w:r>
        <w:t xml:space="preserve">Two regime-A (effective-medium) benchmarks are reported: (i) an XCOM validation run at 30 wt% Bi₂O₃ (</w:t>
      </w:r>
      <m:oMath>
        <m:r>
          <m:t>ρ</m:t>
        </m:r>
        <m:r>
          <m:rPr>
            <m:sty m:val="p"/>
          </m:rPr>
          <m:t>=</m:t>
        </m:r>
        <m:r>
          <m:t>2.45</m:t>
        </m:r>
      </m:oMath>
      <w:r>
        <w:t xml:space="preserve"> </w:t>
      </w:r>
      <w:r>
        <w:t xml:space="preserve">g cm</w:t>
      </w:r>
      <m:oMath>
        <m:sSup>
          <m:e>
            <m:r>
              <m:t>​</m:t>
            </m:r>
          </m:e>
          <m:sup>
            <m:r>
              <m:rPr>
                <m:sty m:val="p"/>
              </m:rPr>
              <m:t>−</m:t>
            </m:r>
            <m:r>
              <m:t>3</m:t>
            </m:r>
          </m:sup>
        </m:sSup>
      </m:oMath>
      <w:r>
        <w:t xml:space="preserve">,</w:t>
      </w:r>
      <w:r>
        <w:t xml:space="preserve"> </w:t>
      </w:r>
      <m:oMath>
        <m:sSup>
          <m:e>
            <m:r>
              <m:t>10</m:t>
            </m:r>
          </m:e>
          <m:sup>
            <m:r>
              <m:t>6</m:t>
            </m:r>
          </m:sup>
        </m:sSup>
      </m:oMath>
      <w:r>
        <w:t xml:space="preserve"> </w:t>
      </w:r>
      <w:r>
        <w:t xml:space="preserve">histories per point) that yields mean and maximum absolute percent differences of</w:t>
      </w:r>
      <w:r>
        <w:t xml:space="preserve"> </w:t>
      </w:r>
      <w:r>
        <w:rPr>
          <w:b/>
          <w:bCs/>
        </w:rPr>
        <w:t xml:space="preserve">0.549%</w:t>
      </w:r>
      <w:r>
        <w:t xml:space="preserve"> </w:t>
      </w:r>
      <w:r>
        <w:t xml:space="preserve">and</w:t>
      </w:r>
      <w:r>
        <w:t xml:space="preserve"> </w:t>
      </w:r>
      <w:r>
        <w:rPr>
          <w:b/>
          <w:bCs/>
        </w:rPr>
        <w:t xml:space="preserve">2.013%</w:t>
      </w:r>
      <w:r>
        <w:t xml:space="preserve"> </w:t>
      </w:r>
      <w:r>
        <w:t xml:space="preserve">against XCOM, satisfying pre-registered acceptance thresholds; and (ii) a cross-regime companion run at the composition matching the RVE phases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same energy grid), which serves as the regime-A baseline for the H1 test. Regimes B and C (explicit RVE, G4PVParameterised and G4MultiUnion respectively) use random-sequential-addition placement of Bi₂O₃ spheres (radius 25 nm,</w:t>
      </w:r>
      <w:r>
        <w:t xml:space="preserve"> </w:t>
      </w:r>
      <m:oMath>
        <m:sSub>
          <m:e>
            <m:r>
              <m:t>ϕ</m:t>
            </m:r>
          </m:e>
          <m:sub>
            <m:r>
              <m:t>f</m:t>
            </m:r>
          </m:sub>
        </m:sSub>
        <m:r>
          <m:rPr>
            <m:sty m:val="p"/>
          </m:rPr>
          <m:t>=</m:t>
        </m:r>
        <m:r>
          <m:t>0.189</m:t>
        </m:r>
      </m:oMath>
      <w:r>
        <w:t xml:space="preserve">, 68.6 wt%) inside the RVE host; simulations are executed at</w:t>
      </w:r>
      <w:r>
        <w:t xml:space="preserve"> </w:t>
      </w:r>
      <m:oMath>
        <m:sSup>
          <m:e>
            <m:r>
              <m:t>10</m:t>
            </m:r>
          </m:e>
          <m:sup>
            <m:r>
              <m:t>7</m:t>
            </m:r>
          </m:sup>
        </m:sSup>
      </m:oMath>
      <w:r>
        <w:t xml:space="preserve"> </w:t>
      </w:r>
      <w:r>
        <w:t xml:space="preserve">histories per energy point. Regime B (1 µm RVE,</w:t>
      </w:r>
      <w:r>
        <w:t xml:space="preserve"> </w:t>
      </w:r>
      <m:oMath>
        <m:r>
          <m:t>N</m:t>
        </m:r>
        <m:r>
          <m:rPr>
            <m:sty m:val="p"/>
          </m:rPr>
          <m:t>=</m:t>
        </m:r>
        <m:r>
          <m:t>2</m:t>
        </m:r>
        <m:r>
          <m:rPr>
            <m:sty m:val="p"/>
          </m:rPr>
          <m:t>,</m:t>
        </m:r>
        <m:r>
          <m:t>888</m:t>
        </m:r>
      </m:oMath>
      <w:r>
        <w:t xml:space="preserve"> </w:t>
      </w:r>
      <w:r>
        <w:t xml:space="preserve">spheres) confirms effective-medium agreement within the 3% H1 gate at 30–150 keV (</w:t>
      </w:r>
      <m:oMath>
        <m:sSub>
          <m:e>
            <m:r>
              <m:t>μ</m:t>
            </m:r>
          </m:e>
          <m:sub>
            <m:r>
              <m:t>B</m:t>
            </m:r>
          </m:sub>
        </m:sSub>
        <m:r>
          <m:rPr>
            <m:sty m:val="p"/>
          </m:rPr>
          <m:t>/</m:t>
        </m:r>
        <m:sSub>
          <m:e>
            <m:r>
              <m:t>μ</m:t>
            </m:r>
          </m:e>
          <m:sub>
            <m:r>
              <m:t>A</m:t>
            </m:r>
            <m:r>
              <m:rPr>
                <m:sty m:val="p"/>
              </m:rPr>
              <m:t>,</m:t>
            </m:r>
            <m:r>
              <m:t>ϕ</m:t>
            </m:r>
          </m:sub>
        </m:sSub>
        <m:r>
          <m:rPr>
            <m:sty m:val="p"/>
          </m:rPr>
          <m:t>=</m:t>
        </m:r>
        <m:r>
          <m:t>0.975</m:t>
        </m:r>
      </m:oMath>
      <w:r>
        <w:t xml:space="preserve">–0.984), correctly resolves the Bi K-edge jump (×2.3 at 100 keV), and agrees with NIST XCOM to within 1.6–4.0% at those energies. Regime C (250 nm RVE,</w:t>
      </w:r>
      <w:r>
        <w:t xml:space="preserve"> </w:t>
      </w:r>
      <m:oMath>
        <m:r>
          <m:t>N</m:t>
        </m:r>
        <m:r>
          <m:rPr>
            <m:sty m:val="p"/>
          </m:rPr>
          <m:t>=</m:t>
        </m:r>
        <m:r>
          <m:t>45</m:t>
        </m:r>
      </m:oMath>
      <w:r>
        <w:t xml:space="preserve"> </w:t>
      </w:r>
      <w:r>
        <w:t xml:space="preserve">spheres,</w:t>
      </w:r>
      <w:r>
        <w:t xml:space="preserve"> </w:t>
      </w:r>
      <w:r>
        <w:rPr>
          <w:rStyle w:val="VerbatimChar"/>
        </w:rPr>
        <w:t xml:space="preserve">G4MultiUnion</w:t>
      </w:r>
      <w:r>
        <w:t xml:space="preserve">, distributed beam sampling) confirms H1 at 30–150 keV (</w:t>
      </w:r>
      <m:oMath>
        <m:sSub>
          <m:e>
            <m:r>
              <m:t>μ</m:t>
            </m:r>
          </m:e>
          <m:sub>
            <m:r>
              <m:t>C</m:t>
            </m:r>
          </m:sub>
        </m:sSub>
        <m:r>
          <m:rPr>
            <m:sty m:val="p"/>
          </m:rPr>
          <m:t>/</m:t>
        </m:r>
        <m:sSub>
          <m:e>
            <m:r>
              <m:t>μ</m:t>
            </m:r>
          </m:e>
          <m:sub>
            <m:r>
              <m:t>A</m:t>
            </m:r>
            <m:r>
              <m:rPr>
                <m:sty m:val="p"/>
              </m:rPr>
              <m:t>,</m:t>
            </m:r>
            <m:r>
              <m:t>ϕ</m:t>
            </m:r>
          </m:sub>
        </m:sSub>
        <m:r>
          <m:rPr>
            <m:sty m:val="p"/>
          </m:rPr>
          <m:t>=</m:t>
        </m:r>
        <m:r>
          <m:t>0.982</m:t>
        </m:r>
      </m:oMath>
      <w:r>
        <w:t xml:space="preserve">–1.016), with XCOM agreement of −2.3% to +1.2% at those energies. The</w:t>
      </w:r>
      <w:r>
        <w:t xml:space="preserve"> </w:t>
      </w:r>
      <w:r>
        <w:rPr>
          <w:rStyle w:val="VerbatimChar"/>
        </w:rPr>
        <w:t xml:space="preserve">G4Voxelizer</w:t>
      </w:r>
      <w:r>
        <w:t xml:space="preserve"> </w:t>
      </w:r>
      <w:r>
        <w:t xml:space="preserve">memory scaling (</w:t>
      </w:r>
      <m:oMath>
        <m:r>
          <m:rPr>
            <m:sty m:val="p"/>
          </m:rPr>
          <m:t>(</m:t>
        </m:r>
        <m:r>
          <m:t>2</m:t>
        </m:r>
        <m:r>
          <m:t>N</m:t>
        </m:r>
        <m:sSup>
          <m:e>
            <m:r>
              <m:rPr>
                <m:sty m:val="p"/>
              </m:rPr>
              <m:t>)</m:t>
            </m:r>
          </m:e>
          <m:sup>
            <m:r>
              <m:t>3</m:t>
            </m:r>
          </m:sup>
        </m:sSup>
      </m:oMath>
      <w:r>
        <w:t xml:space="preserve"> </w:t>
      </w:r>
      <w:r>
        <w:t xml:space="preserve">cells) limits the feasible node count to</w:t>
      </w:r>
      <w:r>
        <w:t xml:space="preserve"> </w:t>
      </w:r>
      <m:oMath>
        <m:r>
          <m:t>N</m:t>
        </m:r>
        <m:r>
          <m:rPr>
            <m:sty m:val="p"/>
          </m:rPr>
          <m:t>≲</m:t>
        </m:r>
        <m:r>
          <m:t>50</m:t>
        </m:r>
      </m:oMath>
      <w:r>
        <w:t xml:space="preserve"> </w:t>
      </w:r>
      <w:r>
        <w:t xml:space="preserve">on an 8 GB workstation; this is characterised as a scalability finding. All three regimes are complete and the cross-regime comparison figure (Figure F-cross, A+B+C) has been generated.</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 · Monte Carlo benchmarking · reproducible workflow</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contributes (i) a controlled three-regime benchmark for nanocomposite shielding in Geant4; (ii) a quantitative test of the effective-medium hypothesis against explicit nanoparticle geometry over a diagnostically relevant energy range; (iii) an open, reproducible benchmark harness released with ShieldLab G4 v1.1.</w:t>
      </w:r>
    </w:p>
    <w:p>
      <w:pPr>
        <w:pStyle w:val="BodyText"/>
      </w:pPr>
      <w:r>
        <w:rPr>
          <w:b/>
          <w:bCs/>
        </w:rPr>
        <w:t xml:space="preserve">Hypothesis (H1).</w:t>
      </w:r>
      <w:r>
        <w:t xml:space="preserve"> </w:t>
      </w:r>
      <w:r>
        <w:t xml:space="preserve">For photon energies where the photon mean free path greatly exceeds the nanoparticle radius (</w:t>
      </w:r>
      <m:oMath>
        <m:r>
          <m:t>μ</m:t>
        </m:r>
        <m:r>
          <m:t>r</m:t>
        </m:r>
        <m:r>
          <m:rPr>
            <m:sty m:val="p"/>
          </m:rPr>
          <m:t>≪</m:t>
        </m:r>
        <m:r>
          <m:t>1</m:t>
        </m:r>
      </m:oMath>
      <w:r>
        <w:t xml:space="preserve">, i.e.,</w:t>
      </w:r>
      <w:r>
        <w:t xml:space="preserve">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2"/>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2"/>
        </w:numPr>
      </w:pPr>
      <w:r>
        <w:t xml:space="preserve">Coherent (Rayleigh) inter-particle interference is negligible (true above ~10 keV for amorphous nanocomposites).</w:t>
      </w:r>
    </w:p>
    <w:p>
      <w:pPr>
        <w:pStyle w:val="Compact"/>
        <w:numPr>
          <w:ilvl w:val="0"/>
          <w:numId w:val="1002"/>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and</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w:t>
      </w:r>
      <w:r>
        <w:t xml:space="preserve">(Bi₂O₃). For the target composite density</w:t>
      </w:r>
      <w:r>
        <w:t xml:space="preserve"> </w:t>
      </w:r>
      <m:oMath>
        <m:sSub>
          <m:e>
            <m:r>
              <m:t>ρ</m:t>
            </m:r>
          </m:e>
          <m:sub>
            <m:r>
              <m:rPr>
                <m:nor/>
                <m:sty m:val="p"/>
              </m:rPr>
              <m:t>eff</m:t>
            </m:r>
          </m:sub>
        </m:sSub>
        <m:r>
          <m:rPr>
            <m:sty m:val="p"/>
          </m:rPr>
          <m:t>=</m:t>
        </m:r>
        <m:r>
          <m:t>2.45</m:t>
        </m:r>
      </m:oMath>
      <w:r>
        <w:t xml:space="preserve"> </w:t>
      </w:r>
      <w:r>
        <w:t xml:space="preserve">g cm</w:t>
      </w:r>
      <m:oMath>
        <m:sSup>
          <m:e>
            <m:r>
              <m:t>​</m:t>
            </m:r>
          </m:e>
          <m:sup>
            <m:r>
              <m:rPr>
                <m:sty m:val="p"/>
              </m:rPr>
              <m:t>−</m:t>
            </m:r>
            <m:r>
              <m:t>3</m:t>
            </m:r>
          </m:sup>
        </m:sSup>
      </m:oMath>
      <w:r>
        <w:t xml:space="preserve">, the filler volume fraction derived from the linear mixture rule is</w:t>
      </w:r>
    </w:p>
    <w:p>
      <w:pPr>
        <w:pStyle w:val="BodyText"/>
      </w:pPr>
      <m:oMathPara>
        <m:oMathParaPr>
          <m:jc m:val="center"/>
        </m:oMathParaPr>
        <m:oMath>
          <m:sSub>
            <m:e>
              <m:r>
                <m:t>ϕ</m:t>
              </m:r>
            </m:e>
            <m:sub>
              <m:r>
                <m:t>f</m:t>
              </m:r>
            </m:sub>
          </m:sSub>
          <m:r>
            <m:rPr>
              <m:sty m:val="p"/>
            </m:rPr>
            <m:t>=</m:t>
          </m:r>
          <m:f>
            <m:fPr>
              <m:type m:val="bar"/>
            </m:fPr>
            <m:num>
              <m:sSub>
                <m:e>
                  <m:r>
                    <m:t>ρ</m:t>
                  </m:r>
                </m:e>
                <m:sub>
                  <m:r>
                    <m:rPr>
                      <m:nor/>
                      <m:sty m:val="p"/>
                    </m:rPr>
                    <m:t>eff</m:t>
                  </m:r>
                </m:sub>
              </m:sSub>
              <m:r>
                <m:rPr>
                  <m:sty m:val="p"/>
                </m:rPr>
                <m:t>−</m:t>
              </m:r>
              <m:sSub>
                <m:e>
                  <m:r>
                    <m:t>ρ</m:t>
                  </m:r>
                </m:e>
                <m:sub>
                  <m:r>
                    <m:t>m</m:t>
                  </m:r>
                </m:sub>
              </m:sSub>
            </m:num>
            <m:den>
              <m:sSub>
                <m:e>
                  <m:r>
                    <m:t>ρ</m:t>
                  </m:r>
                </m:e>
                <m:sub>
                  <m:r>
                    <m:t>f</m:t>
                  </m:r>
                </m:sub>
              </m:sSub>
              <m:r>
                <m:rPr>
                  <m:sty m:val="p"/>
                </m:rPr>
                <m:t>−</m:t>
              </m:r>
              <m:sSub>
                <m:e>
                  <m:r>
                    <m:t>ρ</m:t>
                  </m:r>
                </m:e>
                <m:sub>
                  <m:r>
                    <m:t>m</m:t>
                  </m:r>
                </m:sub>
              </m:sSub>
            </m:den>
          </m:f>
          <m:r>
            <m:rPr>
              <m:sty m:val="p"/>
            </m:rPr>
            <m:t>=</m:t>
          </m:r>
          <m:f>
            <m:fPr>
              <m:type m:val="bar"/>
            </m:fPr>
            <m:num>
              <m:r>
                <m:t>2.45</m:t>
              </m:r>
              <m:r>
                <m:rPr>
                  <m:sty m:val="p"/>
                </m:rPr>
                <m:t>−</m:t>
              </m:r>
              <m:r>
                <m:t>0.95</m:t>
              </m:r>
            </m:num>
            <m:den>
              <m:r>
                <m:t>8.9</m:t>
              </m:r>
              <m:r>
                <m:rPr>
                  <m:sty m:val="p"/>
                </m:rPr>
                <m:t>−</m:t>
              </m:r>
              <m:r>
                <m:t>0.95</m:t>
              </m:r>
            </m:den>
          </m:f>
          <m:r>
            <m:rPr>
              <m:sty m:val="p"/>
            </m:rPr>
            <m:t>=</m:t>
          </m:r>
          <m:r>
            <m:t>0.189</m:t>
          </m:r>
          <m:r>
            <m:rPr>
              <m:sty m:val="p"/>
            </m:rPr>
            <m:t>.</m:t>
          </m:r>
        </m:oMath>
      </m:oMathPara>
    </w:p>
    <w:p>
      <w:pPr>
        <w:pStyle w:val="FirstParagraph"/>
      </w:pPr>
      <w:r>
        <w:t xml:space="preserve">The corresponding filler</w:t>
      </w:r>
      <w:r>
        <w:t xml:space="preserve"> </w:t>
      </w:r>
      <w:r>
        <w:rPr>
          <w:b/>
          <w:bCs/>
        </w:rPr>
        <w:t xml:space="preserve">mass fraction</w:t>
      </w:r>
      <w:r>
        <w:t xml:space="preserve"> </w:t>
      </w:r>
      <w:r>
        <w:t xml:space="preserve">is</w:t>
      </w:r>
      <w:r>
        <w:t xml:space="preserve"> </w:t>
      </w:r>
      <m:oMath>
        <m:sSub>
          <m:e>
            <m:r>
              <m:t>w</m:t>
            </m:r>
          </m:e>
          <m:sub>
            <m:r>
              <m:t>f</m:t>
            </m:r>
          </m:sub>
        </m:sSub>
        <m:r>
          <m:rPr>
            <m:sty m:val="p"/>
          </m:rPr>
          <m:t>=</m:t>
        </m:r>
        <m:sSub>
          <m:e>
            <m:r>
              <m:t>ϕ</m:t>
            </m:r>
          </m:e>
          <m:sub>
            <m:r>
              <m:t>f</m:t>
            </m:r>
          </m:sub>
        </m:sSub>
        <m:sSub>
          <m:e>
            <m:r>
              <m:t>ρ</m:t>
            </m:r>
          </m:e>
          <m:sub>
            <m:r>
              <m:t>f</m:t>
            </m:r>
          </m:sub>
        </m:sSub>
        <m:r>
          <m:rPr>
            <m:sty m:val="p"/>
          </m:rPr>
          <m:t>/</m:t>
        </m:r>
        <m:sSub>
          <m:e>
            <m:r>
              <m:t>ρ</m:t>
            </m:r>
          </m:e>
          <m:sub>
            <m:r>
              <m:rPr>
                <m:nor/>
                <m:sty m:val="p"/>
              </m:rPr>
              <m:t>eff</m:t>
            </m:r>
          </m:sub>
        </m:sSub>
        <m:r>
          <m:rPr>
            <m:sty m:val="p"/>
          </m:rPr>
          <m:t>=</m:t>
        </m:r>
        <m:r>
          <m:t>0.189</m:t>
        </m:r>
        <m:r>
          <m:rPr>
            <m:sty m:val="p"/>
          </m:rPr>
          <m:t>×</m:t>
        </m:r>
        <m:r>
          <m:t>8.9</m:t>
        </m:r>
        <m:r>
          <m:rPr>
            <m:sty m:val="p"/>
          </m:rPr>
          <m:t>/</m:t>
        </m:r>
        <m:r>
          <m:t>2.45</m:t>
        </m:r>
        <m:r>
          <m:rPr>
            <m:sty m:val="p"/>
          </m:rPr>
          <m:t>=</m:t>
        </m:r>
        <m:r>
          <m:t>0.686</m:t>
        </m:r>
      </m:oMath>
      <w:r>
        <w:t xml:space="preserve"> </w:t>
      </w:r>
      <w:r>
        <w:t xml:space="preserve">(68.6 wt% Bi₂O₃). This is the self-consistent high-loading formulation used for all three regimes in the cross-regime comparison. An additional regime-A validation run at 30 wt% (with the density left as a user-specified 2.45 g cm</w:t>
      </w:r>
      <m:oMath>
        <m:sSup>
          <m:e>
            <m:r>
              <m:t>​</m:t>
            </m:r>
          </m:e>
          <m:sup>
            <m:r>
              <m:rPr>
                <m:sty m:val="p"/>
              </m:rPr>
              <m:t>−</m:t>
            </m:r>
            <m:r>
              <m:t>3</m:t>
            </m:r>
          </m:sup>
        </m:sSup>
      </m:oMath>
      <w:r>
        <w:t xml:space="preserve"> </w:t>
      </w:r>
      <w:r>
        <w:t xml:space="preserve">input) is also reported for XCOM verification of the emlivermore physics list independent of the density assignment.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4"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 The parameterisation is wrapped in a</w:t>
      </w:r>
      <w:r>
        <w:t xml:space="preserve"> </w:t>
      </w:r>
      <w:r>
        <w:rPr>
          <w:rStyle w:val="VerbatimChar"/>
        </w:rPr>
        <w:t xml:space="preserve">G4PVParameterised</w:t>
      </w:r>
      <w:r>
        <w:t xml:space="preserve"> </w:t>
      </w:r>
      <w:r>
        <w:t xml:space="preserve">placement inside a matrix host logical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"NPParam"</w:t>
      </w:r>
      <w:r>
        <w:rPr>
          <w:rStyle w:val="OperatorTok"/>
        </w:rPr>
        <w:t xml:space="preserve">,</w:t>
      </w:r>
      <w:r>
        <w:rPr>
          <w:rStyle w:val="NormalTok"/>
        </w:rPr>
        <w:t xml:space="preserve"> npLogic</w:t>
      </w:r>
      <w:r>
        <w:rPr>
          <w:rStyle w:val="OperatorTok"/>
        </w:rPr>
        <w:t xml:space="preserve">,</w:t>
      </w:r>
      <w:r>
        <w:rPr>
          <w:rStyle w:val="NormalTok"/>
        </w:rPr>
        <w:t xml:space="preserve"> rveLogic</w:t>
      </w:r>
      <w:r>
        <w:rPr>
          <w:rStyle w:val="OperatorTok"/>
        </w:rPr>
        <w:t xml:space="preserve">,</w:t>
      </w:r>
      <w:r>
        <w:br/>
      </w:r>
      <w:r>
        <w:rPr>
          <w:rStyle w:val="NormalTok"/>
        </w:rPr>
        <w:t xml:space="preserve">                      kUndefined</w:t>
      </w:r>
      <w:r>
        <w:rPr>
          <w:rStyle w:val="OperatorTok"/>
        </w:rPr>
        <w:t xml:space="preserve">,</w:t>
      </w:r>
      <w:r>
        <w:rPr>
          <w:rStyle w:val="NormalTok"/>
        </w:rPr>
        <w:t xml:space="preserve"> N</w:t>
      </w:r>
      <w:r>
        <w:rPr>
          <w:rStyle w:val="OperatorTok"/>
        </w:rPr>
        <w:t xml:space="preserve">,</w:t>
      </w:r>
      <w:r>
        <w:rPr>
          <w:rStyle w:val="NormalTok"/>
        </w:rPr>
        <w:t xml:space="preserve"> param</w:t>
      </w:r>
      <w:r>
        <w:rPr>
          <w:rStyle w:val="OperatorTok"/>
        </w:rPr>
        <w:t xml:space="preserve">);</w:t>
      </w:r>
    </w:p>
    <w:p>
      <w:pPr>
        <w:pStyle w:val="FirstParagraph"/>
      </w:pPr>
      <w:r>
        <w:t xml:space="preserve">The</w:t>
      </w:r>
      <w:r>
        <w:t xml:space="preserve"> </w:t>
      </w:r>
      <w:r>
        <w:rPr>
          <w:rStyle w:val="VerbatimChar"/>
        </w:rPr>
        <w:t xml:space="preserve">ComputeTransformation</w:t>
      </w:r>
      <w:r>
        <w:t xml:space="preserve"> </w:t>
      </w:r>
      <w:r>
        <w:t xml:space="preserve">callback applies only a translation per copy; no rotation is needed for monodisperse spheres.</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Scoring and output:</w:t>
      </w:r>
      <w:r>
        <w:t xml:space="preserve"> </w:t>
      </w:r>
      <w:r>
        <w:t xml:space="preserve">The world and scoring infrastructure remain the same as regime A. The RVE host box acts as the</w:t>
      </w:r>
      <w:r>
        <w:t xml:space="preserve"> </w:t>
      </w:r>
      <w:r>
        <w:t xml:space="preserve">“slab”</w:t>
      </w:r>
      <w:r>
        <w:t xml:space="preserve">; transmission is scored at the world exit face (±L/2 in x).</w:t>
      </w:r>
      <w:r>
        <w:t xml:space="preserve"> </w:t>
      </w:r>
      <w:r>
        <w:rPr>
          <w:rStyle w:val="VerbatimChar"/>
        </w:rPr>
        <w:t xml:space="preserve">GetTotalThickness()</w:t>
      </w:r>
      <w:r>
        <w:t xml:space="preserve"> </w:t>
      </w:r>
      <w:r>
        <w:t xml:space="preserve">returns</w:t>
      </w:r>
      <w:r>
        <w:t xml:space="preserve"> </w:t>
      </w:r>
      <m:oMath>
        <m:sSub>
          <m:e>
            <m:r>
              <m:t>L</m:t>
            </m:r>
          </m:e>
          <m:sub>
            <m:r>
              <m:rPr>
                <m:nor/>
                <m:sty m:val="p"/>
              </m:rPr>
              <m:t>RVE</m:t>
            </m:r>
          </m:sub>
        </m:sSub>
      </m:oMath>
      <w:r>
        <w:t xml:space="preserve"> </w:t>
      </w:r>
      <w:r>
        <w:t xml:space="preserve">from the pseudo-layer record, so</w:t>
      </w:r>
      <w:r>
        <w:t xml:space="preserve"> </w:t>
      </w:r>
      <m:oMath>
        <m:acc>
          <m:accPr>
            <m:chr m:val="̂"/>
          </m:accPr>
          <m:e>
            <m:r>
              <m:t>μ</m:t>
            </m:r>
          </m:e>
        </m:acc>
        <m:r>
          <m:rPr>
            <m:sty m:val="p"/>
          </m:rPr>
          <m:t>=</m:t>
        </m:r>
        <m:r>
          <m:rPr>
            <m:sty m:val="p"/>
          </m:rPr>
          <m:t>−</m:t>
        </m:r>
        <m:r>
          <m:rPr>
            <m:sty m:val="p"/>
          </m:rPr>
          <m:t>ln</m:t>
        </m:r>
        <m:r>
          <m:t>T</m:t>
        </m:r>
        <m:r>
          <m:rPr>
            <m:sty m:val="p"/>
          </m:rPr>
          <m:t>/</m:t>
        </m:r>
        <m:sSub>
          <m:e>
            <m:r>
              <m:t>L</m:t>
            </m:r>
          </m:e>
          <m:sub>
            <m:r>
              <m:rPr>
                <m:nor/>
                <m:sty m:val="p"/>
              </m:rPr>
              <m:t>RVE</m:t>
            </m:r>
          </m:sub>
        </m:sSub>
      </m:oMath>
      <w:r>
        <w:t xml:space="preserve"> </w:t>
      </w:r>
      <w:r>
        <w:t xml:space="preserve">is computed identically to regime A.</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3"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w:t>
      </w:r>
    </w:p>
    <w:p>
      <w:pPr>
        <w:pStyle w:val="SourceCode"/>
      </w:pPr>
      <w:r>
        <w:rPr>
          <w:rStyle w:val="KeywordTok"/>
        </w:rPr>
        <w:t xml:space="preserve">auto</w:t>
      </w:r>
      <w:r>
        <w:rPr>
          <w:rStyle w:val="OperatorTok"/>
        </w:rPr>
        <w:t xml:space="preserve">*</w:t>
      </w:r>
      <w:r>
        <w:rPr>
          <w:rStyle w:val="NormalTok"/>
        </w:rPr>
        <w:t xml:space="preserve"> fillerUnion </w:t>
      </w:r>
      <w:r>
        <w:rPr>
          <w:rStyle w:val="OperatorTok"/>
        </w:rPr>
        <w:t xml:space="preserve">=</w:t>
      </w:r>
      <w:r>
        <w:rPr>
          <w:rStyle w:val="NormalTok"/>
        </w:rPr>
        <w:t xml:space="preserve"> </w:t>
      </w:r>
      <w:r>
        <w:rPr>
          <w:rStyle w:val="KeywordTok"/>
        </w:rPr>
        <w:t xml:space="preserve">new</w:t>
      </w:r>
      <w:r>
        <w:rPr>
          <w:rStyle w:val="NormalTok"/>
        </w:rPr>
        <w:t xml:space="preserve"> G4MultiUnion</w:t>
      </w:r>
      <w:r>
        <w:rPr>
          <w:rStyle w:val="OperatorTok"/>
        </w:rPr>
        <w:t xml:space="preserve">(</w:t>
      </w:r>
      <w:r>
        <w:rPr>
          <w:rStyle w:val="StringTok"/>
        </w:rPr>
        <w:t xml:space="preserve">"FillerUnion"</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pos </w:t>
      </w:r>
      <w:r>
        <w:rPr>
          <w:rStyle w:val="OperatorTok"/>
        </w:rPr>
        <w:t xml:space="preserve">:</w:t>
      </w:r>
      <w:r>
        <w:rPr>
          <w:rStyle w:val="NormalTok"/>
        </w:rPr>
        <w:t xml:space="preserve"> positions</w:t>
      </w:r>
      <w:r>
        <w:rPr>
          <w:rStyle w:val="OperatorTok"/>
        </w:rPr>
        <w:t xml:space="preserve">)</w:t>
      </w:r>
      <w:r>
        <w:rPr>
          <w:rStyle w:val="NormalTok"/>
        </w:rPr>
        <w:t xml:space="preserve"> </w:t>
      </w:r>
      <w:r>
        <w:rPr>
          <w:rStyle w:val="OperatorTok"/>
        </w:rPr>
        <w:t xml:space="preserve">{</w:t>
      </w:r>
      <w:r>
        <w:br/>
      </w:r>
      <w:r>
        <w:rPr>
          <w:rStyle w:val="NormalTok"/>
        </w:rPr>
        <w:t xml:space="preserve">    G4Transform3D </w:t>
      </w:r>
      <w:r>
        <w:rPr>
          <w:rStyle w:val="FunctionTok"/>
        </w:rPr>
        <w:t xml:space="preserve">tr</w:t>
      </w:r>
      <w:r>
        <w:rPr>
          <w:rStyle w:val="OperatorTok"/>
        </w:rPr>
        <w:t xml:space="preserve">(</w:t>
      </w:r>
      <w:r>
        <w:rPr>
          <w:rStyle w:val="NormalTok"/>
        </w:rPr>
        <w:t xml:space="preserve">identity</w:t>
      </w:r>
      <w:r>
        <w:rPr>
          <w:rStyle w:val="OperatorTok"/>
        </w:rPr>
        <w:t xml:space="preserve">,</w:t>
      </w:r>
      <w:r>
        <w:rPr>
          <w:rStyle w:val="NormalTok"/>
        </w:rPr>
        <w:t xml:space="preserve"> pos</w:t>
      </w:r>
      <w:r>
        <w:rPr>
          <w:rStyle w:val="OperatorTok"/>
        </w:rPr>
        <w:t xml:space="preserve">);</w:t>
      </w:r>
      <w:r>
        <w:br/>
      </w:r>
      <w:r>
        <w:rPr>
          <w:rStyle w:val="NormalTok"/>
        </w:rPr>
        <w:t xml:space="preserve">    fillerUnion</w:t>
      </w:r>
      <w:r>
        <w:rPr>
          <w:rStyle w:val="OperatorTok"/>
        </w:rPr>
        <w:t xml:space="preserve">-&gt;</w:t>
      </w:r>
      <w:r>
        <w:rPr>
          <w:rStyle w:val="NormalTok"/>
        </w:rPr>
        <w:t xml:space="preserve">AddNode</w:t>
      </w:r>
      <w:r>
        <w:rPr>
          <w:rStyle w:val="OperatorTok"/>
        </w:rPr>
        <w:t xml:space="preserve">(*</w:t>
      </w:r>
      <w:r>
        <w:rPr>
          <w:rStyle w:val="NormalTok"/>
        </w:rPr>
        <w:t xml:space="preserve">sphereTemplate</w:t>
      </w:r>
      <w:r>
        <w:rPr>
          <w:rStyle w:val="OperatorTok"/>
        </w:rPr>
        <w:t xml:space="preserve">,</w:t>
      </w:r>
      <w:r>
        <w:rPr>
          <w:rStyle w:val="NormalTok"/>
        </w:rPr>
        <w:t xml:space="preserve"> </w:t>
      </w:r>
      <w:r>
        <w:rPr>
          <w:rStyle w:val="FunctionTok"/>
        </w:rPr>
        <w:t xml:space="preserve">tr</w:t>
      </w:r>
      <w:r>
        <w:rPr>
          <w:rStyle w:val="OperatorTok"/>
        </w:rPr>
        <w:t xml:space="preserve">);</w:t>
      </w:r>
      <w:r>
        <w:br/>
      </w:r>
      <w:r>
        <w:rPr>
          <w:rStyle w:val="OperatorTok"/>
        </w:rPr>
        <w:t xml:space="preserve">}</w:t>
      </w:r>
      <w:r>
        <w:br/>
      </w:r>
      <w:r>
        <w:rPr>
          <w:rStyle w:val="NormalTok"/>
        </w:rPr>
        <w:t xml:space="preserve">fillerUnion</w:t>
      </w:r>
      <w:r>
        <w:rPr>
          <w:rStyle w:val="OperatorTok"/>
        </w:rPr>
        <w:t xml:space="preserve">-&gt;</w:t>
      </w:r>
      <w:r>
        <w:rPr>
          <w:rStyle w:val="NormalTok"/>
        </w:rPr>
        <w:t xml:space="preserve">Voxelize</w:t>
      </w:r>
      <w:r>
        <w:rPr>
          <w:rStyle w:val="OperatorTok"/>
        </w:rPr>
        <w:t xml:space="preserve">();</w:t>
      </w:r>
    </w:p>
    <w:p>
      <w:pPr>
        <w:pStyle w:val="FirstParagraph"/>
      </w:pPr>
      <w:r>
        <w:t xml:space="preserve">A single</w:t>
      </w:r>
      <w:r>
        <w:t xml:space="preserve"> </w:t>
      </w:r>
      <w:r>
        <w:rPr>
          <w:rStyle w:val="VerbatimChar"/>
        </w:rPr>
        <w:t xml:space="preserve">G4PVPlacement</w:t>
      </w:r>
      <w:r>
        <w:t xml:space="preserve"> </w:t>
      </w:r>
      <w:r>
        <w:t xml:space="preserve">is made into the RVE host box. This regime represents fixed-cluster placement and benchmarks how Geant4’s internal multi-union voxelisation scales relative to parameterised placement.</w:t>
      </w:r>
    </w:p>
    <w:p>
      <w:pPr>
        <w:pStyle w:val="BodyText"/>
      </w:pPr>
      <w:r>
        <w:rPr>
          <w:i/>
          <w:iCs/>
        </w:rPr>
        <w:t xml:space="preserve">In practice,</w:t>
      </w:r>
      <w:r>
        <w:rPr>
          <w:i/>
          <w:iCs/>
        </w:rPr>
        <w:t xml:space="preserve"> </w:t>
      </w:r>
      <w:r>
        <w:rPr>
          <w:rStyle w:val="VerbatimChar"/>
          <w:i/>
          <w:iCs/>
        </w:rPr>
        <w:t xml:space="preserve">G4MultiUnion::Voxelize()</w:t>
      </w:r>
      <w:r>
        <w:rPr>
          <w:i/>
          <w:iCs/>
        </w:rPr>
        <w:t xml:space="preserve"> </w:t>
      </w:r>
      <w:r>
        <w:rPr>
          <w:i/>
          <w:iCs/>
        </w:rPr>
        <w:t xml:space="preserve">is only feasible for</w:t>
      </w:r>
      <w:r>
        <w:rPr>
          <w:i/>
          <w:iCs/>
        </w:rPr>
        <w:t xml:space="preserve"> </w:t>
      </w:r>
      <m:oMath>
        <m:r>
          <m:t>N</m:t>
        </m:r>
        <m:r>
          <m:rPr>
            <m:sty m:val="p"/>
          </m:rPr>
          <m:t>≲</m:t>
        </m:r>
        <m:r>
          <m:t>50</m:t>
        </m:r>
      </m:oMath>
      <w:r>
        <w:rPr>
          <w:i/>
          <w:iCs/>
        </w:rPr>
        <w:t xml:space="preserve"> </w:t>
      </w:r>
      <w:r>
        <w:rPr>
          <w:i/>
          <w:iCs/>
        </w:rPr>
        <w:t xml:space="preserve">on 8 GB hardware; §5.3 documents the scalability characterisation and the adopted 250 nm /</w:t>
      </w:r>
      <w:r>
        <w:rPr>
          <w:i/>
          <w:iCs/>
        </w:rPr>
        <w:t xml:space="preserve"> </w:t>
      </w:r>
      <m:oMath>
        <m:r>
          <m:t>N</m:t>
        </m:r>
        <m:r>
          <m:rPr>
            <m:sty m:val="p"/>
          </m:rPr>
          <m:t>=</m:t>
        </m:r>
        <m:r>
          <m:t>45</m:t>
        </m:r>
      </m:oMath>
      <w:r>
        <w:rPr>
          <w:i/>
          <w:iCs/>
        </w:rPr>
        <w:t xml:space="preserve"> </w:t>
      </w:r>
      <w:r>
        <w:rPr>
          <w:i/>
          <w:iCs/>
        </w:rPr>
        <w:t xml:space="preserve">configuration.</w:t>
      </w:r>
    </w:p>
    <w:p>
      <w:pPr>
        <w:pStyle w:val="BodyText"/>
      </w:pPr>
      <w:r>
        <w:rPr>
          <w:b/>
          <w:bCs/>
        </w:rPr>
        <w:t xml:space="preserve">Cost class:</w:t>
      </w:r>
      <w:r>
        <w:t xml:space="preserve"> </w:t>
      </w:r>
      <w:r>
        <w:t xml:space="preserve">geometry construction is O(</w:t>
      </w:r>
      <m:oMath>
        <m:r>
          <m:t>N</m:t>
        </m:r>
      </m:oMath>
      <w:r>
        <w:t xml:space="preserve">) once; subsequent navigation is voxelised.</w:t>
      </w:r>
    </w:p>
    <w:p>
      <w:r>
        <w:pict>
          <v:rect style="width:0;height:1.5pt" o:hralign="center" o:hrstd="t" o:hr="t"/>
        </w:pict>
      </w:r>
    </w:p>
    <w:bookmarkEnd w:id="23"/>
    <w:bookmarkEnd w:id="24"/>
    <w:bookmarkStart w:id="31" w:name="benchmark-protocol"/>
    <w:p>
      <w:pPr>
        <w:pStyle w:val="Heading2"/>
      </w:pPr>
      <w:r>
        <w:t xml:space="preserve">4. Benchmark Protocol</w:t>
      </w:r>
    </w:p>
    <w:bookmarkStart w:id="25" w:name="material"/>
    <w:p>
      <w:pPr>
        <w:pStyle w:val="Heading3"/>
      </w:pPr>
      <w:r>
        <w:t xml:space="preserve">4.1 Material</w:t>
      </w:r>
    </w:p>
    <w:p>
      <w:pPr>
        <w:pStyle w:val="FirstParagraph"/>
      </w:pPr>
      <w:r>
        <w:t xml:space="preserve">For this paper the cross-regime benchmark material is HDPE/Bi₂O₃ at φ = 0.189 volume fraction. All three regimes use the following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Matrix</w:t>
            </w:r>
          </w:p>
        </w:tc>
        <w:tc>
          <w:tcPr/>
          <w:p>
            <w:pPr>
              <w:pStyle w:val="Compact"/>
            </w:pPr>
            <w:r>
              <w:t xml:space="preserve">HDPE (C₂H₄)</w:t>
            </w:r>
            <m:oMath>
              <m:sSub>
                <m:e>
                  <m:r>
                    <m:t>​</m:t>
                  </m:r>
                </m:e>
                <m:sub>
                  <m:r>
                    <m:t>n</m:t>
                  </m:r>
                </m:sub>
              </m:sSub>
            </m:oMath>
            <w:r>
              <w:t xml:space="preserve">,</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p>
        </w:tc>
        <w:tc>
          <w:tcPr/>
          <w:p>
            <w:pPr>
              <w:pStyle w:val="Compact"/>
            </w:pPr>
            <w:r>
              <w:t xml:space="preserve">NIST</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literature</w:t>
            </w:r>
          </w:p>
        </w:tc>
      </w:tr>
      <w:tr>
        <w:tc>
          <w:tcPr/>
          <w:p>
            <w:pPr>
              <w:pStyle w:val="Compact"/>
            </w:pPr>
            <w:r>
              <w:t xml:space="preserve">Filler volume fraction</w:t>
            </w:r>
            <w:r>
              <w:t xml:space="preserve"> </w:t>
            </w:r>
            <m:oMath>
              <m:sSub>
                <m:e>
                  <m:r>
                    <m:t>ϕ</m:t>
                  </m:r>
                </m:e>
                <m:sub>
                  <m:r>
                    <m:t>f</m:t>
                  </m:r>
                </m:sub>
              </m:sSub>
            </m:oMath>
          </w:p>
        </w:tc>
        <w:tc>
          <w:tcPr/>
          <w:p>
            <w:pPr>
              <w:pStyle w:val="Compact"/>
            </w:pPr>
            <w:r>
              <w:t xml:space="preserve">0.189</w:t>
            </w:r>
          </w:p>
        </w:tc>
        <w:tc>
          <w:tcPr/>
          <w:p>
            <w:pPr>
              <w:pStyle w:val="Compact"/>
            </w:pPr>
            <w:r>
              <w:t xml:space="preserve">linear mixture rule</w:t>
            </w:r>
          </w:p>
        </w:tc>
      </w:tr>
      <w:tr>
        <w:tc>
          <w:tcPr/>
          <w:p>
            <w:pPr>
              <w:pStyle w:val="Compact"/>
            </w:pPr>
            <w:r>
              <w:t xml:space="preserve">Effective density</w:t>
            </w:r>
            <w:r>
              <w:t xml:space="preserve"> </w:t>
            </w:r>
            <m:oMath>
              <m:sSub>
                <m:e>
                  <m:r>
                    <m:t>ρ</m:t>
                  </m:r>
                </m:e>
                <m:sub>
                  <m:r>
                    <m:rPr>
                      <m:nor/>
                      <m:sty m:val="p"/>
                    </m:rPr>
                    <m:t>eff</m:t>
                  </m:r>
                </m:sub>
              </m:sSub>
            </m:oMath>
          </w:p>
        </w:tc>
        <w:tc>
          <w:tcPr/>
          <w:p>
            <w:pPr>
              <w:pStyle w:val="Compact"/>
            </w:pPr>
            <w:r>
              <w:t xml:space="preserve">2.452 g cm</w:t>
            </w:r>
            <m:oMath>
              <m:sSup>
                <m:e>
                  <m:r>
                    <m:t>​</m:t>
                  </m:r>
                </m:e>
                <m:sup>
                  <m:r>
                    <m:rPr>
                      <m:sty m:val="p"/>
                    </m:rPr>
                    <m:t>−</m:t>
                  </m:r>
                  <m:r>
                    <m:t>3</m:t>
                  </m:r>
                </m:sup>
              </m:sSup>
            </m:oMath>
          </w:p>
        </w:tc>
        <w:tc>
          <w:tcPr/>
          <w:p>
            <w:pPr>
              <w:pStyle w:val="Compact"/>
            </w:pPr>
            <m:oMath>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w:p>
        </w:tc>
      </w:tr>
      <w:tr>
        <w:tc>
          <w:tcPr/>
          <w:p>
            <w:pPr>
              <w:pStyle w:val="Compact"/>
            </w:pPr>
            <w:r>
              <w:t xml:space="preserve">Filler mass fraction</w:t>
            </w:r>
            <w:r>
              <w:t xml:space="preserve"> </w:t>
            </w:r>
            <m:oMath>
              <m:sSub>
                <m:e>
                  <m:r>
                    <m:t>w</m:t>
                  </m:r>
                </m:e>
                <m:sub>
                  <m:r>
                    <m:t>f</m:t>
                  </m:r>
                </m:sub>
              </m:sSub>
            </m:oMath>
          </w:p>
        </w:tc>
        <w:tc>
          <w:tcPr/>
          <w:p>
            <w:pPr>
              <w:pStyle w:val="Compact"/>
            </w:pPr>
            <w:r>
              <w:t xml:space="preserve">0.686 (68.6 wt% Bi₂O₃)</w:t>
            </w:r>
          </w:p>
        </w:tc>
        <w:tc>
          <w:tcPr/>
          <w:p>
            <w:pPr>
              <w:pStyle w:val="Compact"/>
            </w:pPr>
            <m:oMath>
              <m:sSub>
                <m:e>
                  <m:r>
                    <m:t>ϕ</m:t>
                  </m:r>
                </m:e>
                <m:sub>
                  <m:r>
                    <m:t>f</m:t>
                  </m:r>
                </m:sub>
              </m:sSub>
              <m:sSub>
                <m:e>
                  <m:r>
                    <m:t>ρ</m:t>
                  </m:r>
                </m:e>
                <m:sub>
                  <m:r>
                    <m:t>f</m:t>
                  </m:r>
                </m:sub>
              </m:sSub>
              <m:r>
                <m:rPr>
                  <m:sty m:val="p"/>
                </m:rPr>
                <m:t>/</m:t>
              </m:r>
              <m:sSub>
                <m:e>
                  <m:r>
                    <m:t>ρ</m:t>
                  </m:r>
                </m:e>
                <m:sub>
                  <m:r>
                    <m:rPr>
                      <m:nor/>
                      <m:sty m:val="p"/>
                    </m:rPr>
                    <m:t>eff</m:t>
                  </m:r>
                </m:sub>
              </m:sSub>
            </m:oMath>
          </w:p>
        </w:tc>
      </w:tr>
    </w:tbl>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5"/>
    <w:bookmarkStart w:id="26"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 Regime C uses a distributed beam sampling</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to ensure ergodic averaging across the 250 nm RVE cross-section (§5.3).</w:t>
      </w:r>
    </w:p>
    <w:bookmarkEnd w:id="26"/>
    <w:bookmarkStart w:id="27"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 (1 mm for slab; default for RVE).</w:t>
      </w:r>
      <w:r>
        <w:t xml:space="preserve"> </w:t>
      </w:r>
      <w:r>
        <w:rPr>
          <w:rStyle w:val="VerbatimChar"/>
        </w:rPr>
        <w:t xml:space="preserve">SHIELDLAB_PHYSICS_LIST=emlivermore</w:t>
      </w:r>
      <w:r>
        <w:t xml:space="preserve">.</w:t>
      </w:r>
    </w:p>
    <w:bookmarkEnd w:id="27"/>
    <w:bookmarkStart w:id="28"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p>
      <w:pPr>
        <w:pStyle w:val="BodyText"/>
      </w:pPr>
      <w:r>
        <w:t xml:space="preserve">Regime A uses</w:t>
      </w:r>
      <w:r>
        <w:t xml:space="preserve"> </w:t>
      </w:r>
      <m:oMath>
        <m:sSup>
          <m:e>
            <m:r>
              <m:t>10</m:t>
            </m:r>
          </m:e>
          <m:sup>
            <m:r>
              <m:t>6</m:t>
            </m:r>
          </m:sup>
        </m:sSup>
      </m:oMath>
      <w:r>
        <w:t xml:space="preserve"> </w:t>
      </w:r>
      <w:r>
        <w:t xml:space="preserve">histories (the established ShieldLab paper-3 acceptance standard). Regimes B and C use</w:t>
      </w:r>
      <w:r>
        <w:t xml:space="preserve"> </w:t>
      </w:r>
      <m:oMath>
        <m:sSup>
          <m:e>
            <m:r>
              <m:t>10</m:t>
            </m:r>
          </m:e>
          <m:sup>
            <m:r>
              <m:t>7</m:t>
            </m:r>
          </m:sup>
        </m:sSup>
      </m:oMath>
      <w:r>
        <w:t xml:space="preserve"> </w:t>
      </w:r>
      <w:r>
        <w:t xml:space="preserve">histories because the low interaction probability in a 1 µm RVE (</w:t>
      </w:r>
      <m:oMath>
        <m:r>
          <m:t>μ</m:t>
        </m:r>
        <m:r>
          <m:t>L</m:t>
        </m:r>
        <m:r>
          <m:rPr>
            <m:sty m:val="p"/>
          </m:rPr>
          <m:t>≈</m:t>
        </m:r>
        <m:r>
          <m:t>2</m:t>
        </m:r>
        <m:r>
          <m:rPr>
            <m:sty m:val="p"/>
          </m:rPr>
          <m:t>×</m:t>
        </m:r>
        <m:sSup>
          <m:e>
            <m:r>
              <m:t>10</m:t>
            </m:r>
          </m:e>
          <m:sup>
            <m:r>
              <m:rPr>
                <m:sty m:val="p"/>
              </m:rPr>
              <m:t>−</m:t>
            </m:r>
            <m:r>
              <m:t>3</m:t>
            </m:r>
          </m:sup>
        </m:sSup>
      </m:oMath>
      <w:r>
        <w:t xml:space="preserve"> </w:t>
      </w:r>
      <w:r>
        <w:t xml:space="preserve">at 100 keV) requires more events to achieve comparable relative uncertainty in</w:t>
      </w:r>
      <w:r>
        <w:t xml:space="preserve"> </w:t>
      </w:r>
      <m:oMath>
        <m:acc>
          <m:accPr>
            <m:chr m:val="̂"/>
          </m:accPr>
          <m:e>
            <m:r>
              <m:t>μ</m:t>
            </m:r>
          </m:e>
        </m:acc>
      </m:oMath>
      <w:r>
        <w:t xml:space="preserve">.</w:t>
      </w:r>
    </w:p>
    <w:bookmarkEnd w:id="28"/>
    <w:bookmarkStart w:id="29"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r>
              <w:t xml:space="preserve"> </w:t>
            </w:r>
            <w:r>
              <w:t xml:space="preserve">(2σ dominated by regime B/C statistics)</w:t>
            </w:r>
          </w:p>
        </w:tc>
      </w:tr>
    </w:tbl>
    <w:bookmarkEnd w:id="29"/>
    <w:bookmarkStart w:id="30"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0"/>
    <w:bookmarkEnd w:id="31"/>
    <w:bookmarkStart w:id="45" w:name="results"/>
    <w:p>
      <w:pPr>
        <w:pStyle w:val="Heading2"/>
      </w:pPr>
      <w:r>
        <w:t xml:space="preserve">5. Results</w:t>
      </w:r>
    </w:p>
    <w:bookmarkStart w:id="38" w:name="regime-a-effective-medium-studies"/>
    <w:p>
      <w:pPr>
        <w:pStyle w:val="Heading3"/>
      </w:pPr>
      <w:r>
        <w:t xml:space="preserve">5.1 Regime A — Effective-Medium Studies</w:t>
      </w:r>
    </w:p>
    <w:p>
      <w:pPr>
        <w:pStyle w:val="FirstParagraph"/>
      </w:pPr>
      <w:r>
        <w:t xml:space="preserve">Two regime-A runs are reported. The first (§5.1.1–5.1.4) is the existing high-statistics XCOM validation for the 30 wt% Bi₂O₃ / HDPE material. The second (§5.1.5) is the new phi0p189 run at the composition consistent with φ = 0.189 (68.6 wt% Bi₂O₃), which serves as the regime-A baseline for the cross-regime H1 test in §5.4.</w:t>
      </w:r>
    </w:p>
    <w:bookmarkStart w:id="32"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correct density for 30 wt% Bi₂O₃/HDPE is approximately 1.30 g cm⁻³). The density is retained as a literature input for the XCOM-validation purpose only. The cross-regime comparison in §5.2–5.4 uses the phi0p189 material described in §5.1.5.</w:t>
      </w:r>
    </w:p>
    <w:bookmarkEnd w:id="32"/>
    <w:bookmarkStart w:id="33" w:name="acceptance-gate-30-wt-xcom-validation"/>
    <w:p>
      <w:pPr>
        <w:pStyle w:val="Heading4"/>
      </w:pPr>
      <w:r>
        <w:t xml:space="preserve">5.1.1 Acceptance gate (30 wt% XCOM validation)</w:t>
      </w:r>
    </w:p>
    <w:p>
      <w:pPr>
        <w:pStyle w:val="FirstParagraph"/>
      </w:pPr>
      <w:r>
        <w:t xml:space="preserve">The machine-enforced acceptance gate in</w:t>
      </w:r>
      <w:r>
        <w:t xml:space="preserve"> </w:t>
      </w:r>
      <w:r>
        <w:rPr>
          <w:rStyle w:val="VerbatimChar"/>
        </w:rPr>
        <w:t xml:space="preserve">paper3_acceptance.json</w:t>
      </w:r>
      <w:r>
        <w:t xml:space="preserve"> </w:t>
      </w:r>
      <w:r>
        <w:rPr>
          <w:b/>
          <w:bCs/>
        </w:rPr>
        <w:t xml:space="preserve">passed</w:t>
      </w:r>
      <w:r>
        <w:t xml:space="preserve"> </w:t>
      </w:r>
      <w:r>
        <w:t xml:space="preserve">for the full 10-point energy grid:</w:t>
      </w:r>
    </w:p>
    <w:p>
      <w:pPr>
        <w:pStyle w:val="Compact"/>
        <w:numPr>
          <w:ilvl w:val="0"/>
          <w:numId w:val="1003"/>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3"/>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3"/>
    <w:bookmarkStart w:id="34" w:name="mass-attenuation-coefficient-table"/>
    <w:p>
      <w:pPr>
        <w:pStyle w:val="Heading4"/>
      </w:pPr>
      <w:r>
        <w:t xml:space="preserve">5.1.2 Mass attenuation coefficient table</w:t>
      </w:r>
    </w:p>
    <w:p>
      <w:pPr>
        <w:pStyle w:val="FirstParagraph"/>
      </w:pPr>
      <w:r>
        <w:t xml:space="preserve">Table 1 lists the full 10-point regime A results. Column headers: energy</w:t>
      </w:r>
      <w:r>
        <w:t xml:space="preserve"> </w:t>
      </w:r>
      <m:oMath>
        <m:r>
          <m:t>E</m:t>
        </m:r>
      </m:oMath>
      <w:r>
        <w:t xml:space="preserve">, per-energy slab thickness</w:t>
      </w:r>
      <w:r>
        <w:t xml:space="preserve"> </w:t>
      </w:r>
      <m:oMath>
        <m:r>
          <m:t>t</m:t>
        </m:r>
      </m:oMath>
      <w:r>
        <w:t xml:space="preserve"> </w:t>
      </w:r>
      <w:r>
        <w:t xml:space="preserve">adjusted to target</w:t>
      </w:r>
      <w:r>
        <w:t xml:space="preserve"> </w:t>
      </w:r>
      <m:oMath>
        <m:r>
          <m:t>T</m:t>
        </m:r>
        <m:r>
          <m:rPr>
            <m:sty m:val="p"/>
          </m:rPr>
          <m:t>≈</m:t>
        </m:r>
        <m:r>
          <m:t>0.65</m:t>
        </m:r>
      </m:oMath>
      <w:r>
        <w:t xml:space="preserve">, number of primary events</w:t>
      </w:r>
      <w:r>
        <w:t xml:space="preserve"> </w:t>
      </w:r>
      <m:oMath>
        <m:r>
          <m:t>N</m:t>
        </m:r>
      </m:oMath>
      <w:r>
        <w:t xml:space="preserve">, transmission fraction</w:t>
      </w:r>
      <w:r>
        <w:t xml:space="preserve"> </w:t>
      </w:r>
      <m:oMath>
        <m:r>
          <m:t>T</m:t>
        </m:r>
      </m:oMath>
      <w:r>
        <w:t xml:space="preserve">, simulated linear attenuation coefficient</w:t>
      </w:r>
      <w:r>
        <w:t xml:space="preserve"> </w:t>
      </w:r>
      <m:oMath>
        <m:sSub>
          <m:e>
            <m:r>
              <m:t>μ</m:t>
            </m:r>
          </m:e>
          <m:sub>
            <m:r>
              <m:rPr>
                <m:nor/>
                <m:sty m:val="p"/>
              </m:rPr>
              <m:t>sim</m:t>
            </m:r>
          </m:sub>
        </m:sSub>
      </m:oMath>
      <w:r>
        <w:t xml:space="preserve">, simulated mass attenuation coefficient</w:t>
      </w:r>
      <w:r>
        <w:t xml:space="preserve"> </w:t>
      </w:r>
      <m:oMath>
        <m:r>
          <m:rPr>
            <m:sty m:val="p"/>
          </m:rPr>
          <m:t>(</m:t>
        </m:r>
        <m:r>
          <m:t>μ</m:t>
        </m:r>
        <m:r>
          <m:rPr>
            <m:sty m:val="p"/>
          </m:rPr>
          <m:t>/</m:t>
        </m:r>
        <m:r>
          <m:t>ρ</m:t>
        </m:r>
        <m:sSub>
          <m:e>
            <m:r>
              <m:rPr>
                <m:sty m:val="p"/>
              </m:rPr>
              <m:t>)</m:t>
            </m:r>
          </m:e>
          <m:sub>
            <m:r>
              <m:rPr>
                <m:nor/>
                <m:sty m:val="p"/>
              </m:rPr>
              <m:t>sim</m:t>
            </m:r>
          </m:sub>
        </m:sSub>
      </m:oMath>
      <w:r>
        <w:t xml:space="preserve">, NIST XCOM reference</w:t>
      </w:r>
      <w:r>
        <w:t xml:space="preserve"> </w:t>
      </w:r>
      <m:oMath>
        <m:r>
          <m:rPr>
            <m:sty m:val="p"/>
          </m:rPr>
          <m:t>(</m:t>
        </m:r>
        <m:r>
          <m:t>μ</m:t>
        </m:r>
        <m:r>
          <m:rPr>
            <m:sty m:val="p"/>
          </m:rPr>
          <m:t>/</m:t>
        </m:r>
        <m:r>
          <m:t>ρ</m:t>
        </m:r>
        <m:sSub>
          <m:e>
            <m:r>
              <m:rPr>
                <m:sty m:val="p"/>
              </m:rPr>
              <m:t>)</m:t>
            </m:r>
          </m:e>
          <m:sub>
            <m:r>
              <m:rPr>
                <m:nor/>
                <m:sty m:val="p"/>
              </m:rPr>
              <m:t>XCOM</m:t>
            </m:r>
          </m:sub>
        </m:sSub>
      </m:oMath>
      <w:r>
        <w:t xml:space="preserve">, and relative deviation</w:t>
      </w:r>
      <w:r>
        <w:t xml:space="preserve"> </w:t>
      </w:r>
      <m:oMath>
        <m:r>
          <m:rPr>
            <m:sty m:val="p"/>
          </m:rPr>
          <m:t>Δ</m:t>
        </m:r>
        <m:r>
          <m:rPr>
            <m:sty m:val="p"/>
          </m:rPr>
          <m:t>=</m:t>
        </m:r>
        <m:r>
          <m:t>100</m:t>
        </m:r>
        <m:r>
          <m:rPr>
            <m:sty m:val="p"/>
          </m:rPr>
          <m:t>×</m:t>
        </m:r>
        <m:r>
          <m:rPr>
            <m:sty m:val="p"/>
          </m:rPr>
          <m:t>[</m:t>
        </m:r>
        <m:r>
          <m:rPr>
            <m:sty m:val="p"/>
          </m:rPr>
          <m:t>(</m:t>
        </m:r>
        <m:r>
          <m:t>μ</m:t>
        </m:r>
        <m:r>
          <m:rPr>
            <m:sty m:val="p"/>
          </m:rPr>
          <m:t>/</m:t>
        </m:r>
        <m:r>
          <m:t>ρ</m:t>
        </m:r>
        <m:sSub>
          <m:e>
            <m:r>
              <m:rPr>
                <m:sty m:val="p"/>
              </m:rPr>
              <m:t>)</m:t>
            </m:r>
          </m:e>
          <m:sub>
            <m:r>
              <m:rPr>
                <m:nor/>
                <m:sty m:val="p"/>
              </m:rPr>
              <m:t>sim</m:t>
            </m:r>
          </m:sub>
        </m:sSub>
        <m:r>
          <m:rPr>
            <m:sty m:val="p"/>
          </m:rPr>
          <m:t>/</m:t>
        </m:r>
        <m:r>
          <m:rPr>
            <m:sty m:val="p"/>
          </m:rPr>
          <m:t>(</m:t>
        </m:r>
        <m:r>
          <m:t>μ</m:t>
        </m:r>
        <m:r>
          <m:rPr>
            <m:sty m:val="p"/>
          </m:rPr>
          <m:t>/</m:t>
        </m:r>
        <m:r>
          <m:t>ρ</m:t>
        </m:r>
        <m:sSub>
          <m:e>
            <m:r>
              <m:rPr>
                <m:sty m:val="p"/>
              </m:rPr>
              <m:t>)</m:t>
            </m:r>
          </m:e>
          <m:sub>
            <m:r>
              <m:rPr>
                <m:nor/>
                <m:sty m:val="p"/>
              </m:rPr>
              <m:t>XCOM</m:t>
            </m:r>
          </m:sub>
        </m:sSub>
        <m:r>
          <m:rPr>
            <m:sty m:val="p"/>
          </m:rPr>
          <m:t>−</m:t>
        </m:r>
        <m:r>
          <m:t>1</m:t>
        </m:r>
        <m:r>
          <m:rPr>
            <m:sty m:val="p"/>
          </m:rPr>
          <m:t>]</m:t>
        </m:r>
      </m:oMath>
      <w:r>
        <w:t xml:space="preserve">.</w:t>
      </w:r>
    </w:p>
    <w:p>
      <w:pPr>
        <w:pStyle w:val="BodyText"/>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r>
        <w:t xml:space="preserve"> </w:t>
      </w:r>
      <w:r>
        <w:rPr>
          <w:i/>
          <w:iCs/>
        </w:rPr>
        <w:t xml:space="preserve">This material is used for emlivermore XCOM validation only, not for the cross-regime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p>
      <w:pPr>
        <w:pStyle w:val="BodyText"/>
      </w:pPr>
      <w:r>
        <w:t xml:space="preserve">Uncertainties (1σ statistical) on</w:t>
      </w:r>
      <w:r>
        <w:t xml:space="preserve"> </w:t>
      </w:r>
      <m:oMath>
        <m:r>
          <m:rPr>
            <m:sty m:val="p"/>
          </m:rPr>
          <m:t>(</m:t>
        </m:r>
        <m:r>
          <m:t>μ</m:t>
        </m:r>
        <m:r>
          <m:rPr>
            <m:sty m:val="p"/>
          </m:rPr>
          <m:t>/</m:t>
        </m:r>
        <m:r>
          <m:t>ρ</m:t>
        </m:r>
        <m:sSub>
          <m:e>
            <m:r>
              <m:rPr>
                <m:sty m:val="p"/>
              </m:rPr>
              <m:t>)</m:t>
            </m:r>
          </m:e>
          <m:sub>
            <m:r>
              <m:rPr>
                <m:nor/>
                <m:sty m:val="p"/>
              </m:rPr>
              <m:t>sim</m:t>
            </m:r>
          </m:sub>
        </m:sSub>
      </m:oMath>
      <w:r>
        <w:t xml:space="preserve"> </w:t>
      </w:r>
      <w:r>
        <w:t xml:space="preserve">range from 0.037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30 keV to 0.0001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1332 keV; all are smaller than the reported deviations and do not affect the pass/fail conclusion.</w:t>
      </w:r>
    </w:p>
    <w:bookmarkEnd w:id="34"/>
    <w:bookmarkStart w:id="35"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[11], which contains fine edge structure. Small energy-bin misalignment between the Geant4 tabulated values and the XCOM energy grid is the most likely explanation for the elevated deviation at 80 keV. The deviation is statistically significant at approximately 12σ (normalised residual from</w:t>
      </w:r>
      <w:r>
        <w:t xml:space="preserve"> </w:t>
      </w:r>
      <w:r>
        <w:rPr>
          <w:rStyle w:val="VerbatimChar"/>
        </w:rPr>
        <w:t xml:space="preserve">reference_comparison.csv</w:t>
      </w:r>
      <w:r>
        <w:t xml:space="preserve">) but remains within the pre-registered 5% maximum gate. All other energy points deviate by less than 0.9%, consistent with the systematic XCOM agreement documented for regime A in the companion ShieldLab G4 v1.0 scientific report.</w:t>
      </w:r>
    </w:p>
    <w:bookmarkEnd w:id="35"/>
    <w:bookmarkStart w:id="36"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4"/>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4"/>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4"/>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4"/>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The trend is physically expected: Compton scattered secondaries contribute increasingly to downstream particle counts at intermediate energies, reducing to near-unity at high energies where forward scattering is dominant and at low energies where photoelectric absorption dominates.</w:t>
      </w:r>
    </w:p>
    <w:bookmarkEnd w:id="36"/>
    <w:bookmarkStart w:id="37"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This is the effective-medium representation of the same two-phase system used in the regime-B and regime-C RVEs: at</w:t>
      </w:r>
      <w:r>
        <w:t xml:space="preserve"> </w:t>
      </w:r>
      <m:oMath>
        <m:sSub>
          <m:e>
            <m:r>
              <m:t>ϕ</m:t>
            </m:r>
          </m:e>
          <m:sub>
            <m:r>
              <m:t>f</m:t>
            </m:r>
          </m:sub>
        </m:sSub>
        <m:r>
          <m:rPr>
            <m:sty m:val="p"/>
          </m:rPr>
          <m:t>=</m:t>
        </m:r>
        <m:r>
          <m:t>0.189</m:t>
        </m:r>
      </m:oMath>
      <w:r>
        <w:t xml:space="preserve"> </w:t>
      </w:r>
      <w:r>
        <w:t xml:space="preserve">of Bi₂O₃ (</w:t>
      </w:r>
      <m:oMath>
        <m:sSub>
          <m:e>
            <m:r>
              <m:t>ρ</m:t>
            </m:r>
          </m:e>
          <m:sub>
            <m:r>
              <m:t>f</m:t>
            </m:r>
          </m:sub>
        </m:sSub>
        <m:r>
          <m:rPr>
            <m:sty m:val="p"/>
          </m:rPr>
          <m:t>=</m:t>
        </m:r>
        <m:r>
          <m:t>8.9</m:t>
        </m:r>
      </m:oMath>
      <w:r>
        <w:t xml:space="preserve">) in HDPE (</w:t>
      </w:r>
      <m:oMath>
        <m:sSub>
          <m:e>
            <m:r>
              <m:t>ρ</m:t>
            </m:r>
          </m:e>
          <m:sub>
            <m:r>
              <m:t>m</m:t>
            </m:r>
          </m:sub>
        </m:sSub>
        <m:r>
          <m:rPr>
            <m:sty m:val="p"/>
          </m:rPr>
          <m:t>=</m:t>
        </m:r>
        <m:r>
          <m:t>0.95</m:t>
        </m:r>
      </m:oMath>
      <w:r>
        <w:t xml:space="preserve">), the linear mixture rule gives exactly</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and</w:t>
      </w:r>
      <w:r>
        <w:t xml:space="preserve"> </w:t>
      </w:r>
      <m:oMath>
        <m:sSub>
          <m:e>
            <m:r>
              <m:t>w</m:t>
            </m:r>
          </m:e>
          <m:sub>
            <m:r>
              <m:t>f</m:t>
            </m:r>
          </m:sub>
        </m:sSub>
        <m:r>
          <m:rPr>
            <m:sty m:val="p"/>
          </m:rPr>
          <m:t>=</m:t>
        </m:r>
        <m:r>
          <m:t>68.6</m:t>
        </m:r>
      </m:oMath>
      <w:r>
        <w:t xml:space="preserve"> </w:t>
      </w:r>
      <w:r>
        <w:t xml:space="preserve">wt%.</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37"/>
    <w:bookmarkEnd w:id="38"/>
    <w:bookmarkStart w:id="41"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39"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p>
      <w:pPr>
        <w:pStyle w:val="FirstParagraph"/>
      </w:pPr>
      <w:r>
        <w:t xml:space="preserve">The RSA algorithm placed all 2,888 target spheres, achieving</w:t>
      </w:r>
      <w:r>
        <w:t xml:space="preserve"> </w:t>
      </w:r>
      <m:oMath>
        <m:sSub>
          <m:e>
            <m:r>
              <m:t>ϕ</m:t>
            </m:r>
          </m:e>
          <m:sub>
            <m:r>
              <m:t>f</m:t>
            </m:r>
          </m:sub>
        </m:sSub>
        <m:r>
          <m:rPr>
            <m:sty m:val="p"/>
          </m:rPr>
          <m:t>=</m:t>
        </m:r>
        <m:r>
          <m:t>0.1890</m:t>
        </m:r>
      </m:oMath>
      <w:r>
        <w:t xml:space="preserve"> </w:t>
      </w:r>
      <w:r>
        <w:t xml:space="preserve">(target: 0.189). No overlap rejections were reported — the packing fraction is well below the random close-packing limit (</w:t>
      </w:r>
      <m:oMath>
        <m:sSub>
          <m:e>
            <m:r>
              <m:t>ϕ</m:t>
            </m:r>
          </m:e>
          <m:sub>
            <m:r>
              <m:rPr>
                <m:nor/>
                <m:sty m:val="p"/>
              </m:rPr>
              <m:t>RCP</m:t>
            </m:r>
          </m:sub>
        </m:sSub>
        <m:r>
          <m:rPr>
            <m:sty m:val="p"/>
          </m:rPr>
          <m:t>≈</m:t>
        </m:r>
        <m:r>
          <m:t>0.64</m:t>
        </m:r>
      </m:oMath>
      <w:r>
        <w:t xml:space="preserve">).</w:t>
      </w:r>
    </w:p>
    <w:bookmarkEnd w:id="39"/>
    <w:bookmarkStart w:id="40" w:name="transmission-and-µ-results"/>
    <w:p>
      <w:pPr>
        <w:pStyle w:val="Heading4"/>
      </w:pPr>
      <w:r>
        <w:t xml:space="preserve">5.2.2 Transmission and µ results</w:t>
      </w:r>
    </w:p>
    <w:p>
      <w:pPr>
        <w:pStyle w:val="FirstParagraph"/>
      </w:pPr>
      <w:r>
        <w:rPr>
          <w:i/>
          <w:iCs/>
        </w:rPr>
        <w:t xml:space="preserve">XCOM reference values for 68.6 wt% Bi₂O₃ / HDPE at</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 </w:t>
      </w:r>
      <w:r>
        <w:rPr>
          <w:i/>
          <w:iCs/>
        </w:rPr>
        <w:t xml:space="preserve">are from</w:t>
      </w:r>
      <w:r>
        <w:rPr>
          <w:i/>
          <w:iCs/>
        </w:rPr>
        <w:t xml:space="preserve"> </w:t>
      </w:r>
      <w:r>
        <w:rPr>
          <w:rStyle w:val="VerbatimChar"/>
          <w:i/>
          <w:iCs/>
        </w:rPr>
        <w:t xml:space="preserve">paper3_results.py</w:t>
      </w:r>
      <w:r>
        <w:rPr>
          <w:i/>
          <w:iCs/>
        </w:rPr>
        <w:t xml:space="preserve"> </w:t>
      </w:r>
      <w:r>
        <w:rPr>
          <w:i/>
          <w:iCs/>
        </w:rPr>
        <w:t xml:space="preserve">via the NIST XCOM additive rule. All</w:t>
      </w:r>
      <w:r>
        <w:rPr>
          <w:i/>
          <w:iCs/>
        </w:rPr>
        <w:t xml:space="preserve"> </w:t>
      </w:r>
      <m:oMath>
        <m:r>
          <m:t>μ</m:t>
        </m:r>
        <m:r>
          <m:rPr>
            <m:sty m:val="p"/>
          </m:rPr>
          <m:t>/</m:t>
        </m:r>
        <m:r>
          <m:t>ρ</m:t>
        </m:r>
      </m:oMath>
      <w:r>
        <w:rPr>
          <w:i/>
          <w:iCs/>
        </w:rPr>
        <w:t xml:space="preserve"> </w:t>
      </w:r>
      <w:r>
        <w:rPr>
          <w:i/>
          <w:iCs/>
        </w:rPr>
        <w:t xml:space="preserve">values use</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w:t>
      </w:r>
    </w:p>
    <w:p>
      <w:pPr>
        <w:pStyle w:val="BodyText"/>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w:t>
      </w:r>
      <w:r>
        <w:t xml:space="preserve">is the number of attenuated primaries.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ratio.</w:t>
      </w:r>
      <w:r>
        <w:t xml:space="preserve"> </w:t>
      </w:r>
      <w:r>
        <w:t xml:space="preserve">The ratio is computed against the regime A(phi0p189) result (§5.1.5), not the 30 wt% highstat run. Both regimes represent the same physical material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agreement confirms H1.</w:t>
      </w:r>
    </w:p>
    <w:p>
      <w:pPr>
        <w:pStyle w:val="BodyText"/>
      </w:pPr>
      <w:r>
        <w:rPr>
          <w:i/>
          <w:iCs/>
        </w:rPr>
        <w:t xml:space="preserve">Note on the Bi K-edge.</w:t>
      </w:r>
      <w:r>
        <w:t xml:space="preserve"> </w:t>
      </w:r>
      <w:r>
        <w:t xml:space="preserve">The Bi K-edge lies at 90.5 keV. 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(below the K-edge), then rises to 8.61 cm</w:t>
      </w:r>
      <m:oMath>
        <m:sSup>
          <m:e>
            <m:r>
              <m:t>​</m:t>
            </m:r>
          </m:e>
          <m:sup>
            <m:r>
              <m:rPr>
                <m:sty m:val="p"/>
              </m:rPr>
              <m:t>−</m:t>
            </m:r>
            <m:r>
              <m:t>1</m:t>
            </m:r>
          </m:sup>
        </m:sSup>
      </m:oMath>
      <w:r>
        <w:t xml:space="preserve"> </w:t>
      </w:r>
      <w:r>
        <w:t xml:space="preserve">at 100 keV (above the K-edge). This K-edge jump is a direct consequence of the explicit Bi₂O₃ filler atoms in the RVE and is consistent with emlivermore.</w:t>
      </w:r>
    </w:p>
    <w:p>
      <w:pPr>
        <w:pStyle w:val="BodyText"/>
      </w:pPr>
      <w:r>
        <w:rPr>
          <w:i/>
          <w:iCs/>
        </w:rPr>
        <w:t xml:space="preserve">Note on statistical precision at high energies.</w:t>
      </w:r>
      <w:r>
        <w:t xml:space="preserve"> </w:t>
      </w:r>
      <w:r>
        <w:t xml:space="preserve">For the 1 µm RVE above 300 keV, the photoelectric cross section of Bi falls steeply, leaving predominantly Compton scattering. At 356 keV, only 514 photons are attenuated out of</w:t>
      </w:r>
      <w:r>
        <w:t xml:space="preserve"> </w:t>
      </w:r>
      <m:oMath>
        <m:sSup>
          <m:e>
            <m:r>
              <m:t>10</m:t>
            </m:r>
          </m:e>
          <m:sup>
            <m:r>
              <m:t>7</m:t>
            </m:r>
          </m:sup>
        </m:sSup>
      </m:oMath>
      <w:r>
        <w:t xml:space="preserve">, giving a relative</w:t>
      </w:r>
      <w:r>
        <w:t xml:space="preserve"> </w:t>
      </w:r>
      <m:oMath>
        <m:r>
          <m:t>1</m:t>
        </m:r>
        <m:r>
          <m:t>σ</m:t>
        </m:r>
      </m:oMath>
      <w:r>
        <w:t xml:space="preserve"> </w:t>
      </w:r>
      <w:r>
        <w:t xml:space="preserve">uncertainty of 4.4%. At 511 keV this rises to 5.8%. For energies ≥ 662 keV, the RVE geometry is statistically too thin for precise µ extraction; the regime A(phi0p189) slab result (thick geometry, low statistical error) provides the reliable reference at those energies.</w:t>
      </w:r>
    </w:p>
    <w:bookmarkEnd w:id="40"/>
    <w:bookmarkEnd w:id="41"/>
    <w:bookmarkStart w:id="43"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 regime C approach substitutes</w:t>
      </w:r>
      <w:r>
        <w:t xml:space="preserve"> </w:t>
      </w:r>
      <w:r>
        <w:rPr>
          <w:rStyle w:val="VerbatimChar"/>
        </w:rPr>
        <w:t xml:space="preserve">G4MultiUnion</w:t>
      </w:r>
      <w:r>
        <w:t xml:space="preserve"> </w:t>
      </w:r>
      <w:r>
        <w:t xml:space="preserve">+</w:t>
      </w:r>
      <w:r>
        <w:t xml:space="preserve"> </w:t>
      </w:r>
      <w:r>
        <w:rPr>
          <w:rStyle w:val="VerbatimChar"/>
        </w:rPr>
        <w:t xml:space="preserve">Voxelize()</w:t>
      </w:r>
      <w:r>
        <w:t xml:space="preserve"> </w:t>
      </w:r>
      <w:r>
        <w:t xml:space="preserve">for the</w:t>
      </w:r>
      <w:r>
        <w:t xml:space="preserve"> </w:t>
      </w:r>
      <w:r>
        <w:rPr>
          <w:rStyle w:val="VerbatimChar"/>
        </w:rPr>
        <w:t xml:space="preserve">G4PVParameterised</w:t>
      </w:r>
      <w:r>
        <w:t xml:space="preserve"> </w:t>
      </w:r>
      <w:r>
        <w:t xml:space="preserve">placement used in regime B. The</w:t>
      </w:r>
      <w:r>
        <w:t xml:space="preserve"> </w:t>
      </w:r>
      <w:r>
        <w:rPr>
          <w:rStyle w:val="VerbatimChar"/>
        </w:rPr>
        <w:t xml:space="preserve">G4Voxelizer</w:t>
      </w:r>
      <w:r>
        <w:t xml:space="preserve"> </w:t>
      </w:r>
      <w:r>
        <w:t xml:space="preserve">internally builds a three-dimensional bounding-box grid with</w:t>
      </w:r>
      <w:r>
        <w:t xml:space="preserve"> </w:t>
      </w:r>
      <m:oMath>
        <m:r>
          <m:t>2</m:t>
        </m:r>
        <m:r>
          <m:t>N</m:t>
        </m:r>
      </m:oMath>
      <w:r>
        <w:t xml:space="preserve"> </w:t>
      </w:r>
      <w:r>
        <w:t xml:space="preserve">sorted boundaries per Cartesian axis, producing a candidate-list representation that scales as</w:t>
      </w:r>
      <w:r>
        <w:t xml:space="preserve"> </w:t>
      </w:r>
      <m:oMath>
        <m:r>
          <m:rPr>
            <m:sty m:val="p"/>
          </m:rPr>
          <m:t>(</m:t>
        </m:r>
        <m:r>
          <m:t>2</m:t>
        </m:r>
        <m:r>
          <m:t>N</m:t>
        </m:r>
        <m:sSup>
          <m:e>
            <m:r>
              <m:rPr>
                <m:sty m:val="p"/>
              </m:rPr>
              <m:t>)</m:t>
            </m:r>
          </m:e>
          <m:sup>
            <m:r>
              <m:t>3</m:t>
            </m:r>
          </m:sup>
        </m:sSup>
      </m:oMath>
      <w:r>
        <w:t xml:space="preserve"> </w:t>
      </w:r>
      <w:r>
        <w:t xml:space="preserve">cells in the worst case. For the 1 µm RVE with</w:t>
      </w:r>
      <w:r>
        <w:t xml:space="preserve"> </w:t>
      </w:r>
      <m:oMath>
        <m:r>
          <m:t>N</m:t>
        </m:r>
        <m:r>
          <m:rPr>
            <m:sty m:val="p"/>
          </m:rPr>
          <m:t>=</m:t>
        </m:r>
        <m:r>
          <m:t>2</m:t>
        </m:r>
        <m:r>
          <m:rPr>
            <m:sty m:val="p"/>
          </m:rPr>
          <m:t>,</m:t>
        </m:r>
        <m:r>
          <m:t>888</m:t>
        </m:r>
      </m:oMath>
      <w:r>
        <w:t xml:space="preserve"> </w:t>
      </w:r>
      <w:r>
        <w:t xml:space="preserve">spheres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this yields</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far exceeding available RAM (OOM-killed at</w:t>
      </w:r>
      <w:r>
        <w:t xml:space="preserve"> </w:t>
      </w:r>
      <m:oMath>
        <m:r>
          <m:rPr>
            <m:sty m:val="p"/>
          </m:rPr>
          <m:t>&gt;</m:t>
        </m:r>
        <m:r>
          <m:t>7.2</m:t>
        </m:r>
      </m:oMath>
      <w:r>
        <w:t xml:space="preserve"> </w:t>
      </w:r>
      <w:r>
        <w:t xml:space="preserve">GB RSS, SIGKILL exit code 9). A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 $</w:t>
      </w:r>
      <m:oMath>
        <m:r>
          <m:t>3.5</m:t>
        </m:r>
        <m:r>
          <m:t>G</m:t>
        </m:r>
        <m:r>
          <m:t>B</m:t>
        </m:r>
        <m:r>
          <m:rPr>
            <m:sty m:val="p"/>
          </m:rPr>
          <m:t>)</m:t>
        </m:r>
        <m:r>
          <m:t>a</m:t>
        </m:r>
        <m:r>
          <m:t>l</m:t>
        </m:r>
        <m:r>
          <m:t>s</m:t>
        </m:r>
        <m:r>
          <m:t>o</m:t>
        </m:r>
        <m:r>
          <m:t>e</m:t>
        </m:r>
        <m:r>
          <m:t>x</m:t>
        </m:r>
        <m:r>
          <m:t>h</m:t>
        </m:r>
        <m:r>
          <m:t>a</m:t>
        </m:r>
        <m:r>
          <m:t>u</m:t>
        </m:r>
        <m:r>
          <m:t>s</m:t>
        </m:r>
        <m:r>
          <m:t>t</m:t>
        </m:r>
        <m:r>
          <m:t>e</m:t>
        </m:r>
        <m:r>
          <m:t>d</m:t>
        </m:r>
        <m:r>
          <m:t>t</m:t>
        </m:r>
        <m:r>
          <m:t>h</m:t>
        </m:r>
        <m:r>
          <m:t>e</m:t>
        </m:r>
        <m:r>
          <m:t>8</m:t>
        </m:r>
        <m:r>
          <m:t>G</m:t>
        </m:r>
        <m:r>
          <m:t>B</m:t>
        </m:r>
        <m:r>
          <m:t>w</m:t>
        </m:r>
        <m:r>
          <m:t>o</m:t>
        </m:r>
        <m:r>
          <m:t>r</m:t>
        </m:r>
        <m:r>
          <m:t>k</m:t>
        </m:r>
        <m:r>
          <m:t>s</m:t>
        </m:r>
        <m:r>
          <m:t>t</m:t>
        </m:r>
        <m:r>
          <m:t>a</m:t>
        </m:r>
        <m:r>
          <m:t>t</m:t>
        </m:r>
        <m:r>
          <m:t>i</m:t>
        </m:r>
        <m:r>
          <m:t>o</m:t>
        </m:r>
        <m:r>
          <m:t>n</m:t>
        </m:r>
        <m:r>
          <m:rPr>
            <m:sty m:val="p"/>
          </m:rPr>
          <m:t>.</m:t>
        </m:r>
        <m:r>
          <m:t>A</m:t>
        </m:r>
        <m:r>
          <m:t>250</m:t>
        </m:r>
        <m:r>
          <m:t>n</m:t>
        </m:r>
        <m:r>
          <m:t>m</m:t>
        </m:r>
        <m:r>
          <m:t>R</m:t>
        </m:r>
        <m:r>
          <m:t>V</m:t>
        </m:r>
        <m:r>
          <m:t>E</m:t>
        </m:r>
        <m:r>
          <m:rPr>
            <m:sty m:val="p"/>
          </m:rPr>
          <m:t>(</m:t>
        </m:r>
      </m:oMath>
      <w:r>
        <w:t xml:space="preserve">N = 45$;</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runs successfully and is adopted for regime C. The regime B</w:t>
      </w:r>
      <w:r>
        <w:t xml:space="preserve"> </w:t>
      </w:r>
      <w:r>
        <w:rPr>
          <w:rStyle w:val="VerbatimChar"/>
        </w:rPr>
        <w:t xml:space="preserve">G4PVParameterised</w:t>
      </w:r>
      <w:r>
        <w:t xml:space="preserve"> </w:t>
      </w:r>
      <w:r>
        <w:t xml:space="preserve">approach avoids voxelization entirely, handling</w:t>
      </w:r>
      <w:r>
        <w:t xml:space="preserve"> </w:t>
      </w:r>
      <m:oMath>
        <m:r>
          <m:t>N</m:t>
        </m:r>
        <m:r>
          <m:rPr>
            <m:sty m:val="p"/>
          </m:rPr>
          <m:t>=</m:t>
        </m:r>
        <m:r>
          <m:t>2</m:t>
        </m:r>
        <m:r>
          <m:rPr>
            <m:sty m:val="p"/>
          </m:rPr>
          <m:t>,</m:t>
        </m:r>
        <m:r>
          <m:t>888</m:t>
        </m:r>
      </m:oMath>
      <w:r>
        <w:t xml:space="preserve"> </w:t>
      </w:r>
      <w:r>
        <w:t xml:space="preserve">with negligible overhead.</w:t>
      </w:r>
    </w:p>
    <w:p>
      <w:pPr>
        <w:pStyle w:val="BodyText"/>
      </w:pPr>
      <w:r>
        <w:rPr>
          <w:b/>
          <w:bCs/>
        </w:rPr>
        <w:t xml:space="preserve">Beam-sampling methodology.</w:t>
      </w:r>
      <w:r>
        <w:t xml:space="preserve"> </w:t>
      </w:r>
      <w:r>
        <w:t xml:space="preserve">A pencil beam (all</w:t>
      </w:r>
      <w:r>
        <w:t xml:space="preserve"> </w:t>
      </w:r>
      <m:oMath>
        <m:sSup>
          <m:e>
            <m:r>
              <m:t>10</m:t>
            </m:r>
          </m:e>
          <m:sup>
            <m:r>
              <m:t>7</m:t>
            </m:r>
          </m:sup>
        </m:sSup>
      </m:oMath>
      <w:r>
        <w:t xml:space="preserve"> </w:t>
      </w:r>
      <w:r>
        <w:t xml:space="preserve">primaries at</w:t>
      </w:r>
      <w:r>
        <w:t xml:space="preserve"> </w:t>
      </w:r>
      <m:oMath>
        <m:r>
          <m:t>Y</m:t>
        </m:r>
        <m:r>
          <m:rPr>
            <m:sty m:val="p"/>
          </m:rPr>
          <m:t>=</m:t>
        </m:r>
        <m:r>
          <m:t>0</m:t>
        </m:r>
        <m:r>
          <m:rPr>
            <m:sty m:val="p"/>
          </m:rPr>
          <m:t>,</m:t>
        </m:r>
        <m:r>
          <m:t>Z</m:t>
        </m:r>
        <m:r>
          <m:rPr>
            <m:sty m:val="p"/>
          </m:rPr>
          <m:t>=</m:t>
        </m:r>
        <m:r>
          <m:t>0</m:t>
        </m:r>
      </m:oMath>
      <w:r>
        <w:t xml:space="preserve">) is ergodic for a large RVE (</w:t>
      </w:r>
      <m:oMath>
        <m:r>
          <m:t>N</m:t>
        </m:r>
        <m:r>
          <m:rPr>
            <m:sty m:val="p"/>
          </m:rPr>
          <m:t>=</m:t>
        </m:r>
        <m:r>
          <m:t>2</m:t>
        </m:r>
        <m:r>
          <m:rPr>
            <m:sty m:val="p"/>
          </m:rPr>
          <m:t>,</m:t>
        </m:r>
        <m:r>
          <m:t>888</m:t>
        </m:r>
      </m:oMath>
      <w:r>
        <w:t xml:space="preserve">, many chord positions sampled by sphere diversity) but fails for</w:t>
      </w:r>
      <w:r>
        <w:t xml:space="preserve"> </w:t>
      </w:r>
      <m:oMath>
        <m:r>
          <m:t>N</m:t>
        </m:r>
        <m:r>
          <m:rPr>
            <m:sty m:val="p"/>
          </m:rPr>
          <m:t>=</m:t>
        </m:r>
        <m:r>
          <m:t>45</m:t>
        </m:r>
      </m:oMath>
      <w:r>
        <w:t xml:space="preserve">: the fixed chord traverses the same sphere arrangement for every event, yielding a beam-axis</w:t>
      </w:r>
      <w:r>
        <w:t xml:space="preserve"> </w:t>
      </w:r>
      <m:oMath>
        <m:sSub>
          <m:e>
            <m:r>
              <m:t>ϕ</m:t>
            </m:r>
          </m:e>
          <m:sub>
            <m:r>
              <m:t>f</m:t>
            </m:r>
          </m:sub>
        </m:sSub>
        <m:r>
          <m:rPr>
            <m:sty m:val="p"/>
          </m:rPr>
          <m:t>=</m:t>
        </m:r>
        <m:r>
          <m:t>12.6</m:t>
        </m:r>
        <m:r>
          <m:rPr>
            <m:sty m:val="p"/>
          </m:rPr>
          <m:t>%</m:t>
        </m:r>
      </m:oMath>
      <w:r>
        <w:t xml:space="preserve"> </w:t>
      </w:r>
      <w:r>
        <w:t xml:space="preserve">vs the volume-averaged</w:t>
      </w:r>
      <w:r>
        <w:t xml:space="preserve"> </w:t>
      </w:r>
      <m:oMath>
        <m:r>
          <m:t>18.9</m:t>
        </m:r>
        <m:r>
          <m:rPr>
            <m:sty m:val="p"/>
          </m:rPr>
          <m:t>%</m:t>
        </m:r>
      </m:oMath>
      <w:r>
        <w:t xml:space="preserve"> </w:t>
      </w:r>
      <w:r>
        <w:t xml:space="preserve">(a</w:t>
      </w:r>
      <w:r>
        <w:t xml:space="preserve"> </w:t>
      </w:r>
      <m:oMath>
        <m:r>
          <m:rPr>
            <m:sty m:val="p"/>
          </m:rPr>
          <m:t>−</m:t>
        </m:r>
        <m:r>
          <m:t>33</m:t>
        </m:r>
        <m:r>
          <m:rPr>
            <m:sty m:val="p"/>
          </m:rPr>
          <m:t>%</m:t>
        </m:r>
      </m:oMath>
      <w:r>
        <w:t xml:space="preserve"> </w:t>
      </w:r>
      <w:r>
        <w:t xml:space="preserve">bias). The correct methodology for extracting bulk MAC from a small RVE is a distributed beam that uniformly samples the RVE cross-section. The primary generator was updated to sample</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recovering ergodic averaging over all chord positions. This is not a workaround — uniform cross-section sampling is the physically correct procedure for measuring an intensive material property.</w:t>
      </w:r>
    </w:p>
    <w:p>
      <w:pPr>
        <w:pStyle w:val="BodyText"/>
      </w:pPr>
      <w:r>
        <w:rPr>
          <w:b/>
          <w:bCs/>
        </w:rPr>
        <w:t xml:space="preserve">Geometry verification.</w:t>
      </w:r>
      <w:r>
        <w:t xml:space="preserve"> </w:t>
      </w:r>
      <w:r>
        <w:t xml:space="preserve">RSA seed 33,333 (independent draw from regime B).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 </w:t>
      </w:r>
      <w:r>
        <w:t xml:space="preserve">(target: 0.189).</w:t>
      </w:r>
      <w:r>
        <w:t xml:space="preserve"> </w:t>
      </w:r>
      <w:r>
        <w:rPr>
          <w:rStyle w:val="VerbatimChar"/>
        </w:rPr>
        <w:t xml:space="preserve">G4MultiUnion::Voxelize()</w:t>
      </w:r>
      <w:r>
        <w:t xml:space="preserve"> </w:t>
      </w:r>
      <w:r>
        <w:t xml:space="preserve">completed in</w:t>
      </w:r>
      <w:r>
        <w:t xml:space="preserve"> </w:t>
      </w:r>
      <m:oMath>
        <m:r>
          <m:rPr>
            <m:sty m:val="p"/>
          </m:rPr>
          <m:t>&lt;</m:t>
        </m:r>
        <m:r>
          <m:t>1</m:t>
        </m:r>
      </m:oMath>
      <w:r>
        <w:t xml:space="preserve"> </w:t>
      </w:r>
      <w:r>
        <w:t xml:space="preserve">s at 99 MB RSS.</w:t>
      </w:r>
    </w:p>
    <w:bookmarkStart w:id="42"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Points marked † are statistically dominated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systematic physics deviation. For the 250 nm path length,</w:t>
      </w:r>
      <w:r>
        <w:t xml:space="preserve"> </w:t>
      </w:r>
      <m:oMath>
        <m:sSub>
          <m:e>
            <m:r>
              <m:t>N</m:t>
            </m:r>
          </m:e>
          <m:sub>
            <m:r>
              <m:rPr>
                <m:nor/>
                <m:sty m:val="p"/>
              </m:rPr>
              <m:t>att</m:t>
            </m:r>
          </m:sub>
        </m:sSub>
      </m:oMath>
      <w:r>
        <w:t xml:space="preserve"> </w:t>
      </w:r>
      <w:r>
        <w:t xml:space="preserve">falls below 200 for all energies ≥ 356 keV.</w:t>
      </w:r>
    </w:p>
    <w:p>
      <w:pPr>
        <w:pStyle w:val="BodyText"/>
      </w:pPr>
      <w:r>
        <w:rPr>
          <w:i/>
          <w:iCs/>
        </w:rPr>
        <w:t xml:space="preserve">Note on ergodic sampling.</w:t>
      </w:r>
      <w:r>
        <w:t xml:space="preserve"> </w:t>
      </w:r>
      <w:r>
        <w:t xml:space="preserve">MAC is an intensive property; a 250 nm RVE with</w:t>
      </w:r>
      <w:r>
        <w:t xml:space="preserve"> </w:t>
      </w:r>
      <m:oMath>
        <m:r>
          <m:t>N</m:t>
        </m:r>
        <m:r>
          <m:rPr>
            <m:sty m:val="p"/>
          </m:rPr>
          <m:t>=</m:t>
        </m:r>
        <m:r>
          <m:t>45</m:t>
        </m:r>
      </m:oMath>
      <w:r>
        <w:t xml:space="preserve"> </w:t>
      </w:r>
      <w:r>
        <w:t xml:space="preserve">spheres gives the same MAC as a 1 µm RVE with</w:t>
      </w:r>
      <w:r>
        <w:t xml:space="preserve"> </w:t>
      </w:r>
      <m:oMath>
        <m:r>
          <m:t>N</m:t>
        </m:r>
        <m:r>
          <m:rPr>
            <m:sty m:val="p"/>
          </m:rPr>
          <m:t>=</m:t>
        </m:r>
        <m:r>
          <m:t>2</m:t>
        </m:r>
        <m:r>
          <m:rPr>
            <m:sty m:val="p"/>
          </m:rPr>
          <m:t>,</m:t>
        </m:r>
        <m:r>
          <m:t>888</m:t>
        </m:r>
      </m:oMath>
      <w:r>
        <w:t xml:space="preserve"> </w:t>
      </w:r>
      <w:r>
        <w:t xml:space="preserve">spheres, provided both represent the same</w:t>
      </w:r>
      <w:r>
        <w:t xml:space="preserve"> </w:t>
      </w:r>
      <m:oMath>
        <m:sSub>
          <m:e>
            <m:r>
              <m:t>ϕ</m:t>
            </m:r>
          </m:e>
          <m:sub>
            <m:r>
              <m:t>f</m:t>
            </m:r>
          </m:sub>
        </m:sSub>
      </m:oMath>
      <w:r>
        <w:t xml:space="preserve">. This is confirmed by the cross-regime agreement at 30–150 keV (§6.2).</w:t>
      </w:r>
    </w:p>
    <w:bookmarkEnd w:id="42"/>
    <w:bookmarkEnd w:id="43"/>
    <w:bookmarkStart w:id="44" w:name="cross-regime-comparison-figure"/>
    <w:p>
      <w:pPr>
        <w:pStyle w:val="Heading3"/>
      </w:pPr>
      <w:r>
        <w:t xml:space="preserve">5.4 Cross-Regime Comparison Figure</w:t>
      </w:r>
    </w:p>
    <w:p>
      <w:pPr>
        <w:pStyle w:val="FirstParagraph"/>
      </w:pPr>
      <w:r>
        <w:t xml:space="preserve">Figure F-cross overlays the regime A</w:t>
      </w:r>
      <w:r>
        <w:t xml:space="preserve"> </w:t>
      </w:r>
      <m:oMath>
        <m:r>
          <m:rPr>
            <m:sty m:val="p"/>
          </m:rPr>
          <m:t>(</m:t>
        </m:r>
        <m:r>
          <m:t>μ</m:t>
        </m:r>
        <m:r>
          <m:rPr>
            <m:sty m:val="p"/>
          </m:rPr>
          <m:t>/</m:t>
        </m:r>
        <m:r>
          <m:t>ρ</m:t>
        </m:r>
        <m:r>
          <m:rPr>
            <m:sty m:val="p"/>
          </m:rPr>
          <m:t>)</m:t>
        </m:r>
      </m:oMath>
      <w:r>
        <w:t xml:space="preserve"> </w:t>
      </w:r>
      <w:r>
        <w:t xml:space="preserve">data (Table 1), regime B data (Table 2), and regime C data (Table 3) against NIST XCOM on a single log-linear plot with 95% statistical confidence intervals. The figure is generated by</w:t>
      </w:r>
    </w:p>
    <w:p>
      <w:pPr>
        <w:pStyle w:val="SourceCode"/>
      </w:pPr>
      <w:r>
        <w:rPr>
          <w:rStyle w:val="ImportTok"/>
        </w:rPr>
        <w:t xml:space="preserve">from</w:t>
      </w:r>
      <w:r>
        <w:rPr>
          <w:rStyle w:val="NormalTok"/>
        </w:rPr>
        <w:t xml:space="preserve"> shieldlab.viz.paper3_figures </w:t>
      </w:r>
      <w:r>
        <w:rPr>
          <w:rStyle w:val="ImportTok"/>
        </w:rPr>
        <w:t xml:space="preserve">import</w:t>
      </w:r>
      <w:r>
        <w:rPr>
          <w:rStyle w:val="NormalTok"/>
        </w:rPr>
        <w:t xml:space="preserve"> generate_regime_comparison_figure</w:t>
      </w:r>
      <w:r>
        <w:br/>
      </w:r>
      <w:r>
        <w:rPr>
          <w:rStyle w:val="NormalTok"/>
        </w:rPr>
        <w:t xml:space="preserve">generate_regime_comparison_figure(</w:t>
      </w:r>
      <w:r>
        <w:br/>
      </w:r>
      <w:r>
        <w:rPr>
          <w:rStyle w:val="NormalTok"/>
        </w:rPr>
        <w:t xml:space="preserve">    </w:t>
      </w:r>
      <w:r>
        <w:rPr>
          <w:rStyle w:val="StringTok"/>
        </w:rPr>
        <w:t xml:space="preserve">"results/paper3/regime_a_hdpe_bi2o3_phi0p189"</w:t>
      </w:r>
      <w:r>
        <w:rPr>
          <w:rStyle w:val="NormalTok"/>
        </w:rPr>
        <w:t xml:space="preserve">,  </w:t>
      </w:r>
      <w:r>
        <w:rPr>
          <w:rStyle w:val="CommentTok"/>
        </w:rPr>
        <w:t xml:space="preserve"># A(phi0p189): 68.6 wt%, same composition as B and C</w:t>
      </w:r>
      <w:r>
        <w:br/>
      </w:r>
      <w:r>
        <w:rPr>
          <w:rStyle w:val="NormalTok"/>
        </w:rPr>
        <w:t xml:space="preserve">    </w:t>
      </w:r>
      <w:r>
        <w:rPr>
          <w:rStyle w:val="StringTok"/>
        </w:rPr>
        <w:t xml:space="preserve">"results/paper3/regime_b_hdpe_bi2o3"</w:t>
      </w:r>
      <w:r>
        <w:rPr>
          <w:rStyle w:val="NormalTok"/>
        </w:rPr>
        <w:t xml:space="preserve">,</w:t>
      </w:r>
      <w:r>
        <w:br/>
      </w:r>
      <w:r>
        <w:rPr>
          <w:rStyle w:val="NormalTok"/>
        </w:rPr>
        <w:t xml:space="preserve">    </w:t>
      </w:r>
      <w:r>
        <w:rPr>
          <w:rStyle w:val="StringTok"/>
        </w:rPr>
        <w:t xml:space="preserve">"results/paper3/regime_c_hdpe_bi2o3"</w:t>
      </w:r>
      <w:r>
        <w:rPr>
          <w:rStyle w:val="NormalTok"/>
        </w:rPr>
        <w:t xml:space="preserve">,</w:t>
      </w:r>
      <w:r>
        <w:br/>
      </w:r>
      <w:r>
        <w:rPr>
          <w:rStyle w:val="NormalTok"/>
        </w:rPr>
        <w:t xml:space="preserve">    output_dir</w:t>
      </w:r>
      <w:r>
        <w:rPr>
          <w:rStyle w:val="OperatorTok"/>
        </w:rPr>
        <w:t xml:space="preserve">=</w:t>
      </w:r>
      <w:r>
        <w:rPr>
          <w:rStyle w:val="StringTok"/>
        </w:rPr>
        <w:t xml:space="preserve">"results/paper3/figures"</w:t>
      </w:r>
      <w:r>
        <w:br/>
      </w:r>
      <w:r>
        <w:rPr>
          <w:rStyle w:val="NormalTok"/>
        </w:rPr>
        <w:t xml:space="preserve">)</w:t>
      </w:r>
    </w:p>
    <w:p>
      <w:pPr>
        <w:pStyle w:val="FirstParagraph"/>
      </w:pPr>
      <w:r>
        <w:t xml:space="preserve">and saved as</w:t>
      </w:r>
      <w:r>
        <w:t xml:space="preserve"> </w:t>
      </w:r>
      <w:r>
        <w:rPr>
          <w:rStyle w:val="VerbatimChar"/>
        </w:rPr>
        <w:t xml:space="preserve">results/paper3/figures/paper3_cross_regime_mac.png/.pdf</w:t>
      </w:r>
      <w:r>
        <w:t xml:space="preserve">.</w:t>
      </w:r>
      <w:r>
        <w:t xml:space="preserve"> </w:t>
      </w:r>
      <w:r>
        <w:rPr>
          <w:b/>
          <w:bCs/>
        </w:rPr>
        <w:t xml:space="preserve">Figure F-cross (all three regimes: A+B+C).</w:t>
      </w:r>
      <w:r>
        <w:t xml:space="preserve"> </w:t>
      </w:r>
      <w:r>
        <w:t xml:space="preserve">The figure overlays regime A(phi0p189) (Table 1b), regime B (Table 2), and regime C (Table 3) against NIST XCOM. The three curves overlap closely at 30–150 keV, confirming H1 for all three regimes. Above 356 keV, regime B and C points scatter around XCOM due to statistical noise (</w:t>
      </w:r>
      <m:oMath>
        <m:sSub>
          <m:e>
            <m:r>
              <m:t>N</m:t>
            </m:r>
          </m:e>
          <m:sub>
            <m:r>
              <m:rPr>
                <m:nor/>
                <m:sty m:val="p"/>
              </m:rPr>
              <m:t>att</m:t>
            </m:r>
          </m:sub>
        </m:sSub>
        <m:r>
          <m:rPr>
            <m:sty m:val="p"/>
          </m:rPr>
          <m:t>&lt;</m:t>
        </m:r>
        <m:r>
          <m:t>600</m:t>
        </m:r>
      </m:oMath>
      <w:r>
        <w:t xml:space="preserve"> </w:t>
      </w:r>
      <w:r>
        <w:t xml:space="preserve">for regime B,</w:t>
      </w:r>
      <w:r>
        <w:t xml:space="preserve"> </w:t>
      </w:r>
      <m:oMath>
        <m:sSub>
          <m:e>
            <m:r>
              <m:t>N</m:t>
            </m:r>
          </m:e>
          <m:sub>
            <m:r>
              <m:rPr>
                <m:nor/>
                <m:sty m:val="p"/>
              </m:rPr>
              <m:t>att</m:t>
            </m:r>
          </m:sub>
        </m:sSub>
        <m:r>
          <m:rPr>
            <m:sty m:val="p"/>
          </m:rPr>
          <m:t>&lt;</m:t>
        </m:r>
        <m:r>
          <m:t>130</m:t>
        </m:r>
      </m:oMath>
      <w:r>
        <w:t xml:space="preserve"> </w:t>
      </w:r>
      <w:r>
        <w:t xml:space="preserve">for regime C at those energies); error bars on those points are large and the XCOM curve provides the reliable reference.</w:t>
      </w:r>
    </w:p>
    <w:p>
      <w:r>
        <w:pict>
          <v:rect style="width:0;height:1.5pt" o:hralign="center" o:hrstd="t" o:hr="t"/>
        </w:pict>
      </w:r>
    </w:p>
    <w:bookmarkEnd w:id="44"/>
    <w:bookmarkEnd w:id="45"/>
    <w:bookmarkStart w:id="49" w:name="discussion"/>
    <w:p>
      <w:pPr>
        <w:pStyle w:val="Heading2"/>
      </w:pPr>
      <w:r>
        <w:t xml:space="preserve">6. Discussion</w:t>
      </w:r>
    </w:p>
    <w:bookmarkStart w:id="46"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 the emlivermore-based homogeneous model is accurate to within the NIST photon-benchmark tolerance established for ShieldLab G4 v1.0.</w:t>
      </w:r>
    </w:p>
    <w:p>
      <w:pPr>
        <w:pStyle w:val="BodyText"/>
      </w:pPr>
      <w:r>
        <w:t xml:space="preserve">The regime A(phi0p189) run (§5.1.5) uses the same physics list and geometry but applies the composition consistent with the RVE phases (68.6 wt% Bi₂O₃, ρ = 2.452 g cm</w:t>
      </w:r>
      <m:oMath>
        <m:sSup>
          <m:e>
            <m:r>
              <m:t>​</m:t>
            </m:r>
          </m:e>
          <m:sup>
            <m:r>
              <m:rPr>
                <m:sty m:val="p"/>
              </m:rPr>
              <m:t>−</m:t>
            </m:r>
            <m:r>
              <m:t>3</m:t>
            </m:r>
          </m:sup>
        </m:sSup>
      </m:oMath>
      <w:r>
        <w:t xml:space="preserve">). By design, it should also agree with XCOM for that composition (the emlivermore accuracy is not expected to depend on filler loading at these photon energies). This result is the direct regime-A baseline for the H1 cross-regime test.</w:t>
      </w:r>
    </w:p>
    <w:p>
      <w:pPr>
        <w:pStyle w:val="BodyText"/>
      </w:pPr>
      <w:r>
        <w:t xml:space="preserve">The 2.013% maximum deviation at 80 keV is slightly elevated compared to the other energy points. This energy falls near the Bi K-edge complex (88 keV for Bi L₃, but the Bi K-edge group is at 90.5 keV). The most likely cause is a small interpolation mismatch between the EPDL97 photoelectric cross-section grid and the XCOM energy grid in the 80–100 keV region, rather than a physics list error. The value remains well within the pre-registered 5% maximum gate.</w:t>
      </w:r>
    </w:p>
    <w:bookmarkEnd w:id="46"/>
    <w:bookmarkStart w:id="47" w:name="X9be2d9ccee8595cb744cefcd56171d599769a69"/>
    <w:p>
      <w:pPr>
        <w:pStyle w:val="Heading3"/>
      </w:pPr>
      <w:r>
        <w:t xml:space="preserve">6.2 Regime B and C: cross-regime agreement test (H1 — RVE scale)</w:t>
      </w:r>
    </w:p>
    <w:p>
      <w:pPr>
        <w:pStyle w:val="FirstParagraph"/>
      </w:pPr>
      <w:r>
        <w:t xml:space="preserve">Hypothesis H1 applied to the cross-regime comparison predicts that the µ values from the explicit-RVE simulations (regimes B and C) should agree with the effective-medium result (regime A) at the 1 µm scale. The physical argument is straightforward: at the photon energies and nanoparticle sizes considered here (</w:t>
      </w:r>
      <m:oMath>
        <m:r>
          <m:t>r</m:t>
        </m:r>
        <m:r>
          <m:rPr>
            <m:sty m:val="p"/>
          </m:rPr>
          <m:t>=</m:t>
        </m:r>
        <m:r>
          <m:t>25</m:t>
        </m:r>
      </m:oMath>
      <w:r>
        <w:t xml:space="preserve"> </w:t>
      </w:r>
      <w:r>
        <w:t xml:space="preserve">nm,</w:t>
      </w:r>
      <w:r>
        <w:t xml:space="preserve"> </w:t>
      </w:r>
      <m:oMath>
        <m:r>
          <m:t>μ</m:t>
        </m:r>
        <m:r>
          <m:t>r</m:t>
        </m:r>
        <m:r>
          <m:rPr>
            <m:sty m:val="p"/>
          </m:rPr>
          <m:t>≈</m:t>
        </m:r>
        <m:r>
          <m:t>5</m:t>
        </m:r>
        <m:r>
          <m:rPr>
            <m:sty m:val="p"/>
          </m:rPr>
          <m:t>×</m:t>
        </m:r>
        <m:sSup>
          <m:e>
            <m:r>
              <m:t>10</m:t>
            </m:r>
          </m:e>
          <m:sup>
            <m:r>
              <m:rPr>
                <m:sty m:val="p"/>
              </m:rPr>
              <m:t>−</m:t>
            </m:r>
            <m:r>
              <m:t>3</m:t>
            </m:r>
          </m:sup>
        </m:sSup>
      </m:oMath>
      <w:r>
        <w:t xml:space="preserve"> </w:t>
      </w:r>
      <w:r>
        <w:t xml:space="preserve">at 100 keV), the photon cannot resolve the individual nanoparticles, and the attenuation is expected to follow the bulk mixture law. Any deviation from H1 agreement would indicate a geometry or physics implementation error rather than a real physical effect.</w:t>
      </w:r>
    </w:p>
    <w:p>
      <w:pPr>
        <w:pStyle w:val="BodyText"/>
      </w:pPr>
      <w:r>
        <w:rPr>
          <w:b/>
          <w:bCs/>
        </w:rPr>
        <w:t xml:space="preserve">Regime B results (all 10 energies complete)</w:t>
      </w:r>
      <w:r>
        <w:t xml:space="preserve"> </w:t>
      </w:r>
      <w:r>
        <w:t xml:space="preserve">are consistent with this expectation. The measured µ values follow the expected energy dependence, including the Bi K-edge feature at 90.5 keV: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8.60 cm</w:t>
      </w:r>
      <m:oMath>
        <m:sSup>
          <m:e>
            <m:r>
              <m:t>​</m:t>
            </m:r>
          </m:e>
          <m:sup>
            <m:r>
              <m:rPr>
                <m:sty m:val="p"/>
              </m:rPr>
              <m:t>−</m:t>
            </m:r>
            <m:r>
              <m:t>1</m:t>
            </m:r>
          </m:sup>
        </m:sSup>
      </m:oMath>
      <w:r>
        <w:t xml:space="preserve"> </w:t>
      </w:r>
      <w:r>
        <w:t xml:space="preserve">at 100 keV — a jump of ×2.3 due to Bi K-shell photoelectric absorption. This behaviour is only correctly reproduced because the RVE contains explicit Bi₂O₃ filler atoms with the correct K-edge cross section.</w:t>
      </w:r>
    </w:p>
    <w:p>
      <w:pPr>
        <w:pStyle w:val="BodyText"/>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Regime A(phi0p189) itself agrees with NIST XCOM at mean</w:t>
      </w:r>
      <w:r>
        <w:t xml:space="preserve"> </w:t>
      </w:r>
      <m:oMath>
        <m:r>
          <m:rPr>
            <m:sty m:val="p"/>
          </m:rPr>
          <m:t>|</m:t>
        </m:r>
        <m:r>
          <m:rPr>
            <m:sty m:val="p"/>
          </m:rPr>
          <m:t>Δ</m:t>
        </m:r>
        <m:r>
          <m:rPr>
            <m:sty m:val="p"/>
          </m:rPr>
          <m:t>|</m:t>
        </m:r>
        <m:r>
          <m:rPr>
            <m:sty m:val="p"/>
          </m:rPr>
          <m:t>=</m:t>
        </m:r>
        <m:r>
          <m:t>0.72</m:t>
        </m:r>
        <m:r>
          <m:rPr>
            <m:sty m:val="p"/>
          </m:rPr>
          <m:t>%</m:t>
        </m:r>
      </m:oMath>
      <w:r>
        <w:t xml:space="preserve">, max</w:t>
      </w:r>
      <w:r>
        <w:t xml:space="preserve"> </w:t>
      </w:r>
      <m:oMath>
        <m:r>
          <m:rPr>
            <m:sty m:val="p"/>
          </m:rPr>
          <m:t>|</m:t>
        </m:r>
        <m:r>
          <m:rPr>
            <m:sty m:val="p"/>
          </m:rPr>
          <m:t>Δ</m:t>
        </m:r>
        <m:r>
          <m:rPr>
            <m:sty m:val="p"/>
          </m:rPr>
          <m:t>|</m:t>
        </m:r>
        <m:r>
          <m:rPr>
            <m:sty m:val="p"/>
          </m:rPr>
          <m:t>=</m:t>
        </m:r>
        <m:r>
          <m:t>2.45</m:t>
        </m:r>
        <m:r>
          <m:rPr>
            <m:sty m:val="p"/>
          </m:rPr>
          <m:t>%</m:t>
        </m:r>
      </m:oMath>
      <w:r>
        <w:t xml:space="preserve"> </w:t>
      </w:r>
      <w:r>
        <w:t xml:space="preserve">(Table 1b, §5.1.5), confirming that the slab-geometry effective-medium baseline is reliable. The systematic ∼2% downward offset of regime B relative to regime A is consistent with the RVE boundary-layer effect: photons that travel through the $</w:t>
      </w:r>
      <w:r>
        <w:t xml:space="preserve">$3 nm void gap between touching sphere surfaces experience a locally reduced effective attenuation, marginally lowering the ensemble-averaged</w:t>
      </w:r>
      <w:r>
        <w:t xml:space="preserve"> </w:t>
      </w:r>
      <m:oMath>
        <m:r>
          <m:t>μ</m:t>
        </m:r>
      </m:oMath>
      <w:r>
        <w:t xml:space="preserve">. This sub-3% effect is within the pre-registered H1 gate and does not challenge hypothesis H1.</w:t>
      </w:r>
    </w:p>
    <w:p>
      <w:pPr>
        <w:pStyle w:val="BodyText"/>
      </w:pPr>
      <w:r>
        <w:t xml:space="preserve">Statistical uncertainty on the regime B µ estimates is $</w:t>
      </w:r>
      <m:oMath>
        <m:r>
          <m:t>0.5</m:t>
        </m:r>
        <m:r>
          <m:rPr>
            <m:sty m:val="p"/>
          </m:rPr>
          <m:t>–</m:t>
        </m:r>
        <m:r>
          <m:t>1.8</m:t>
        </m:r>
        <m:r>
          <m:rPr>
            <m:sty m:val="p"/>
          </m:rPr>
          <m:t>%</m:t>
        </m:r>
        <m:r>
          <m:t>a</m:t>
        </m:r>
        <m:r>
          <m:t>t</m:t>
        </m:r>
        <m:r>
          <m:t>30</m:t>
        </m:r>
        <m:r>
          <m:rPr>
            <m:sty m:val="p"/>
          </m:rPr>
          <m:t>–</m:t>
        </m:r>
        <m:r>
          <m:t>150</m:t>
        </m:r>
        <m:r>
          <m:t>k</m:t>
        </m:r>
        <m:r>
          <m:t>e</m:t>
        </m:r>
        <m:r>
          <m:t>V</m:t>
        </m:r>
        <m:r>
          <m:t>a</m:t>
        </m:r>
        <m:r>
          <m:t>n</m:t>
        </m:r>
        <m:r>
          <m:t>d</m:t>
        </m:r>
        <m:r>
          <m:t>r</m:t>
        </m:r>
        <m:r>
          <m:t>i</m:t>
        </m:r>
        <m:r>
          <m:t>s</m:t>
        </m:r>
        <m:r>
          <m:t>e</m:t>
        </m:r>
        <m:r>
          <m:t>s</m:t>
        </m:r>
        <m:r>
          <m:t>t</m:t>
        </m:r>
        <m:r>
          <m:t>o</m:t>
        </m:r>
        <m:r>
          <m:t>4</m:t>
        </m:r>
        <m:r>
          <m:rPr>
            <m:sty m:val="p"/>
          </m:rPr>
          <m:t>–</m:t>
        </m:r>
        <m:r>
          <m:t>9</m:t>
        </m:r>
        <m:r>
          <m:rPr>
            <m:sty m:val="p"/>
          </m:rPr>
          <m:t>%</m:t>
        </m:r>
        <m:r>
          <m:t>a</m:t>
        </m:r>
        <m:r>
          <m:t>t</m:t>
        </m:r>
        <m:r>
          <m:rPr>
            <m:sty m:val="p"/>
          </m:rPr>
          <m:t>≥</m:t>
        </m:r>
        <m:r>
          <m:t>356</m:t>
        </m:r>
        <m:r>
          <m:t>k</m:t>
        </m:r>
        <m:r>
          <m:t>e</m:t>
        </m:r>
        <m:r>
          <m:t>V</m:t>
        </m:r>
        <m:r>
          <m:t>w</m:t>
        </m:r>
        <m:r>
          <m:t>h</m:t>
        </m:r>
        <m:r>
          <m:t>e</m:t>
        </m:r>
        <m:r>
          <m:t>r</m:t>
        </m:r>
        <m:r>
          <m:t>e</m:t>
        </m:r>
        <m:r>
          <m:t>t</m:t>
        </m:r>
        <m:r>
          <m:t>h</m:t>
        </m:r>
        <m:r>
          <m:t>e</m:t>
        </m:r>
        <m:r>
          <m:t>t</m:t>
        </m:r>
        <m:r>
          <m:t>h</m:t>
        </m:r>
        <m:r>
          <m:t>i</m:t>
        </m:r>
        <m:r>
          <m:t>n</m:t>
        </m:r>
        <m:r>
          <m:t>R</m:t>
        </m:r>
        <m:r>
          <m:t>V</m:t>
        </m:r>
        <m:r>
          <m:t>E</m:t>
        </m:r>
        <m:r>
          <m:rPr>
            <m:sty m:val="p"/>
          </m:rPr>
          <m:t>(</m:t>
        </m:r>
      </m:oMath>
      <w:r>
        <w:t xml:space="preserve">L = 1$ µm) provides fewer attenuated primaries (</w:t>
      </w:r>
      <m:oMath>
        <m:sSub>
          <m:e>
            <m:r>
              <m:t>N</m:t>
            </m:r>
          </m:e>
          <m:sub>
            <m:r>
              <m:rPr>
                <m:nor/>
                <m:sty m:val="p"/>
              </m:rPr>
              <m:t>att</m:t>
            </m:r>
          </m:sub>
        </m:sSub>
        <m:r>
          <m:rPr>
            <m:sty m:val="p"/>
          </m:rPr>
          <m:t>&lt;</m:t>
        </m:r>
        <m:r>
          <m:t>600</m:t>
        </m:r>
      </m:oMath>
      <w:r>
        <w:t xml:space="preserve">). Those high-energy</w:t>
      </w:r>
      <w:r>
        <w:t xml:space="preserve"> </w:t>
      </w:r>
      <m:oMath>
        <m:r>
          <m:rPr>
            <m:sty m:val="p"/>
          </m:rPr>
          <m:t>Δ</m:t>
        </m:r>
      </m:oMath>
      <w:r>
        <w:t xml:space="preserve"> </w:t>
      </w:r>
      <w:r>
        <w:t xml:space="preserve">values are statistically dominated and cannot be interpreted as physics deviations. The regime A(phi0p189) slab result provides the reliable</w:t>
      </w:r>
      <w:r>
        <w:t xml:space="preserve"> </w:t>
      </w:r>
      <m:oMath>
        <m:r>
          <m:t>μ</m:t>
        </m:r>
      </m:oMath>
      <w:r>
        <w:t xml:space="preserve"> </w:t>
      </w:r>
      <w:r>
        <w:t xml:space="preserve">reference at all energies.</w:t>
      </w:r>
      <w:r>
        <w:t xml:space="preserve"> </w:t>
      </w:r>
      <w:r>
        <w:rPr>
          <w:b/>
          <w:bCs/>
        </w:rPr>
        <w:t xml:space="preserve">Regime C (G4MultiUnion) outcome: feasible at 250 nm RVE (</w:t>
      </w:r>
      <m:oMath>
        <m:r>
          <m:t>N</m:t>
        </m:r>
        <m:r>
          <m:rPr>
            <m:sty m:val="p"/>
          </m:rPr>
          <m:t>=</m:t>
        </m:r>
        <m:r>
          <m:t>45</m:t>
        </m:r>
      </m:oMath>
      <w:r>
        <w:rPr>
          <w:b/>
          <w:bCs/>
        </w:rPr>
        <w:t xml:space="preserve">).</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OOM-killed at</w:t>
      </w:r>
      <w:r>
        <w:t xml:space="preserve"> </w:t>
      </w:r>
      <m:oMath>
        <m:r>
          <m:rPr>
            <m:sty m:val="p"/>
          </m:rPr>
          <m:t>&gt;</m:t>
        </m:r>
        <m:r>
          <m:t>7.2</m:t>
        </m:r>
      </m:oMath>
      <w:r>
        <w:t xml:space="preserve"> </w:t>
      </w:r>
      <w:r>
        <w:t xml:space="preserve">GB RSS) and the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w:t>
      </w:r>
      <w:r>
        <w:t xml:space="preserve"> </w:t>
      </w:r>
      <m:oMath>
        <m:r>
          <m:rPr>
            <m:sty m:val="p"/>
          </m:rPr>
          <m:t>∼</m:t>
        </m:r>
        <m:r>
          <m:t>3.5</m:t>
        </m:r>
      </m:oMath>
      <w:r>
        <w:t xml:space="preserve"> </w:t>
      </w:r>
      <w:r>
        <w:t xml:space="preserve">GB, also OOM) are infeasible on the 8 GB workstation. The 250 nm RVE (</w:t>
      </w:r>
      <m:oMath>
        <m:r>
          <m:t>N</m:t>
        </m:r>
        <m:r>
          <m:rPr>
            <m:sty m:val="p"/>
          </m:rPr>
          <m:t>=</m:t>
        </m:r>
        <m:r>
          <m:t>45</m:t>
        </m:r>
      </m:oMath>
      <w:r>
        <w:t xml:space="preserve">;</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completes successfully. 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and with NIST XCOM to within</w:t>
      </w:r>
      <w:r>
        <w:t xml:space="preserve"> </w:t>
      </w:r>
      <m:oMath>
        <m:r>
          <m:rPr>
            <m:sty m:val="p"/>
          </m:rPr>
          <m:t>−</m:t>
        </m:r>
        <m:r>
          <m:t>2.3</m:t>
        </m:r>
        <m:r>
          <m:rPr>
            <m:sty m:val="p"/>
          </m:rPr>
          <m:t>%</m:t>
        </m:r>
      </m:oMath>
      <w:r>
        <w:t xml:space="preserve"> </w:t>
      </w:r>
      <w:r>
        <w:t xml:space="preserve">to</w:t>
      </w:r>
      <w:r>
        <w:t xml:space="preserve"> </w:t>
      </w:r>
      <m:oMath>
        <m:r>
          <m:rPr>
            <m:sty m:val="p"/>
          </m:rPr>
          <m:t>+</m:t>
        </m:r>
        <m:r>
          <m:t>1.2</m:t>
        </m:r>
        <m:r>
          <m:rPr>
            <m:sty m:val="p"/>
          </m:rPr>
          <m:t>%</m:t>
        </m:r>
      </m:oMath>
      <w:r>
        <w:t xml:space="preserve"> </w:t>
      </w:r>
      <w:r>
        <w:t xml:space="preserve">(Table 3), confirming H1 for regime C. The scalability finding —</w:t>
      </w:r>
      <w:r>
        <w:t xml:space="preserve"> </w:t>
      </w:r>
      <w:r>
        <w:rPr>
          <w:rStyle w:val="VerbatimChar"/>
        </w:rPr>
        <w:t xml:space="preserve">G4MultiUnion</w:t>
      </w:r>
      <w:r>
        <w:t xml:space="preserve"> </w:t>
      </w:r>
      <w:r>
        <w:t xml:space="preserve">impractical at</w:t>
      </w:r>
      <w:r>
        <w:t xml:space="preserve"> </w:t>
      </w:r>
      <m:oMath>
        <m:r>
          <m:t>N</m:t>
        </m:r>
        <m:r>
          <m:rPr>
            <m:sty m:val="p"/>
          </m:rPr>
          <m:t>≳</m:t>
        </m:r>
        <m:r>
          <m:t>50</m:t>
        </m:r>
      </m:oMath>
      <w:r>
        <w:t xml:space="preserve"> </w:t>
      </w:r>
      <w:r>
        <w:t xml:space="preserve">for dense-packing on 8 GB workstations,</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 — is the key architectural distinction between the two explicit-RVE approaches.</w:t>
      </w:r>
    </w:p>
    <w:bookmarkEnd w:id="47"/>
    <w:bookmarkStart w:id="48"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The explicit-RVE regimes (B and C) are needed only when:</w:t>
      </w:r>
    </w:p>
    <w:p>
      <w:pPr>
        <w:pStyle w:val="Compact"/>
        <w:numPr>
          <w:ilvl w:val="0"/>
          <w:numId w:val="1005"/>
        </w:numPr>
      </w:pPr>
      <w:r>
        <w:t xml:space="preserve">Interface dose or dose-enhancement factors at the matrix–filler boundary are required.</w:t>
      </w:r>
    </w:p>
    <w:p>
      <w:pPr>
        <w:pStyle w:val="Compact"/>
        <w:numPr>
          <w:ilvl w:val="0"/>
          <w:numId w:val="1005"/>
        </w:numPr>
      </w:pPr>
      <w:r>
        <w:t xml:space="preserve">The nanoparticle size or loading approaches a regime where inter-particle coherence (for X-ray diffraction/scattering) or absorption edge microstructure effects become relevant.</w:t>
      </w:r>
    </w:p>
    <w:p>
      <w:pPr>
        <w:pStyle w:val="Compact"/>
        <w:numPr>
          <w:ilvl w:val="0"/>
          <w:numId w:val="1005"/>
        </w:numPr>
      </w:pPr>
      <w:r>
        <w:t xml:space="preserve">The application requires spatial resolution below the photon MFP.</w:t>
      </w:r>
    </w:p>
    <w:p>
      <w:pPr>
        <w:pStyle w:val="FirstParagraph"/>
      </w:pPr>
      <w:r>
        <w:t xml:space="preserve">For the 68.6 wt% Bi₂O₃/HDPE composition studied here (φ = 0.189, ρ = 2.452 g cm</w:t>
      </w:r>
      <m:oMath>
        <m:sSup>
          <m:e>
            <m:r>
              <m:t>​</m:t>
            </m:r>
          </m:e>
          <m:sup>
            <m:r>
              <m:rPr>
                <m:sty m:val="p"/>
              </m:rPr>
              <m:t>−</m:t>
            </m:r>
            <m:r>
              <m:t>3</m:t>
            </m:r>
          </m:sup>
        </m:sSup>
      </m:oMath>
      <w:r>
        <w:t xml:space="preserve">), none of these conditions are met at the macro-transport level, and regime A provides a reliable, low-cost simulation approach.</w:t>
      </w:r>
    </w:p>
    <w:p>
      <w:r>
        <w:pict>
          <v:rect style="width:0;height:1.5pt" o:hralign="center" o:hrstd="t" o:hr="t"/>
        </w:pict>
      </w:r>
    </w:p>
    <w:bookmarkEnd w:id="48"/>
    <w:bookmarkEnd w:id="49"/>
    <w:bookmarkStart w:id="50" w:name="conclusions"/>
    <w:p>
      <w:pPr>
        <w:pStyle w:val="Heading2"/>
      </w:pPr>
      <w:r>
        <w:t xml:space="preserve">7. Conclusions</w:t>
      </w:r>
    </w:p>
    <w:p>
      <w:pPr>
        <w:numPr>
          <w:ilvl w:val="0"/>
          <w:numId w:val="1006"/>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 This constitutes a validated emlivermore-vs-XCOM benchmark. The cross-regime comparison uses the separate regime A(phi0p189) run at 68.6 wt% Bi₂O₃ (φ = 0.189), which uses the same composition as the explicit-RVE regimes.</w:t>
      </w:r>
    </w:p>
    <w:p>
      <w:pPr>
        <w:numPr>
          <w:ilvl w:val="0"/>
          <w:numId w:val="1006"/>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gives</w:t>
      </w:r>
      <w:r>
        <w:t xml:space="preserve"> </w:t>
      </w:r>
      <m:oMath>
        <m:sSub>
          <m:e>
            <m:r>
              <m:t>μ</m:t>
            </m:r>
          </m:e>
          <m:sub>
            <m:r>
              <m:t>B</m:t>
            </m:r>
          </m:sub>
        </m:sSub>
        <m:r>
          <m:rPr>
            <m:sty m:val="p"/>
          </m:rPr>
          <m:t>(</m:t>
        </m:r>
        <m:r>
          <m:t>30</m:t>
        </m:r>
        <m:r>
          <m:t> </m:t>
        </m:r>
        <m:r>
          <m:rPr>
            <m:nor/>
            <m:sty m:val="p"/>
          </m:rPr>
          <m:t>keV</m:t>
        </m:r>
        <m:r>
          <m:rPr>
            <m:sty m:val="p"/>
          </m:rPr>
          <m:t>)</m:t>
        </m:r>
        <m:r>
          <m:rPr>
            <m:sty m:val="p"/>
          </m:rPr>
          <m:t>=</m:t>
        </m:r>
        <m:r>
          <m:t>47.0</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19.19</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and correctly resolves the Bi K-edge jump (</w:t>
      </w:r>
      <m:oMath>
        <m:r>
          <m:t>μ</m:t>
        </m:r>
      </m:oMath>
      <w:r>
        <w:t xml:space="preserve"> </w:t>
      </w:r>
      <w:r>
        <w:t xml:space="preserve">rises ×2.3 from 80 to 100 keV). Regime C gives</w:t>
      </w:r>
      <w:r>
        <w:t xml:space="preserve"> </w:t>
      </w:r>
      <m:oMath>
        <m:sSub>
          <m:e>
            <m:r>
              <m:t>μ</m:t>
            </m:r>
          </m:e>
          <m:sub>
            <m:r>
              <m:t>C</m:t>
            </m:r>
          </m:sub>
        </m:sSub>
        <m:r>
          <m:rPr>
            <m:sty m:val="p"/>
          </m:rPr>
          <m:t>(</m:t>
        </m:r>
        <m:r>
          <m:t>30</m:t>
        </m:r>
        <m:r>
          <m:t> </m:t>
        </m:r>
        <m:r>
          <m:rPr>
            <m:nor/>
            <m:sty m:val="p"/>
          </m:rPr>
          <m:t>keV</m:t>
        </m:r>
        <m:r>
          <m:rPr>
            <m:sty m:val="p"/>
          </m:rPr>
          <m:t>)</m:t>
        </m:r>
        <m:r>
          <m:rPr>
            <m:sty m:val="p"/>
          </m:rPr>
          <m:t>=</m:t>
        </m:r>
        <m:r>
          <m:t>47.16</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19.23</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6"/>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 Both regime B and regime C agree with NIST XCOM to within the 5% max gate at 30–150 keV. The ~2% systematic offset of regime B relative to regime A is consistent with RVE boundary-layer effects; regime C shows no systematic offset, consistent with ergodic averaging via distributed beam. High-energy points (≥ 356 keV) are statistically limited for both RVE regimes and cannot be interpreted as physics deviations; regime A(phi0p189) provides the reliable µ reference there.</w:t>
      </w:r>
    </w:p>
    <w:p>
      <w:pPr>
        <w:numPr>
          <w:ilvl w:val="0"/>
          <w:numId w:val="1006"/>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r>
        <w:pict>
          <v:rect style="width:0;height:1.5pt" o:hralign="center" o:hrstd="t" o:hr="t"/>
        </w:pict>
      </w:r>
    </w:p>
    <w:bookmarkEnd w:id="50"/>
    <w:bookmarkStart w:id="51" w:name="limitations-and-validity-scope"/>
    <w:p>
      <w:pPr>
        <w:pStyle w:val="Heading2"/>
      </w:pPr>
      <w:r>
        <w:t xml:space="preserve">8. Limitations and Validity Scope</w:t>
      </w:r>
    </w:p>
    <w:p>
      <w:pPr>
        <w:pStyle w:val="Compact"/>
        <w:numPr>
          <w:ilvl w:val="0"/>
          <w:numId w:val="1007"/>
        </w:numPr>
      </w:pPr>
      <w:r>
        <w:rPr>
          <w:b/>
          <w:bCs/>
        </w:rPr>
        <w:t xml:space="preserve">RVE size selection.</w:t>
      </w:r>
      <w:r>
        <w:t xml:space="preserve"> </w:t>
      </w:r>
      <w:r>
        <w:t xml:space="preserve">Regime B used a 1 µm RVE (</w:t>
      </w:r>
      <m:oMath>
        <m:r>
          <m:t>N</m:t>
        </m:r>
        <m:r>
          <m:rPr>
            <m:sty m:val="p"/>
          </m:rPr>
          <m:t>=</m:t>
        </m:r>
        <m:r>
          <m:t>2</m:t>
        </m:r>
        <m:r>
          <m:rPr>
            <m:sty m:val="p"/>
          </m:rPr>
          <m:t>,</m:t>
        </m:r>
        <m:r>
          <m:t>888</m:t>
        </m:r>
      </m:oMath>
      <w:r>
        <w:t xml:space="preserve"> </w:t>
      </w:r>
      <w:r>
        <w:t xml:space="preserve">spheres); regime C required a 250 nm RVE (</w:t>
      </w:r>
      <m:oMath>
        <m:r>
          <m:t>N</m:t>
        </m:r>
        <m:r>
          <m:rPr>
            <m:sty m:val="p"/>
          </m:rPr>
          <m:t>=</m:t>
        </m:r>
        <m:r>
          <m:t>45</m:t>
        </m:r>
      </m:oMath>
      <w:r>
        <w:t xml:space="preserve">) due to</w:t>
      </w:r>
      <w:r>
        <w:t xml:space="preserve"> </w:t>
      </w:r>
      <w:r>
        <w:rPr>
          <w:rStyle w:val="VerbatimChar"/>
        </w:rPr>
        <w:t xml:space="preserve">G4Voxelizer</w:t>
      </w:r>
      <w:r>
        <w:t xml:space="preserve"> </w:t>
      </w:r>
      <w:r>
        <w:t xml:space="preserve">memory constraints (§5.3). A systematic RVE-convergence study (varying</w:t>
      </w:r>
      <w:r>
        <w:t xml:space="preserve"> </w:t>
      </w:r>
      <m:oMath>
        <m:sSub>
          <m:e>
            <m:r>
              <m:t>L</m:t>
            </m:r>
          </m:e>
          <m:sub>
            <m:r>
              <m:rPr>
                <m:nor/>
                <m:sty m:val="p"/>
              </m:rPr>
              <m:t>RVE</m:t>
            </m:r>
          </m:sub>
        </m:sSub>
      </m:oMath>
      <w:r>
        <w:t xml:space="preserve">) is deferred to a future version.</w:t>
      </w:r>
    </w:p>
    <w:p>
      <w:pPr>
        <w:pStyle w:val="Compact"/>
        <w:numPr>
          <w:ilvl w:val="0"/>
          <w:numId w:val="1007"/>
        </w:numPr>
      </w:pPr>
      <w:r>
        <w:rPr>
          <w:b/>
          <w:bCs/>
        </w:rPr>
        <w:t xml:space="preserve">Single material composition.</w:t>
      </w:r>
      <w:r>
        <w:t xml:space="preserve"> </w:t>
      </w:r>
      <w:r>
        <w:t xml:space="preserve">Only HDPE/Bi₂O₃ at</w:t>
      </w:r>
      <w:r>
        <w:t xml:space="preserve"> </w:t>
      </w:r>
      <m:oMath>
        <m:sSub>
          <m:e>
            <m:r>
              <m:t>ϕ</m:t>
            </m:r>
          </m:e>
          <m:sub>
            <m:r>
              <m:t>f</m:t>
            </m:r>
          </m:sub>
        </m:sSub>
        <m:r>
          <m:rPr>
            <m:sty m:val="p"/>
          </m:rPr>
          <m:t>=</m:t>
        </m:r>
        <m:r>
          <m:t>0.189</m:t>
        </m:r>
      </m:oMath>
      <w:r>
        <w:t xml:space="preserve"> </w:t>
      </w:r>
      <w:r>
        <w:t xml:space="preserve">(68.6 wt% Bi₂O₃, ρ = 2.452 g cm</w:t>
      </w:r>
      <m:oMath>
        <m:sSup>
          <m:e>
            <m:r>
              <m:t>​</m:t>
            </m:r>
          </m:e>
          <m:sup>
            <m:r>
              <m:rPr>
                <m:sty m:val="p"/>
              </m:rPr>
              <m:t>−</m:t>
            </m:r>
            <m:r>
              <m:t>3</m:t>
            </m:r>
          </m:sup>
        </m:sSup>
      </m:oMath>
      <w:r>
        <w:t xml:space="preserve">) is reported for the cross-regime comparison. An additional emlivermore XCOM validation at 30 wt% is included. Extension to additional matrix/filler combinations (WO₃, BaSO₄, varied loadings) is planned for the full regime-map study.</w:t>
      </w:r>
    </w:p>
    <w:p>
      <w:pPr>
        <w:pStyle w:val="Compact"/>
        <w:numPr>
          <w:ilvl w:val="0"/>
          <w:numId w:val="1007"/>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7"/>
        </w:numPr>
      </w:pPr>
      <w:r>
        <w:rPr>
          <w:b/>
          <w:bCs/>
        </w:rPr>
        <w:t xml:space="preserve">1-D slab transport.</w:t>
      </w:r>
      <w:r>
        <w:t xml:space="preserve"> </w:t>
      </w:r>
      <w:r>
        <w:t xml:space="preserve">Full 3-D geometry is out of scope for this paper.</w:t>
      </w:r>
    </w:p>
    <w:p>
      <w:pPr>
        <w:pStyle w:val="Compact"/>
        <w:numPr>
          <w:ilvl w:val="0"/>
          <w:numId w:val="1007"/>
        </w:numPr>
      </w:pPr>
      <w:r>
        <w:rPr>
          <w:b/>
          <w:bCs/>
        </w:rPr>
        <w:t xml:space="preserve">Photon-only benchmark.</w:t>
      </w:r>
      <w:r>
        <w:t xml:space="preserve"> </w:t>
      </w:r>
      <w:r>
        <w:t xml:space="preserve">Neutron and charged-particle behaviour through nanocomposites is not addressed.</w:t>
      </w:r>
    </w:p>
    <w:p>
      <w:pPr>
        <w:pStyle w:val="Compact"/>
        <w:numPr>
          <w:ilvl w:val="0"/>
          <w:numId w:val="1007"/>
        </w:numPr>
      </w:pPr>
      <w:r>
        <w:rPr>
          <w:b/>
          <w:bCs/>
        </w:rPr>
        <w:t xml:space="preserve">Density input.</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(cross-regime comparison) and</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(regime A 30 wt% XCOM validation) are both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51"/>
    <w:bookmarkStart w:id="53" w:name="X2d8f1b2f27b31457b82c6dbfacb1816390ebf9a"/>
    <w:p>
      <w:pPr>
        <w:pStyle w:val="Heading2"/>
      </w:pPr>
      <w:r>
        <w:t xml:space="preserve">9. Reproducibility, Code Availability, and Ethics</w:t>
      </w:r>
    </w:p>
    <w:p>
      <w:pPr>
        <w:pStyle w:val="Compact"/>
        <w:numPr>
          <w:ilvl w:val="0"/>
          <w:numId w:val="1008"/>
        </w:numPr>
      </w:pPr>
      <w:r>
        <w:rPr>
          <w:b/>
          <w:bCs/>
        </w:rPr>
        <w:t xml:space="preserve">Software:</w:t>
      </w:r>
      <w:r>
        <w:t xml:space="preserve"> </w:t>
      </w:r>
      <w:r>
        <w:t xml:space="preserve">ShieldLab G4 v1.1 (tag to be assigned upon paper submission), MIT licence. Source at the repository root</w:t>
      </w:r>
      <w:r>
        <w:t xml:space="preserve"> </w:t>
      </w:r>
      <w:hyperlink r:id="rId52">
        <w:r>
          <w:rPr>
            <w:rStyle w:val="Hyperlink"/>
          </w:rPr>
          <w:t xml:space="preserve">README.md</w:t>
        </w:r>
      </w:hyperlink>
      <w:r>
        <w:t xml:space="preserve">.</w:t>
      </w:r>
    </w:p>
    <w:p>
      <w:pPr>
        <w:pStyle w:val="Compact"/>
        <w:numPr>
          <w:ilvl w:val="0"/>
          <w:numId w:val="1008"/>
        </w:numPr>
      </w:pPr>
      <w:r>
        <w:rPr>
          <w:b/>
          <w:bCs/>
        </w:rPr>
        <w:t xml:space="preserve">Data:</w:t>
      </w:r>
      <w:r>
        <w:t xml:space="preserve"> </w:t>
      </w:r>
      <w:r>
        <w:t xml:space="preserve">all benchmark inputs (study JSONs), raw scorer outputs, derived CSVs, and figure-generation scripts are released under CC-BY 4.0 in</w:t>
      </w:r>
      <w:r>
        <w:t xml:space="preserve"> </w:t>
      </w:r>
      <w:r>
        <w:rPr>
          <w:rStyle w:val="VerbatimChar"/>
        </w:rPr>
        <w:t xml:space="preserve">results/paper3/</w:t>
      </w:r>
      <w:r>
        <w:t xml:space="preserve">.</w:t>
      </w:r>
    </w:p>
    <w:p>
      <w:pPr>
        <w:pStyle w:val="Compact"/>
        <w:numPr>
          <w:ilvl w:val="0"/>
          <w:numId w:val="1008"/>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8"/>
        </w:numPr>
      </w:pPr>
      <w:r>
        <w:rPr>
          <w:b/>
          <w:bCs/>
        </w:rPr>
        <w:t xml:space="preserve">No human or animal data.</w:t>
      </w:r>
      <w:r>
        <w:t xml:space="preserve"> </w:t>
      </w:r>
      <w:r>
        <w:t xml:space="preserve">No external funding declared at this time (to be confirmed before submission). No conflicts of interest.</w:t>
      </w:r>
    </w:p>
    <w:p>
      <w:pPr>
        <w:pStyle w:val="Compact"/>
        <w:numPr>
          <w:ilvl w:val="0"/>
          <w:numId w:val="1008"/>
        </w:numPr>
      </w:pPr>
      <w:r>
        <w:rPr>
          <w:b/>
          <w:bCs/>
        </w:rPr>
        <w:t xml:space="preserve">AI-assisted writing disclosure:</w:t>
      </w:r>
      <w:r>
        <w:t xml:space="preserve"> </w:t>
      </w:r>
      <w:r>
        <w:t xml:space="preserve">the manuscript was drafted with the assistance of GitHub Copilot in agent mode; all physics claims, results, citations, and code were independently verified by the author before submission. This disclosure follows COPE 2023 guidance.</w:t>
      </w:r>
    </w:p>
    <w:p>
      <w:r>
        <w:pict>
          <v:rect style="width:0;height:1.5pt" o:hralign="center" o:hrstd="t" o:hr="t"/>
        </w:pict>
      </w:r>
    </w:p>
    <w:bookmarkEnd w:id="53"/>
    <w:bookmarkStart w:id="63" w:name="references"/>
    <w:p>
      <w:pPr>
        <w:pStyle w:val="Heading2"/>
      </w:pPr>
      <w:r>
        <w:t xml:space="preserve">10. References</w:t>
      </w:r>
    </w:p>
    <w:p>
      <w:pPr>
        <w:pStyle w:val="Compact"/>
        <w:numPr>
          <w:ilvl w:val="0"/>
          <w:numId w:val="1009"/>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54">
        <w:r>
          <w:rPr>
            <w:rStyle w:val="Hyperlink"/>
          </w:rPr>
          <w:t xml:space="preserve">10.1016/S0168-9002(03)01368-8</w:t>
        </w:r>
      </w:hyperlink>
      <w:r>
        <w:t xml:space="preserve">.</w:t>
      </w:r>
    </w:p>
    <w:p>
      <w:pPr>
        <w:pStyle w:val="Compact"/>
        <w:numPr>
          <w:ilvl w:val="0"/>
          <w:numId w:val="1009"/>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55">
        <w:r>
          <w:rPr>
            <w:rStyle w:val="Hyperlink"/>
          </w:rPr>
          <w:t xml:space="preserve">10.1109/TNS.2006.869826</w:t>
        </w:r>
      </w:hyperlink>
      <w:r>
        <w:t xml:space="preserve">.</w:t>
      </w:r>
    </w:p>
    <w:p>
      <w:pPr>
        <w:pStyle w:val="Compact"/>
        <w:numPr>
          <w:ilvl w:val="0"/>
          <w:numId w:val="1009"/>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56">
        <w:r>
          <w:rPr>
            <w:rStyle w:val="Hyperlink"/>
          </w:rPr>
          <w:t xml:space="preserve">10.1016/j.nima.2016.06.125</w:t>
        </w:r>
      </w:hyperlink>
      <w:r>
        <w:t xml:space="preserve">.</w:t>
      </w:r>
    </w:p>
    <w:p>
      <w:pPr>
        <w:pStyle w:val="Compact"/>
        <w:numPr>
          <w:ilvl w:val="0"/>
          <w:numId w:val="1009"/>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57">
        <w:r>
          <w:rPr>
            <w:rStyle w:val="Hyperlink"/>
          </w:rPr>
          <w:t xml:space="preserve">10.1016/0020-708X(82)90248-4</w:t>
        </w:r>
      </w:hyperlink>
      <w:r>
        <w:t xml:space="preserve">.</w:t>
      </w:r>
    </w:p>
    <w:p>
      <w:pPr>
        <w:pStyle w:val="Compact"/>
        <w:numPr>
          <w:ilvl w:val="0"/>
          <w:numId w:val="1009"/>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58">
        <w:r>
          <w:rPr>
            <w:rStyle w:val="Hyperlink"/>
          </w:rPr>
          <w:t xml:space="preserve">10.1088/0031-9155/44/1/001</w:t>
        </w:r>
      </w:hyperlink>
      <w:r>
        <w:t xml:space="preserve">.</w:t>
      </w:r>
    </w:p>
    <w:p>
      <w:pPr>
        <w:pStyle w:val="Compact"/>
        <w:numPr>
          <w:ilvl w:val="0"/>
          <w:numId w:val="1009"/>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59">
        <w:r>
          <w:rPr>
            <w:rStyle w:val="Hyperlink"/>
          </w:rPr>
          <w:t xml:space="preserve">https://physics.nist.gov/xcom</w:t>
        </w:r>
      </w:hyperlink>
      <w:r>
        <w:t xml:space="preserve">.</w:t>
      </w:r>
    </w:p>
    <w:p>
      <w:pPr>
        <w:pStyle w:val="Compact"/>
        <w:numPr>
          <w:ilvl w:val="0"/>
          <w:numId w:val="1009"/>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9"/>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60">
        <w:r>
          <w:rPr>
            <w:rStyle w:val="Hyperlink"/>
          </w:rPr>
          <w:t xml:space="preserve">10.1118/1.3476457</w:t>
        </w:r>
      </w:hyperlink>
      <w:r>
        <w:t xml:space="preserve">.</w:t>
      </w:r>
    </w:p>
    <w:p>
      <w:pPr>
        <w:pStyle w:val="Compact"/>
        <w:numPr>
          <w:ilvl w:val="0"/>
          <w:numId w:val="1009"/>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61">
        <w:r>
          <w:rPr>
            <w:rStyle w:val="Hyperlink"/>
          </w:rPr>
          <w:t xml:space="preserve">10.1142/S1793962310000122</w:t>
        </w:r>
      </w:hyperlink>
      <w:r>
        <w:t xml:space="preserve">.</w:t>
      </w:r>
    </w:p>
    <w:p>
      <w:pPr>
        <w:pStyle w:val="Compact"/>
        <w:numPr>
          <w:ilvl w:val="0"/>
          <w:numId w:val="1009"/>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62">
        <w:r>
          <w:rPr>
            <w:rStyle w:val="Hyperlink"/>
          </w:rPr>
          <w:t xml:space="preserve">10.1016/j.nimb.2016.01.017</w:t>
        </w:r>
      </w:hyperlink>
      <w:r>
        <w:t xml:space="preserve">.</w:t>
      </w:r>
    </w:p>
    <w:p>
      <w:pPr>
        <w:pStyle w:val="Compact"/>
        <w:numPr>
          <w:ilvl w:val="0"/>
          <w:numId w:val="1009"/>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p>
      <w:pPr>
        <w:pStyle w:val="Compact"/>
        <w:numPr>
          <w:ilvl w:val="0"/>
          <w:numId w:val="1009"/>
        </w:numPr>
      </w:pPr>
      <w:r>
        <w:t xml:space="preserve">ANSI/ANS-6.4.3-1991 (R2001),</w:t>
      </w:r>
      <w:r>
        <w:t xml:space="preserve"> </w:t>
      </w:r>
      <w:r>
        <w:rPr>
          <w:i/>
          <w:iCs/>
        </w:rPr>
        <w:t xml:space="preserve">Gamma-Ray Attenuation Coefficients and Buildup Factors for Engineering Materials</w:t>
      </w:r>
      <w:r>
        <w:t xml:space="preserve">, American Nuclear Society.</w:t>
      </w:r>
    </w:p>
    <w:p>
      <w:pPr>
        <w:pStyle w:val="Compact"/>
        <w:numPr>
          <w:ilvl w:val="0"/>
          <w:numId w:val="1009"/>
        </w:numPr>
      </w:pPr>
      <w:r>
        <w:t xml:space="preserve">ICRP Publication 116,</w:t>
      </w:r>
      <w:r>
        <w:t xml:space="preserve"> </w:t>
      </w:r>
      <w:r>
        <w:rPr>
          <w:i/>
          <w:iCs/>
        </w:rPr>
        <w:t xml:space="preserve">Conversion Coefficients for Radiological Protection Quantities for External Radiation Exposures</w:t>
      </w:r>
      <w:r>
        <w:t xml:space="preserve">, Ann. ICRP 40(2–5) (2010).</w:t>
      </w:r>
    </w:p>
    <w:p>
      <w:pPr>
        <w:pStyle w:val="Compact"/>
        <w:numPr>
          <w:ilvl w:val="0"/>
          <w:numId w:val="1009"/>
        </w:numPr>
      </w:pPr>
      <w:r>
        <w:rPr>
          <w:b/>
          <w:bCs/>
        </w:rPr>
        <w:t xml:space="preserve">[To be added — verified Bi₂O₃/HDPE experimental nanocomposite paper, by DOI lookup]</w:t>
      </w:r>
    </w:p>
    <w:p>
      <w:pPr>
        <w:pStyle w:val="Compact"/>
        <w:numPr>
          <w:ilvl w:val="0"/>
          <w:numId w:val="1009"/>
        </w:numPr>
      </w:pPr>
      <w:r>
        <w:rPr>
          <w:b/>
          <w:bCs/>
        </w:rPr>
        <w:t xml:space="preserve">[To be added — verified WO₃/polymer experimental nanocomposite paper, by DOI lookup]</w:t>
      </w:r>
    </w:p>
    <w:p>
      <w:r>
        <w:pict>
          <v:rect style="width:0;height:1.5pt" o:hralign="center" o:hrstd="t" o:hr="t"/>
        </w:pict>
      </w:r>
    </w:p>
    <w:bookmarkEnd w:id="63"/>
    <w:bookmarkEnd w:id="64"/>
    <w:bookmarkStart w:id="67" w:name="Xe187dbc2057d1ef5de0bc9946d2e05e065c5b27"/>
    <w:p>
      <w:pPr>
        <w:pStyle w:val="Heading1"/>
      </w:pPr>
      <w:r>
        <w:t xml:space="preserve">Appendix A — Implementation Plan (retained as engineering reference)</w:t>
      </w:r>
    </w:p>
    <w:p>
      <w:pPr>
        <w:pStyle w:val="FirstParagraph"/>
      </w:pPr>
      <w:r>
        <w:t xml:space="preserve">This appendix records the engineering work packages that were completed to produce the results in this manuscript.</w:t>
      </w:r>
    </w:p>
    <w:bookmarkStart w:id="65" w:name="a.1-completed-work-packages"/>
    <w:p>
      <w:pPr>
        <w:pStyle w:val="Heading2"/>
      </w:pPr>
      <w:r>
        <w:t xml:space="preserve">A.1 Completed work packages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WP</w:t>
            </w:r>
          </w:p>
        </w:tc>
        <w:tc>
          <w:tcPr/>
          <w:p>
            <w:pPr>
              <w:pStyle w:val="Compact"/>
            </w:pPr>
            <w:r>
              <w:t xml:space="preserve">Description</w:t>
            </w:r>
          </w:p>
        </w:tc>
        <w:tc>
          <w:tcPr/>
          <w:p>
            <w:pPr>
              <w:pStyle w:val="Compact"/>
            </w:pPr>
            <w:r>
              <w:t xml:space="preserve">Status</w:t>
            </w:r>
          </w:p>
        </w:tc>
      </w:tr>
      <w:tr>
        <w:tc>
          <w:tcPr/>
          <w:p>
            <w:pPr>
              <w:pStyle w:val="Compact"/>
            </w:pPr>
            <w:r>
              <w:t xml:space="preserve">WP1</w:t>
            </w:r>
          </w:p>
        </w:tc>
        <w:tc>
          <w:tcPr/>
          <w:p>
            <w:pPr>
              <w:pStyle w:val="Compact"/>
            </w:pPr>
            <w:r>
              <w:t xml:space="preserve">Nano-composite material command (regime A++)</w:t>
            </w:r>
          </w:p>
        </w:tc>
        <w:tc>
          <w:tcPr/>
          <w:p>
            <w:pPr>
              <w:pStyle w:val="Compact"/>
            </w:pPr>
            <w:r>
              <w:t xml:space="preserve">Complete —</w:t>
            </w:r>
            <w:r>
              <w:t xml:space="preserve"> </w:t>
            </w:r>
            <w:r>
              <w:rPr>
                <w:rStyle w:val="VerbatimChar"/>
              </w:rPr>
              <w:t xml:space="preserve">MaterialRegistry</w:t>
            </w:r>
            <w:r>
              <w:t xml:space="preserve"> </w:t>
            </w:r>
            <w:r>
              <w:t xml:space="preserve">supports mass-fraction nanocomposite definition</w:t>
            </w:r>
          </w:p>
        </w:tc>
      </w:tr>
      <w:tr>
        <w:tc>
          <w:tcPr/>
          <w:p>
            <w:pPr>
              <w:pStyle w:val="Compact"/>
            </w:pPr>
            <w:r>
              <w:t xml:space="preserve">WP2</w:t>
            </w:r>
          </w:p>
        </w:tc>
        <w:tc>
          <w:tcPr/>
          <w:p>
            <w:pPr>
              <w:pStyle w:val="Compact"/>
            </w:pPr>
            <w:r>
              <w:t xml:space="preserve">RVE explicit geometry —</w:t>
            </w:r>
            <w:r>
              <w:t xml:space="preserve"> </w:t>
            </w:r>
            <w:r>
              <w:rPr>
                <w:rStyle w:val="VerbatimChar"/>
              </w:rPr>
              <w:t xml:space="preserve">G4PVParameterised</w:t>
            </w:r>
            <w:r>
              <w:t xml:space="preserve"> </w:t>
            </w:r>
            <w:r>
              <w:t xml:space="preserve">(regime B)</w:t>
            </w:r>
          </w:p>
        </w:tc>
        <w:tc>
          <w:tcPr/>
          <w:p>
            <w:pPr>
              <w:pStyle w:val="Compact"/>
            </w:pPr>
            <w:r>
              <w:t xml:space="preserve">Complete —</w:t>
            </w:r>
            <w:r>
              <w:t xml:space="preserve"> </w:t>
            </w:r>
            <w:r>
              <w:rPr>
                <w:rStyle w:val="VerbatimChar"/>
              </w:rPr>
              <w:t xml:space="preserve">NanoParticleParameterisation</w:t>
            </w:r>
            <w:r>
              <w:t xml:space="preserve"> </w:t>
            </w:r>
            <w:r>
              <w:t xml:space="preserve">class, RSA algorithm, DetectorConstruction integration</w:t>
            </w:r>
          </w:p>
        </w:tc>
      </w:tr>
      <w:tr>
        <w:tc>
          <w:tcPr/>
          <w:p>
            <w:pPr>
              <w:pStyle w:val="Compact"/>
            </w:pPr>
            <w:r>
              <w:t xml:space="preserve">WP3</w:t>
            </w:r>
          </w:p>
        </w:tc>
        <w:tc>
          <w:tcPr/>
          <w:p>
            <w:pPr>
              <w:pStyle w:val="Compact"/>
            </w:pPr>
            <w:r>
              <w:t xml:space="preserve">RVE explicit geometry —</w:t>
            </w:r>
            <w:r>
              <w:t xml:space="preserve"> </w:t>
            </w:r>
            <w:r>
              <w:rPr>
                <w:rStyle w:val="VerbatimChar"/>
              </w:rPr>
              <w:t xml:space="preserve">G4MultiUnion</w:t>
            </w:r>
            <w:r>
              <w:t xml:space="preserve"> </w:t>
            </w:r>
            <w:r>
              <w:t xml:space="preserve">(regime C)</w:t>
            </w:r>
          </w:p>
        </w:tc>
        <w:tc>
          <w:tcPr/>
          <w:p>
            <w:pPr>
              <w:pStyle w:val="Compact"/>
            </w:pPr>
            <w:r>
              <w:t xml:space="preserve">Complete —</w:t>
            </w:r>
            <w:r>
              <w:t xml:space="preserve"> </w:t>
            </w:r>
            <w:r>
              <w:rPr>
                <w:rStyle w:val="VerbatimChar"/>
              </w:rPr>
              <w:t xml:space="preserve">BuildRVEMultiUnion</w:t>
            </w:r>
            <w:r>
              <w:t xml:space="preserve"> </w:t>
            </w:r>
            <w:r>
              <w:t xml:space="preserve">with Voxelize()</w:t>
            </w:r>
          </w:p>
        </w:tc>
      </w:tr>
      <w:tr>
        <w:tc>
          <w:tcPr/>
          <w:p>
            <w:pPr>
              <w:pStyle w:val="Compact"/>
            </w:pPr>
            <w:r>
              <w:t xml:space="preserve">WP4</w:t>
            </w:r>
          </w:p>
        </w:tc>
        <w:tc>
          <w:tcPr/>
          <w:p>
            <w:pPr>
              <w:pStyle w:val="Compact"/>
            </w:pPr>
            <w:r>
              <w:t xml:space="preserve">Macro writer — RVE energy-grid support</w:t>
            </w:r>
          </w:p>
        </w:tc>
        <w:tc>
          <w:tcPr/>
          <w:p>
            <w:pPr>
              <w:pStyle w:val="Compact"/>
            </w:pPr>
            <w:r>
              <w:t xml:space="preserve">Complete —</w:t>
            </w:r>
            <w:r>
              <w:t xml:space="preserve"> </w:t>
            </w:r>
            <w:r>
              <w:rPr>
                <w:rStyle w:val="VerbatimChar"/>
              </w:rPr>
              <w:t xml:space="preserve">macro_writer.py</w:t>
            </w:r>
            <w:r>
              <w:t xml:space="preserve"> </w:t>
            </w:r>
            <w:r>
              <w:t xml:space="preserve">handles</w:t>
            </w:r>
            <w:r>
              <w:t xml:space="preserve"> </w:t>
            </w:r>
            <w:r>
              <w:rPr>
                <w:rStyle w:val="VerbatimChar"/>
              </w:rPr>
              <w:t xml:space="preserve">geometry.type ∈ {rve_explicit, rve_multiunion}</w:t>
            </w:r>
          </w:p>
        </w:tc>
      </w:tr>
      <w:tr>
        <w:tc>
          <w:tcPr/>
          <w:p>
            <w:pPr>
              <w:pStyle w:val="Compact"/>
            </w:pPr>
            <w:r>
              <w:t xml:space="preserve">WP5</w:t>
            </w:r>
          </w:p>
        </w:tc>
        <w:tc>
          <w:tcPr/>
          <w:p>
            <w:pPr>
              <w:pStyle w:val="Compact"/>
            </w:pPr>
            <w:r>
              <w:t xml:space="preserve">Study configs for regime B and C</w:t>
            </w:r>
          </w:p>
        </w:tc>
        <w:tc>
          <w:tcPr/>
          <w:p>
            <w:pPr>
              <w:pStyle w:val="Compact"/>
            </w:pPr>
            <w:r>
              <w:t xml:space="preserve">Complete —</w:t>
            </w:r>
            <w:r>
              <w:t xml:space="preserve"> </w:t>
            </w:r>
            <w:r>
              <w:rPr>
                <w:rStyle w:val="VerbatimChar"/>
              </w:rPr>
              <w:t xml:space="preserve">paper3_hdpe_bi2o3_regime_b_rve.json</w:t>
            </w:r>
            <w:r>
              <w:t xml:space="preserve">,</w:t>
            </w:r>
            <w:r>
              <w:t xml:space="preserve"> </w:t>
            </w:r>
            <w:r>
              <w:rPr>
                <w:rStyle w:val="VerbatimChar"/>
              </w:rPr>
              <w:t xml:space="preserve">paper3_hdpe_bi2o3_regime_c_multiunion.json</w:t>
            </w:r>
          </w:p>
        </w:tc>
      </w:tr>
      <w:tr>
        <w:tc>
          <w:tcPr/>
          <w:p>
            <w:pPr>
              <w:pStyle w:val="Compact"/>
            </w:pPr>
            <w:r>
              <w:t xml:space="preserve">WP6</w:t>
            </w:r>
          </w:p>
        </w:tc>
        <w:tc>
          <w:tcPr/>
          <w:p>
            <w:pPr>
              <w:pStyle w:val="Compact"/>
            </w:pPr>
            <w:r>
              <w:t xml:space="preserve">Cross-regime figure function</w:t>
            </w:r>
          </w:p>
        </w:tc>
        <w:tc>
          <w:tcPr/>
          <w:p>
            <w:pPr>
              <w:pStyle w:val="Compact"/>
            </w:pPr>
            <w:r>
              <w:t xml:space="preserve">Complete —</w:t>
            </w:r>
            <w:r>
              <w:t xml:space="preserve"> </w:t>
            </w:r>
            <w:r>
              <w:rPr>
                <w:rStyle w:val="VerbatimChar"/>
              </w:rPr>
              <w:t xml:space="preserve">paper3_figures.py::generate_regime_comparison_figure()</w:t>
            </w:r>
          </w:p>
        </w:tc>
      </w:tr>
      <w:tr>
        <w:tc>
          <w:tcPr/>
          <w:p>
            <w:pPr>
              <w:pStyle w:val="Compact"/>
            </w:pPr>
            <w:r>
              <w:t xml:space="preserve">WP7</w:t>
            </w:r>
          </w:p>
        </w:tc>
        <w:tc>
          <w:tcPr/>
          <w:p>
            <w:pPr>
              <w:pStyle w:val="Compact"/>
            </w:pPr>
            <w:r>
              <w:t xml:space="preserve">Regime A high-stat benchmark</w:t>
            </w:r>
          </w:p>
        </w:tc>
        <w:tc>
          <w:tcPr/>
          <w:p>
            <w:pPr>
              <w:pStyle w:val="Compact"/>
            </w:pPr>
            <w:r>
              <w:t xml:space="preserve">Complete — passed, results in</w:t>
            </w:r>
            <w:r>
              <w:t xml:space="preserve"> </w:t>
            </w:r>
            <w:r>
              <w:rPr>
                <w:rStyle w:val="VerbatimChar"/>
              </w:rPr>
              <w:t xml:space="preserve">results/paper3/regime_a_hdpe_bi2o3_highstat/</w:t>
            </w:r>
          </w:p>
        </w:tc>
      </w:tr>
      <w:tr>
        <w:tc>
          <w:tcPr/>
          <w:p>
            <w:pPr>
              <w:pStyle w:val="Compact"/>
            </w:pPr>
            <w:r>
              <w:t xml:space="preserve">WP8</w:t>
            </w:r>
          </w:p>
        </w:tc>
        <w:tc>
          <w:tcPr/>
          <w:p>
            <w:pPr>
              <w:pStyle w:val="Compact"/>
            </w:pPr>
            <w:r>
              <w:t xml:space="preserve">Regime B benchmark simulation</w:t>
            </w:r>
          </w:p>
        </w:tc>
        <w:tc>
          <w:tcPr/>
          <w:p>
            <w:pPr>
              <w:pStyle w:val="Compact"/>
            </w:pPr>
            <w:r>
              <w:t xml:space="preserve">In progress — simulation running</w:t>
            </w:r>
          </w:p>
        </w:tc>
      </w:tr>
      <w:tr>
        <w:tc>
          <w:tcPr/>
          <w:p>
            <w:pPr>
              <w:pStyle w:val="Compact"/>
            </w:pPr>
            <w:r>
              <w:t xml:space="preserve">WP9</w:t>
            </w:r>
          </w:p>
        </w:tc>
        <w:tc>
          <w:tcPr/>
          <w:p>
            <w:pPr>
              <w:pStyle w:val="Compact"/>
            </w:pPr>
            <w:r>
              <w:t xml:space="preserve">Regime C benchmark simulation</w:t>
            </w:r>
          </w:p>
        </w:tc>
        <w:tc>
          <w:tcPr/>
          <w:p>
            <w:pPr>
              <w:pStyle w:val="Compact"/>
            </w:pPr>
            <w:r>
              <w:t xml:space="preserve">Pending — to start after regime B completes</w:t>
            </w:r>
          </w:p>
        </w:tc>
      </w:tr>
      <w:tr>
        <w:tc>
          <w:tcPr/>
          <w:p>
            <w:pPr>
              <w:pStyle w:val="Compact"/>
            </w:pPr>
            <w:r>
              <w:t xml:space="preserve">WP10</w:t>
            </w:r>
          </w:p>
        </w:tc>
        <w:tc>
          <w:tcPr/>
          <w:p>
            <w:pPr>
              <w:pStyle w:val="Compact"/>
            </w:pPr>
            <w:r>
              <w:t xml:space="preserve">Manuscript v03</w:t>
            </w:r>
          </w:p>
        </w:tc>
        <w:tc>
          <w:tcPr/>
          <w:p>
            <w:pPr>
              <w:pStyle w:val="Compact"/>
            </w:pPr>
            <w:r>
              <w:t xml:space="preserve">Complete — this document</w:t>
            </w:r>
          </w:p>
        </w:tc>
      </w:tr>
    </w:tbl>
    <w:bookmarkEnd w:id="65"/>
    <w:bookmarkStart w:id="66" w:name="a.2-remaining-work-before-submission"/>
    <w:p>
      <w:pPr>
        <w:pStyle w:val="Heading2"/>
      </w:pPr>
      <w:r>
        <w:t xml:space="preserve">A.2 Remaining work before submission</w:t>
      </w:r>
    </w:p>
    <w:p>
      <w:pPr>
        <w:pStyle w:val="Compact"/>
        <w:numPr>
          <w:ilvl w:val="0"/>
          <w:numId w:val="1010"/>
        </w:numPr>
      </w:pPr>
      <w:r>
        <w:t xml:space="preserve">Fill Tables 2–3 from regime B and C sweep_summary.csv</w:t>
      </w:r>
    </w:p>
    <w:p>
      <w:pPr>
        <w:pStyle w:val="Compact"/>
        <w:numPr>
          <w:ilvl w:val="0"/>
          <w:numId w:val="1011"/>
        </w:numPr>
      </w:pPr>
      <w:r>
        <w:t xml:space="preserve">Insert Figure F-cross</w:t>
      </w:r>
    </w:p>
    <w:p>
      <w:pPr>
        <w:pStyle w:val="Compact"/>
        <w:numPr>
          <w:ilvl w:val="0"/>
          <w:numId w:val="1012"/>
        </w:numPr>
      </w:pPr>
      <w:r>
        <w:t xml:space="preserve">Verify DOIs for references 13–14</w:t>
      </w:r>
    </w:p>
    <w:p>
      <w:pPr>
        <w:pStyle w:val="Compact"/>
        <w:numPr>
          <w:ilvl w:val="0"/>
          <w:numId w:val="1013"/>
        </w:numPr>
      </w:pPr>
      <w:r>
        <w:t xml:space="preserve">Add affiliation and contact details</w:t>
      </w:r>
    </w:p>
    <w:p>
      <w:pPr>
        <w:pStyle w:val="Compact"/>
        <w:numPr>
          <w:ilvl w:val="0"/>
          <w:numId w:val="1014"/>
        </w:numPr>
      </w:pPr>
      <w:r>
        <w:t xml:space="preserve">Final proofread and reference formatting per target journal style</w:t>
      </w:r>
    </w:p>
    <w:p>
      <w:pPr>
        <w:pStyle w:val="Compact"/>
        <w:numPr>
          <w:ilvl w:val="0"/>
          <w:numId w:val="1015"/>
        </w:numPr>
      </w:pPr>
      <w:r>
        <w:t xml:space="preserve">Zenodo deposit of raw results + code tag</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2026-05-18T15:00:55Z</dcterms:created>
  <dcterms:modified xsi:type="dcterms:W3CDTF">2026-05-18T15:00:55Z</dcterms:modified>
</cp:coreProperties>
</file>

<file path=docProps/custom.xml><?xml version="1.0" encoding="utf-8"?>
<Properties xmlns="http://schemas.openxmlformats.org/officeDocument/2006/custom-properties" xmlns:vt="http://schemas.openxmlformats.org/officeDocument/2006/docPropsVTypes"/>
</file>