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2026-05-20</w:t>
      </w:r>
    </w:p>
    <w:p>
      <w:pPr>
        <w:pStyle w:val="BodyText"/>
      </w:pPr>
      <w:r>
        <w:t xml:space="preserve">Hani H. Negm</w:t>
      </w:r>
      <w:r>
        <w:t xml:space="preserve"> </w:t>
      </w:r>
      <w:r>
        <w:t xml:space="preserve">Department of Physics, College of Science, Jouf University</w:t>
      </w:r>
      <w:r>
        <w:t xml:space="preserve"> </w:t>
      </w:r>
      <w:r>
        <w:t xml:space="preserve">Sakaka, Saudi Arabia</w:t>
      </w:r>
      <w:r>
        <w:t xml:space="preserve"> </w:t>
      </w: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hhnegm@ju.edu.sa</w:t>
        </w:r>
      </w:hyperlink>
    </w:p>
    <w:p>
      <w:pPr>
        <w:pStyle w:val="BodyText"/>
      </w:pPr>
      <w:r>
        <w:t xml:space="preserve">Editor-in-Chief</w:t>
      </w:r>
      <w:r>
        <w:t xml:space="preserve"> </w:t>
      </w:r>
      <w:r>
        <w:t xml:space="preserve">Radiation Physics and Chemistry</w:t>
      </w:r>
    </w:p>
    <w:p>
      <w:pPr>
        <w:pStyle w:val="BodyText"/>
      </w:pPr>
      <w:r>
        <w:t xml:space="preserve">Subject: Submission of manuscript for consideration in Radiation Physics and Chemistry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pleased to submit the manuscript entitled</w:t>
      </w:r>
      <w:r>
        <w:t xml:space="preserve"> </w:t>
      </w:r>
      <w:r>
        <w:t xml:space="preserve">“Effective-Medium Geant4 Predicts K-Edge Nanocomposite Shielding: A Six-Material Explicit-RVE Benchmark”</w:t>
      </w:r>
      <w:r>
        <w:t xml:space="preserve"> </w:t>
      </w:r>
      <w:r>
        <w:t xml:space="preserve">for consideration as an original research article in Radiation Physics and Chemistry.</w:t>
      </w:r>
    </w:p>
    <w:p>
      <w:pPr>
        <w:pStyle w:val="BodyText"/>
      </w:pPr>
      <w:r>
        <w:t xml:space="preserve">The manuscript addresses a recurring modelling question in radiation-shielding studies: when experiments describe polymer shields as nanocomposites, is explicit nanoparticle geometry required for macroscopic photon attenuation, or is a composition-correct homogeneous Geant4 material sufficient? To answer this, the study benchmarks six HDPE/high-Z filler systems across three controlled Geant4 regimes: homogeneous effective-medium slabs, 1 um parameterised explicit representative-volume elements, and 250 nm multi-union explicit representative-volume elements.</w:t>
      </w:r>
    </w:p>
    <w:p>
      <w:pPr>
        <w:pStyle w:val="BodyText"/>
      </w:pPr>
      <w:r>
        <w:t xml:space="preserve">The central result is that all six effective-medium materials pass NIST XCOM acceptance criteria, with mean absolute deviations of 0.339-0.793% and maximum deviations of 0.967-2.933%. For the five composition-equivalent binary systems, the 1 um G4PVParameterised RVEs agree with matched Regime-A baselines within the pre-registered +/-3% H1 gate at 30-150 keV. The multi-union cases reproduce the broad attenuation trends but show larger finite-RVE fluctuations, supporting their use as small-RVE feasibility checks rather than large-RVE production models.</w:t>
      </w:r>
    </w:p>
    <w:p>
      <w:pPr>
        <w:pStyle w:val="BodyText"/>
      </w:pPr>
      <w:r>
        <w:t xml:space="preserve">The study also reports an important negative-control result: a ternary HDPE/Bi2O3/WO3 effective medium passes XCOM, but explicit RVEs that spatialise only Bi2O3 are not composition-equivalent to the full ternary material and therefore cannot be used to claim H1 validation. This finding gives practical guidance for future multi-filler explicit-RVE studies and prevents overinterpretation of hybrid geometries.</w:t>
      </w:r>
    </w:p>
    <w:p>
      <w:pPr>
        <w:pStyle w:val="BodyText"/>
      </w:pPr>
      <w:r>
        <w:t xml:space="preserve">The manuscript is well aligned with Radiation Physics and Chemistry because it combines photon attenuation, shielding-material modelling, Geant4 validation, NIST XCOM comparison, and reproducible computational methodology. Its novelty is methodological rather than material-claim based: it provides a controlled, material-resolved benchmark for deciding when effective-medium modelling is scientifically sufficient and when explicit nanoparticle geometry is warranted.</w:t>
      </w:r>
    </w:p>
    <w:p>
      <w:pPr>
        <w:pStyle w:val="BodyText"/>
      </w:pPr>
      <w:r>
        <w:t xml:space="preserve">This manuscript is original, has not been published previously, and is not under consideration elsewhere. I confirm that I am the sole author and approve the submitted version. No human participants, animal data, or clinical data were used. No external funding supported this work, and I declare no conflict of interest.</w:t>
      </w:r>
    </w:p>
    <w:p>
      <w:pPr>
        <w:pStyle w:val="BodyText"/>
      </w:pPr>
      <w:r>
        <w:t xml:space="preserve">Thank you for considering this manuscript for publication in Radiation Physics and Chemistry.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Hani H. Negm</w:t>
      </w:r>
      <w:r>
        <w:t xml:space="preserve"> </w:t>
      </w:r>
      <w:r>
        <w:t xml:space="preserve">Department of Physics, College of Science, Jouf University</w:t>
      </w:r>
      <w:r>
        <w:t xml:space="preserve"> </w:t>
      </w:r>
      <w:hyperlink r:id="rId9">
        <w:r>
          <w:rPr>
            <w:rStyle w:val="Hyperlink"/>
          </w:rPr>
          <w:t xml:space="preserve">hhnegm@ju.edu.sa</w:t>
        </w:r>
      </w:hyperlink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hhnegm@ju.edu.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hhnegm@ju.edu.s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2026-05-20T14:37:24Z</dcterms:created>
  <dcterms:modified xsi:type="dcterms:W3CDTF">2026-05-20T14:37:24Z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