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Six HDPE/high-Z nanocomposites were benchmarked in Geant4.</w:t>
      </w:r>
    </w:p>
    <w:p>
      <w:pPr>
        <w:pStyle w:val="Compact"/>
        <w:numPr>
          <w:ilvl w:val="0"/>
          <w:numId w:val="1001"/>
        </w:numPr>
      </w:pPr>
      <w:r>
        <w:t xml:space="preserve">Effective-medium models matched XCOM within 0.339-0.793% mean error.</w:t>
      </w:r>
    </w:p>
    <w:p>
      <w:pPr>
        <w:pStyle w:val="Compact"/>
        <w:numPr>
          <w:ilvl w:val="0"/>
          <w:numId w:val="1001"/>
        </w:numPr>
      </w:pPr>
      <w:r>
        <w:t xml:space="preserve">Parameterised 1 um RVEs passed the 3% H1 gate for five binaries.</w:t>
      </w:r>
    </w:p>
    <w:p>
      <w:pPr>
        <w:pStyle w:val="Compact"/>
        <w:numPr>
          <w:ilvl w:val="0"/>
          <w:numId w:val="1001"/>
        </w:numPr>
      </w:pPr>
      <w:r>
        <w:t xml:space="preserve">Multi-union RVEs were useful only as small finite-RVE checks.</w:t>
      </w:r>
    </w:p>
    <w:p>
      <w:pPr>
        <w:pStyle w:val="Compact"/>
        <w:numPr>
          <w:ilvl w:val="0"/>
          <w:numId w:val="1001"/>
        </w:numPr>
      </w:pPr>
      <w:r>
        <w:t xml:space="preserve">A ternary negative control showed why composition equivalence matters.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2026-05-20T14:37:24Z</dcterms:created>
  <dcterms:modified xsi:type="dcterms:W3CDTF">2026-05-20T14:37:24Z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