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39.png" ContentType="image/png"/>
  <Override PartName="/word/media/rId42.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0abb75f7953e358425e05e6ce44fa9b041a68d0"/>
    <w:p>
      <w:pPr>
        <w:pStyle w:val="Heading1"/>
      </w:pPr>
      <w:r>
        <w:t xml:space="preserve">Effective-Medium Geant4 Predicts K-Edge Nanocomposite Shielding: A Six-Material Explicit-RVE Benchmark</w:t>
      </w:r>
    </w:p>
    <w:p>
      <w:pPr>
        <w:pStyle w:val="FirstParagraph"/>
      </w:pPr>
      <w:r>
        <w:rPr>
          <w:b/>
          <w:bCs/>
        </w:rPr>
        <w:t xml:space="preserve">Hani H. Negm</w:t>
      </w:r>
      <w:r>
        <w:t xml:space="preserve">¹</w:t>
      </w:r>
    </w:p>
    <w:p>
      <w:pPr>
        <w:pStyle w:val="BodyText"/>
      </w:pPr>
      <w:r>
        <w:t xml:space="preserve">¹</w:t>
      </w:r>
      <w:r>
        <w:t xml:space="preserve"> </w:t>
      </w:r>
      <w:r>
        <w:rPr>
          <w:i/>
          <w:iCs/>
        </w:rPr>
        <w:t xml:space="preserve">Hani Negm, Department of Physics, College of Science, Jouf University</w:t>
      </w:r>
    </w:p>
    <w:p>
      <w:pPr>
        <w:pStyle w:val="BodyText"/>
      </w:pPr>
      <w:r>
        <w:rPr>
          <w:b/>
          <w:bCs/>
        </w:rPr>
        <w:t xml:space="preserve">Corresponding author:</w:t>
      </w:r>
      <w:r>
        <w:t xml:space="preserve"> </w:t>
      </w:r>
      <w:hyperlink r:id="rId9">
        <w:r>
          <w:rPr>
            <w:rStyle w:val="Hyperlink"/>
          </w:rPr>
          <w:t xml:space="preserve">hhnegm@ju.edu.sa</w:t>
        </w:r>
      </w:hyperlink>
    </w:p>
    <w:bookmarkStart w:id="10" w:name="abstract"/>
    <w:p>
      <w:pPr>
        <w:pStyle w:val="Heading2"/>
      </w:pPr>
      <w:r>
        <w:t xml:space="preserve">Abstract</w:t>
      </w:r>
    </w:p>
    <w:p>
      <w:pPr>
        <w:pStyle w:val="FirstParagraph"/>
      </w:pPr>
      <w:r>
        <w:t xml:space="preserve">Nanoparticle-filled shielding polymers are often simulated as homogeneous materials even when experiments describe nanoscale fillers. This paper tests when that effective-medium shortcut remains valid for K-edge photon shielding.</w:t>
      </w:r>
    </w:p>
    <w:p>
      <w:pPr>
        <w:pStyle w:val="BodyText"/>
      </w:pPr>
      <w:r>
        <w:t xml:space="preserve">Six HDPE composites were benchmarked: Bi₂O₃, WO₃, BaWO₄, Gd₂O₃, and PbWO₄ at φ=0.189, plus a Bi₂O₃/WO₃ ternary at φ=0.10+0.10. Geant4 11.4-beta-01 with</w:t>
      </w:r>
      <w:r>
        <w:t xml:space="preserve"> </w:t>
      </w:r>
      <w:r>
        <w:rPr>
          <w:rStyle w:val="VerbatimChar"/>
        </w:rPr>
        <w:t xml:space="preserve">G4EmLivermorePhysics</w:t>
      </w:r>
      <w:r>
        <w:t xml:space="preserve"> </w:t>
      </w:r>
      <w:r>
        <w:t xml:space="preserve">was run from 30 keV to 1.332 MeV in three regimes: homogeneous</w:t>
      </w:r>
      <w:r>
        <w:t xml:space="preserve"> </w:t>
      </w:r>
      <w:r>
        <w:rPr>
          <w:rStyle w:val="VerbatimChar"/>
        </w:rPr>
        <w:t xml:space="preserve">G4Material</w:t>
      </w:r>
      <w:r>
        <w:t xml:space="preserve">, 1 µm</w:t>
      </w:r>
      <w:r>
        <w:t xml:space="preserve"> </w:t>
      </w:r>
      <w:r>
        <w:rPr>
          <w:rStyle w:val="VerbatimChar"/>
        </w:rPr>
        <w:t xml:space="preserve">G4PVParameterised</w:t>
      </w:r>
      <w:r>
        <w:t xml:space="preserve"> </w:t>
      </w:r>
      <w:r>
        <w:t xml:space="preserve">explicit RVE, and 250 nm</w:t>
      </w:r>
      <w:r>
        <w:t xml:space="preserve"> </w:t>
      </w:r>
      <w:r>
        <w:rPr>
          <w:rStyle w:val="VerbatimChar"/>
        </w:rPr>
        <w:t xml:space="preserve">G4MultiUnion</w:t>
      </w:r>
      <w:r>
        <w:t xml:space="preserve"> </w:t>
      </w:r>
      <w:r>
        <w:t xml:space="preserve">explicit RVE. The endpoint was μ/ρ(E), compared with NIST XCOM for Regime A and with matched Regime-A baselines for explicit RVEs.</w:t>
      </w:r>
    </w:p>
    <w:p>
      <w:pPr>
        <w:pStyle w:val="BodyText"/>
      </w:pPr>
      <w:r>
        <w:t xml:space="preserve">All six Regime-A materials passed the XCOM gates, with mean absolute deviations of 0.339–0.793% and maximum deviations of 0.967–2.933%. For the five composition-equivalent binary materials, Regime B agreed with Regime A within the ±3% H1 gate at 30–150 keV: Bi₂O₃ (0.975–0.984), WO₃ (0.988–1.022), BaWO₄ (0.992–1.010), Gd₂O₃ (0.999–1.012), and PbWO₄ (0.976–1.010). Regime C reproduced the broad trend but showed larger finite-RVE fluctuations. The ternary explicit-RVE case failed composition equivalence because only Bi₂O₃ was spatialised, making it a negative-control stress test rather than an H1 validation.</w:t>
      </w:r>
    </w:p>
    <w:p>
      <w:pPr>
        <w:pStyle w:val="BodyText"/>
      </w:pPr>
      <w:r>
        <w:t xml:space="preserve">Effective-medium Geant4 is therefore appropriate for macroscopic bulk attenuation when μr ≪ 1 and composition is represented consistently. Parameterised explicit RVEs are best reserved for validation and phase-aware scoring;</w:t>
      </w:r>
      <w:r>
        <w:t xml:space="preserve"> </w:t>
      </w:r>
      <w:r>
        <w:rPr>
          <w:rStyle w:val="VerbatimChar"/>
        </w:rPr>
        <w:t xml:space="preserve">G4MultiUnion</w:t>
      </w:r>
      <w:r>
        <w:t xml:space="preserve"> </w:t>
      </w:r>
      <w:r>
        <w:t xml:space="preserve">should be limited to small-RVE feasibility checks.</w:t>
      </w:r>
    </w:p>
    <w:p>
      <w:pPr>
        <w:pStyle w:val="BodyText"/>
      </w:pPr>
      <w:r>
        <w:rPr>
          <w:b/>
          <w:bCs/>
        </w:rPr>
        <w:t xml:space="preserve">Keywords:</w:t>
      </w:r>
      <w:r>
        <w:t xml:space="preserve"> </w:t>
      </w:r>
      <w:r>
        <w:t xml:space="preserve">NIST XCOM · mass attenuation coefficient · representative volume element · photon transport ·</w:t>
      </w:r>
      <w:r>
        <w:t xml:space="preserve"> </w:t>
      </w:r>
      <w:r>
        <w:rPr>
          <w:rStyle w:val="VerbatimChar"/>
        </w:rPr>
        <w:t xml:space="preserve">G4PVParameterised</w:t>
      </w:r>
      <w:r>
        <w:t xml:space="preserve"> </w:t>
      </w:r>
      <w:r>
        <w:t xml:space="preserve">·</w:t>
      </w:r>
      <w:r>
        <w:t xml:space="preserve"> </w:t>
      </w:r>
      <w:r>
        <w:rPr>
          <w:rStyle w:val="VerbatimChar"/>
        </w:rPr>
        <w:t xml:space="preserve">G4MultiUnion</w:t>
      </w:r>
      <w:r>
        <w:t xml:space="preserve"> </w:t>
      </w:r>
      <w:r>
        <w:t xml:space="preserve">· high-Z fillers</w:t>
      </w:r>
    </w:p>
    <w:p>
      <w:r>
        <w:pict>
          <v:rect style="width:0;height:1.5pt" o:hralign="center" o:hrstd="t" o:hr="t"/>
        </w:pict>
      </w:r>
    </w:p>
    <w:bookmarkEnd w:id="10"/>
    <w:bookmarkStart w:id="14" w:name="introduction"/>
    <w:p>
      <w:pPr>
        <w:pStyle w:val="Heading2"/>
      </w:pPr>
      <w:r>
        <w:t xml:space="preserve">1. Introduction</w:t>
      </w:r>
    </w:p>
    <w:bookmarkStart w:id="11" w:name="background"/>
    <w:p>
      <w:pPr>
        <w:pStyle w:val="Heading3"/>
      </w:pPr>
      <w:r>
        <w:t xml:space="preserve">1.1 Background</w:t>
      </w:r>
    </w:p>
    <w:p>
      <w:pPr>
        <w:pStyle w:val="FirstParagraph"/>
      </w:pPr>
      <w:r>
        <w:t xml:space="preserve">Polymer-matrix radiation-shielding composites loaded with high-Z fillers have become a sustained research focus, driven by the need for lead-free, flexible, and manufacturable alternatives in medical X-ray protection, nuclear medicine, industrial radiography, and aerospace shielding. Common filler chemistries include Bi₂O₃, WO₃, BaSO₄/BaWO₄, Gd₂O₃, PbO/PbWO₄, and related dense oxides. Many experimental papers describe these systems as nanocomposites because the filler particles are prepared or dispersed at sub-micron or nanometre length scales.</w:t>
      </w:r>
    </w:p>
    <w:p>
      <w:pPr>
        <w:pStyle w:val="BodyText"/>
      </w:pPr>
      <w:r>
        <w:t xml:space="preserve">Recent shielding literature reflects this trend. Clay and polymer nanocomposites containing Cd/Pb, Cu/Fe, W, Bi, and related heavy oxides are typically characterised experimentally and then benchmarked with Geant4, XCOM, Phys-X/PSD, or equivalent photon-attenuation tools [12,13,17]. Heavy-oxide glasses follow a similar pattern, reporting mass attenuation coefficients, half-value layers, effective atomic numbers, and Geant4/XCOM agreement for dense Pb/W/Bi-containing compositions [14]. Widely used tools such as Phy-X/PSD and EpiXS have made these bulk attenuation calculations accessible and reproducible [15,16]. These studies establish material performance, but they usually validate material-level attenuation curves rather than isolating the algorithmic question addressed here: whether a composition-equivalent homogeneous Geant4 material and an explicit nanoparticle RVE give the same μ/ρ when source, density, physics list, and scoring are held fixed.</w:t>
      </w:r>
    </w:p>
    <w:p>
      <w:pPr>
        <w:pStyle w:val="BodyText"/>
      </w:pPr>
      <w:r>
        <w:t xml:space="preserve">In Monte Carlo photon-transport calculations, however, these materials are usually implemented as homogeneous mixtures: elemental mass fractions are supplied to a single material definition, a bulk density is assigned, and the microscopic spatial distribution of filler particles is ignored. This modelling choice is often physically justified for macroscopic transmission because diagnostic and gamma-ray photon mean free paths are typically orders of magnitude larger than a 25–100 nm filler particle. Under that condition, photon attenuation is governed by mass-fraction additivity and the independent-atom approximation, not by the exact particle coordinates.</w:t>
      </w:r>
    </w:p>
    <w:p>
      <w:pPr>
        <w:pStyle w:val="BodyText"/>
      </w:pPr>
      <w:r>
        <w:t xml:space="preserve">The difficulty is not the existence of the effective-medium rule itself. The difficulty is knowing when a shielding simulation that calls a material a nanocomposite should remain homogeneous and when explicit nanoparticle geometry is needed. The answer depends on the observable. Macroscopic transmitted fluence may be insensitive to nanoscale geometry, while phase-resolved interface dose, local energy deposition, or dose-enhancement factors may not be.</w:t>
      </w:r>
    </w:p>
    <w:bookmarkEnd w:id="11"/>
    <w:bookmarkStart w:id="12" w:name="gap"/>
    <w:p>
      <w:pPr>
        <w:pStyle w:val="Heading3"/>
      </w:pPr>
      <w:r>
        <w:t xml:space="preserve">1.2 Gap</w:t>
      </w:r>
    </w:p>
    <w:p>
      <w:pPr>
        <w:pStyle w:val="FirstParagraph"/>
      </w:pPr>
      <w:r>
        <w:t xml:space="preserve">Three gaps motivate this work. First, there is no widely available Geant4 benchmark that holds composition, density, source definition, scoring, and physics list constant while varying only the geometric representation: homogeneous material, parameterised explicit RVE, and multi-union explicit RVE. Second, prior validation is often tied to one filler, whereas a robust shielding workflow should reproduce K-edge behaviour across chemically distinct absorbers, including Bi, W, Ba/W, Gd, and Pb/W systems. Third, although Geant4 provides both</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their practical scaling for shielding-relevant nanoparticle counts is rarely quantified in a way that helps users choose the correct geometry strategy.</w:t>
      </w:r>
    </w:p>
    <w:bookmarkEnd w:id="12"/>
    <w:bookmarkStart w:id="13" w:name="contribution-and-hypotheses"/>
    <w:p>
      <w:pPr>
        <w:pStyle w:val="Heading3"/>
      </w:pPr>
      <w:r>
        <w:t xml:space="preserve">1.3 Contribution and hypotheses</w:t>
      </w:r>
    </w:p>
    <w:p>
      <w:pPr>
        <w:pStyle w:val="FirstParagraph"/>
      </w:pPr>
      <w:r>
        <w:t xml:space="preserve">This paper contributes a controlled benchmark campaign for six K-edge filler chemistries across three modelling regimes. The core scientific question is whether macroscopic attenuation through a nanocomposite at fixed composition is changed by resolving the particles explicitly.</w:t>
      </w:r>
    </w:p>
    <w:p>
      <w:pPr>
        <w:pStyle w:val="BodyText"/>
      </w:pPr>
      <w:r>
        <w:rPr>
          <w:b/>
          <w:bCs/>
        </w:rPr>
        <w:t xml:space="preserve">Hypothesis H1.</w:t>
      </w:r>
      <w:r>
        <w:t xml:space="preserve"> </w:t>
      </w:r>
      <w:r>
        <w:t xml:space="preserve">For photon energies where the photon mean free path greatly exceeds the nanoparticle radius (μr ≪ 1), transmitted fluence and μ/ρ through the same composition are independent of the choice of Regime A, B, or C within the statistical uncertainty of 10⁶–10⁷-history Geant4 runs, provided composition, density, and scoring are matched.</w:t>
      </w:r>
    </w:p>
    <w:p>
      <w:pPr>
        <w:pStyle w:val="BodyText"/>
      </w:pPr>
      <w:r>
        <w:rPr>
          <w:b/>
          <w:bCs/>
        </w:rPr>
        <w:t xml:space="preserve">Hypothesis H2.</w:t>
      </w:r>
      <w:r>
        <w:t xml:space="preserve"> </w:t>
      </w:r>
      <w:r>
        <w:t xml:space="preserve">For photon energies E ≲ 100 keV with high-Z fillers, phase-resolved radial dose-enhancement profiles around individual particles may carry spatial structure that an effective-medium material cannot reproduce.</w:t>
      </w:r>
    </w:p>
    <w:p>
      <w:pPr>
        <w:pStyle w:val="BodyText"/>
      </w:pPr>
      <w:r>
        <w:t xml:space="preserve">Only H1 is tested quantitatively in this manuscript. H2 requires phase-resolved local scoring and is treated as future work.</w:t>
      </w:r>
    </w:p>
    <w:p>
      <w:pPr>
        <w:pStyle w:val="BodyText"/>
      </w:pPr>
      <w:r>
        <w:t xml:space="preserve">The novelty is methodological rather than kernel-level.</w:t>
      </w:r>
      <w:r>
        <w:t xml:space="preserve"> </w:t>
      </w:r>
      <w:r>
        <w:rPr>
          <w:rStyle w:val="VerbatimChar"/>
        </w:rPr>
        <w:t xml:space="preserve">G4PVParameterised</w:t>
      </w:r>
      <w:r>
        <w:t xml:space="preserve">,</w:t>
      </w:r>
      <w:r>
        <w:t xml:space="preserve"> </w:t>
      </w:r>
      <w:r>
        <w:rPr>
          <w:rStyle w:val="VerbatimChar"/>
        </w:rPr>
        <w:t xml:space="preserve">G4MultiUnion</w:t>
      </w:r>
      <w:r>
        <w:t xml:space="preserve">, and</w:t>
      </w:r>
      <w:r>
        <w:t xml:space="preserve"> </w:t>
      </w:r>
      <w:r>
        <w:rPr>
          <w:rStyle w:val="VerbatimChar"/>
        </w:rPr>
        <w:t xml:space="preserve">G4EmLivermorePhysics</w:t>
      </w:r>
      <w:r>
        <w:t xml:space="preserve"> </w:t>
      </w:r>
      <w:r>
        <w:t xml:space="preserve">are standard Geant4 components; the contribution here is the controlled, reproducible, material-resolved shielding benchmark built from those components.</w:t>
      </w:r>
    </w:p>
    <w:p>
      <w:r>
        <w:pict>
          <v:rect style="width:0;height:1.5pt" o:hralign="center" o:hrstd="t" o:hr="t"/>
        </w:pict>
      </w:r>
    </w:p>
    <w:bookmarkEnd w:id="13"/>
    <w:bookmarkEnd w:id="14"/>
    <w:bookmarkStart w:id="18" w:name="theoretical-basis"/>
    <w:p>
      <w:pPr>
        <w:pStyle w:val="Heading2"/>
      </w:pPr>
      <w:r>
        <w:t xml:space="preserve">2. Theoretical Basis</w:t>
      </w:r>
    </w:p>
    <w:bookmarkStart w:id="15" w:name="effective-medium-attenuation"/>
    <w:p>
      <w:pPr>
        <w:pStyle w:val="Heading3"/>
      </w:pPr>
      <w:r>
        <w:t xml:space="preserve">2.1 Effective-medium attenuation</w:t>
      </w:r>
    </w:p>
    <w:p>
      <w:pPr>
        <w:pStyle w:val="FirstParagraph"/>
      </w:pPr>
      <w:r>
        <w:t xml:space="preserve">For photon attenuation under the independent-atom approximation, the mass attenuation coefficient of a mixture is</w:t>
      </w:r>
    </w:p>
    <w:p>
      <w:pPr>
        <w:pStyle w:val="BodyText"/>
      </w:pPr>
      <m:oMathPara>
        <m:oMathParaPr>
          <m:jc m:val="center"/>
        </m:oMathParaPr>
        <m:oMath>
          <m:sSub>
            <m:e>
              <m:d>
                <m:dPr>
                  <m:begChr m:val="("/>
                  <m:sepChr m:val=""/>
                  <m:endChr m:val=")"/>
                  <m:grow/>
                </m:dPr>
                <m:e>
                  <m:f>
                    <m:fPr>
                      <m:type m:val="bar"/>
                    </m:fPr>
                    <m:num>
                      <m:r>
                        <m:t>μ</m:t>
                      </m:r>
                    </m:num>
                    <m:den>
                      <m:r>
                        <m:t>ρ</m:t>
                      </m:r>
                    </m:den>
                  </m:f>
                </m:e>
              </m:d>
            </m:e>
            <m:sub>
              <m:r>
                <m:rPr>
                  <m:nor/>
                  <m:sty m:val="p"/>
                </m:rPr>
                <m:t>mix</m:t>
              </m:r>
            </m:sub>
          </m:sSub>
          <m:r>
            <m:rPr>
              <m:sty m:val="p"/>
            </m:rPr>
            <m:t>(</m:t>
          </m:r>
          <m:r>
            <m:t>E</m:t>
          </m:r>
          <m:r>
            <m:rPr>
              <m:sty m:val="p"/>
            </m:rPr>
            <m:t>)</m:t>
          </m:r>
          <m:r>
            <m:rPr>
              <m:sty m:val="p"/>
            </m:rPr>
            <m:t>=</m:t>
          </m:r>
          <m:nary>
            <m:naryPr>
              <m:chr m:val="∑"/>
              <m:limLoc m:val="undOvr"/>
              <m:subHide m:val="off"/>
              <m:supHide m:val="on"/>
            </m:naryPr>
            <m:sub>
              <m:r>
                <m:t>i</m:t>
              </m:r>
            </m:sub>
            <m:sup>
              <m:r>
                <m:t>​</m:t>
              </m:r>
            </m:sup>
            <m:e>
              <m:sSub>
                <m:e>
                  <m:r>
                    <m:t>w</m:t>
                  </m:r>
                </m:e>
                <m:sub>
                  <m:r>
                    <m:t>i</m:t>
                  </m:r>
                </m:sub>
              </m:sSub>
            </m:e>
          </m:nary>
          <m:sSub>
            <m:e>
              <m:d>
                <m:dPr>
                  <m:begChr m:val="("/>
                  <m:sepChr m:val=""/>
                  <m:endChr m:val=")"/>
                  <m:grow/>
                </m:dPr>
                <m:e>
                  <m:f>
                    <m:fPr>
                      <m:type m:val="bar"/>
                    </m:fPr>
                    <m:num>
                      <m:r>
                        <m:t>μ</m:t>
                      </m:r>
                    </m:num>
                    <m:den>
                      <m:r>
                        <m:t>ρ</m:t>
                      </m:r>
                    </m:den>
                  </m:f>
                </m:e>
              </m:d>
            </m:e>
            <m:sub>
              <m:r>
                <m:t>i</m:t>
              </m:r>
            </m:sub>
          </m:sSub>
          <m:r>
            <m:rPr>
              <m:sty m:val="p"/>
            </m:rPr>
            <m:t>(</m:t>
          </m:r>
          <m:r>
            <m:t>E</m:t>
          </m:r>
          <m:r>
            <m:rPr>
              <m:sty m:val="p"/>
            </m:rPr>
            <m:t>)</m:t>
          </m:r>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elemental or compound mass fraction. This relation is exact for the tabulated mixture rule used by XCOM, subject to the underlying independent-atom approximation. In Geant4, the same physical expectation should hold when the material is represented by a homogeneous</w:t>
      </w:r>
      <w:r>
        <w:t xml:space="preserve"> </w:t>
      </w:r>
      <w:r>
        <w:rPr>
          <w:rStyle w:val="VerbatimChar"/>
        </w:rPr>
        <w:t xml:space="preserve">G4Material</w:t>
      </w:r>
      <w:r>
        <w:t xml:space="preserve"> </w:t>
      </w:r>
      <w:r>
        <w:t xml:space="preserve">with correct elemental fractions and density.</w:t>
      </w:r>
    </w:p>
    <w:p>
      <w:pPr>
        <w:pStyle w:val="BodyText"/>
      </w:pPr>
      <w:r>
        <w:t xml:space="preserve">The spatial distribution of atoms becomes relevant when the heterogeneity length scale approaches the photon mean free path or when the scored observable depends on local phase boundaries rather than bulk transmission. For the present 25 nm particles and photon energies ≥30 keV, the condition μr ≪ 1 is expected to hold for macroscopic transmission.</w:t>
      </w:r>
    </w:p>
    <w:bookmarkEnd w:id="15"/>
    <w:bookmarkStart w:id="16" w:name="effective-density-and-mass-fractions"/>
    <w:p>
      <w:pPr>
        <w:pStyle w:val="Heading3"/>
      </w:pPr>
      <w:r>
        <w:t xml:space="preserve">2.2 Effective density and mass fractions</w:t>
      </w:r>
    </w:p>
    <w:p>
      <w:pPr>
        <w:pStyle w:val="FirstParagraph"/>
      </w:pPr>
      <w:r>
        <w:t xml:space="preserve">All material densities are derived from a volume-fraction rule unless otherwise noted:</w:t>
      </w:r>
    </w:p>
    <w:p>
      <w:pPr>
        <w:pStyle w:val="BodyText"/>
      </w:pPr>
      <m:oMathPara>
        <m:oMathParaPr>
          <m:jc m:val="center"/>
        </m:oMathParaPr>
        <m:oMath>
          <m:sSub>
            <m:e>
              <m:r>
                <m:t>ρ</m:t>
              </m:r>
            </m:e>
            <m:sub>
              <m:r>
                <m:rPr>
                  <m:nor/>
                  <m:sty m:val="p"/>
                </m:rPr>
                <m:t>eff</m:t>
              </m:r>
            </m:sub>
          </m:sSub>
          <m:r>
            <m:rPr>
              <m:sty m:val="p"/>
            </m:rPr>
            <m:t>=</m:t>
          </m:r>
          <m:nary>
            <m:naryPr>
              <m:chr m:val="∑"/>
              <m:limLoc m:val="undOvr"/>
              <m:subHide m:val="off"/>
              <m:supHide m:val="on"/>
            </m:naryPr>
            <m:sub>
              <m:r>
                <m:t>j</m:t>
              </m:r>
            </m:sub>
            <m:sup>
              <m:r>
                <m:t>​</m:t>
              </m:r>
            </m:sup>
            <m:e>
              <m:sSub>
                <m:e>
                  <m:r>
                    <m:t>ϕ</m:t>
                  </m:r>
                </m:e>
                <m:sub>
                  <m:r>
                    <m:t>j</m:t>
                  </m:r>
                </m:sub>
              </m:sSub>
            </m:e>
          </m:nary>
          <m:sSub>
            <m:e>
              <m:r>
                <m:t>ρ</m:t>
              </m:r>
            </m:e>
            <m:sub>
              <m:r>
                <m:t>j</m:t>
              </m:r>
            </m:sub>
          </m:sSub>
          <m:r>
            <m:rPr>
              <m:sty m:val="p"/>
            </m:rPr>
            <m:t>.</m:t>
          </m:r>
        </m:oMath>
      </m:oMathPara>
    </w:p>
    <w:p>
      <w:pPr>
        <w:pStyle w:val="FirstParagraph"/>
      </w:pPr>
      <w:r>
        <w:t xml:space="preserve">The corresponding mass fraction of phase</w:t>
      </w:r>
      <w:r>
        <w:t xml:space="preserve"> </w:t>
      </w:r>
      <m:oMath>
        <m:r>
          <m:t>j</m:t>
        </m:r>
      </m:oMath>
      <w:r>
        <w:t xml:space="preserve"> </w:t>
      </w:r>
      <w:r>
        <w:t xml:space="preserve">is</w:t>
      </w:r>
    </w:p>
    <w:p>
      <w:pPr>
        <w:pStyle w:val="BodyText"/>
      </w:pPr>
      <m:oMathPara>
        <m:oMathParaPr>
          <m:jc m:val="center"/>
        </m:oMathParaPr>
        <m:oMath>
          <m:sSub>
            <m:e>
              <m:r>
                <m:t>w</m:t>
              </m:r>
            </m:e>
            <m:sub>
              <m:r>
                <m:t>j</m:t>
              </m:r>
            </m:sub>
          </m:sSub>
          <m:r>
            <m:rPr>
              <m:sty m:val="p"/>
            </m:rPr>
            <m:t>=</m:t>
          </m:r>
          <m:f>
            <m:fPr>
              <m:type m:val="bar"/>
            </m:fPr>
            <m:num>
              <m:sSub>
                <m:e>
                  <m:r>
                    <m:t>ϕ</m:t>
                  </m:r>
                </m:e>
                <m:sub>
                  <m:r>
                    <m:t>j</m:t>
                  </m:r>
                </m:sub>
              </m:sSub>
              <m:sSub>
                <m:e>
                  <m:r>
                    <m:t>ρ</m:t>
                  </m:r>
                </m:e>
                <m:sub>
                  <m:r>
                    <m:t>j</m:t>
                  </m:r>
                </m:sub>
              </m:sSub>
            </m:num>
            <m:den>
              <m:sSub>
                <m:e>
                  <m:r>
                    <m:t>ρ</m:t>
                  </m:r>
                </m:e>
                <m:sub>
                  <m:r>
                    <m:rPr>
                      <m:nor/>
                      <m:sty m:val="p"/>
                    </m:rPr>
                    <m:t>eff</m:t>
                  </m:r>
                </m:sub>
              </m:sSub>
            </m:den>
          </m:f>
          <m:r>
            <m:rPr>
              <m:sty m:val="p"/>
            </m:rPr>
            <m:t>.</m:t>
          </m:r>
        </m:oMath>
      </m:oMathPara>
    </w:p>
    <w:p>
      <w:pPr>
        <w:pStyle w:val="FirstParagraph"/>
      </w:pPr>
      <w:r>
        <w:t xml:space="preserve">This paper uses HDPE density 0.95 g cm⁻³. The binary φ=0.189 cases differ in filler density and therefore in effective density and filler weight fraction. The ternary case uses φ(Bi₂O₃)=0.10 and φ(WO₃)=0.10.</w:t>
      </w:r>
    </w:p>
    <w:bookmarkEnd w:id="16"/>
    <w:bookmarkStart w:id="17" w:name="representative-volume-elements"/>
    <w:p>
      <w:pPr>
        <w:pStyle w:val="Heading3"/>
      </w:pPr>
      <w:r>
        <w:t xml:space="preserve">2.3 Representative volume elements</w:t>
      </w:r>
    </w:p>
    <w:p>
      <w:pPr>
        <w:pStyle w:val="FirstParagraph"/>
      </w:pPr>
      <w:r>
        <w:t xml:space="preserve">A cubic RVE is used for explicit nanoparticle simulations. For a random dispersion of monodisperse spheres of radius</w:t>
      </w:r>
      <w:r>
        <w:t xml:space="preserve"> </w:t>
      </w:r>
      <m:oMath>
        <m:r>
          <m:t>r</m:t>
        </m:r>
      </m:oMath>
      <w:r>
        <w:t xml:space="preserve"> </w:t>
      </w:r>
      <w:r>
        <w:t xml:space="preserve">at volume fraction</w:t>
      </w:r>
      <w:r>
        <w:t xml:space="preserve"> </w:t>
      </w:r>
      <m:oMath>
        <m:sSub>
          <m:e>
            <m:r>
              <m:t>ϕ</m:t>
            </m:r>
          </m:e>
          <m:sub>
            <m:r>
              <m:t>f</m:t>
            </m:r>
          </m:sub>
        </m:sSub>
      </m:oMath>
      <w:r>
        <w:t xml:space="preserve">, the nominal number of particles in an RVE of side</w:t>
      </w:r>
      <w:r>
        <w:t xml:space="preserve"> </w:t>
      </w:r>
      <m:oMath>
        <m:r>
          <m:t>L</m:t>
        </m:r>
      </m:oMath>
      <w:r>
        <w:t xml:space="preserve"> </w:t>
      </w:r>
      <w:r>
        <w:t xml:space="preserve">is</w:t>
      </w:r>
    </w:p>
    <w:p>
      <w:pPr>
        <w:pStyle w:val="BodyText"/>
      </w:pPr>
      <m:oMathPara>
        <m:oMathParaPr>
          <m:jc m:val="center"/>
        </m:oMathParaPr>
        <m:oMath>
          <m:r>
            <m:t>N</m:t>
          </m:r>
          <m:r>
            <m:rPr>
              <m:sty m:val="p"/>
            </m:rPr>
            <m:t>≈</m:t>
          </m:r>
          <m:f>
            <m:fPr>
              <m:type m:val="bar"/>
            </m:fPr>
            <m:num>
              <m:sSub>
                <m:e>
                  <m:r>
                    <m:t>ϕ</m:t>
                  </m:r>
                </m:e>
                <m:sub>
                  <m:r>
                    <m:t>f</m:t>
                  </m:r>
                </m:sub>
              </m:sSub>
              <m:sSup>
                <m:e>
                  <m:r>
                    <m:t>L</m:t>
                  </m:r>
                </m:e>
                <m:sup>
                  <m:r>
                    <m:t>3</m:t>
                  </m:r>
                </m:sup>
              </m:sSup>
            </m:num>
            <m:den>
              <m:r>
                <m:rPr>
                  <m:sty m:val="p"/>
                </m:rPr>
                <m:t>(</m:t>
              </m:r>
              <m:r>
                <m:t>4</m:t>
              </m:r>
              <m:r>
                <m:rPr>
                  <m:sty m:val="p"/>
                </m:rPr>
                <m:t>/</m:t>
              </m:r>
              <m:r>
                <m:t>3</m:t>
              </m:r>
              <m:r>
                <m:rPr>
                  <m:sty m:val="p"/>
                </m:rPr>
                <m:t>)</m:t>
              </m:r>
              <m:r>
                <m:t>π</m:t>
              </m:r>
              <m:sSup>
                <m:e>
                  <m:r>
                    <m:t>r</m:t>
                  </m:r>
                </m:e>
                <m:sup>
                  <m:r>
                    <m:t>3</m:t>
                  </m:r>
                </m:sup>
              </m:sSup>
            </m:den>
          </m:f>
          <m:r>
            <m:rPr>
              <m:sty m:val="p"/>
            </m:rPr>
            <m:t>.</m:t>
          </m:r>
        </m:oMath>
      </m:oMathPara>
    </w:p>
    <w:p>
      <w:pPr>
        <w:pStyle w:val="FirstParagraph"/>
      </w:pPr>
      <w:r>
        <w:t xml:space="preserve">For</w:t>
      </w:r>
      <w:r>
        <w:t xml:space="preserve"> </w:t>
      </w:r>
      <m:oMath>
        <m:r>
          <m:t>r</m:t>
        </m:r>
        <m:r>
          <m:rPr>
            <m:sty m:val="p"/>
          </m:rPr>
          <m:t>=</m:t>
        </m:r>
        <m:r>
          <m:t>25</m:t>
        </m:r>
      </m:oMath>
      <w:r>
        <w:t xml:space="preserve"> </w:t>
      </w:r>
      <w:r>
        <w:t xml:space="preserve">nm,</w:t>
      </w:r>
      <w:r>
        <w:t xml:space="preserve"> </w:t>
      </w:r>
      <m:oMath>
        <m:r>
          <m:t>L</m:t>
        </m:r>
        <m:r>
          <m:rPr>
            <m:sty m:val="p"/>
          </m:rPr>
          <m:t>=</m:t>
        </m:r>
        <m:r>
          <m:t>1</m:t>
        </m:r>
      </m:oMath>
      <w:r>
        <w:t xml:space="preserve"> </w:t>
      </w:r>
      <w:r>
        <w:t xml:space="preserve">µm, and</w:t>
      </w:r>
      <w:r>
        <w:t xml:space="preserve"> </w:t>
      </w:r>
      <m:oMath>
        <m:sSub>
          <m:e>
            <m:r>
              <m:t>ϕ</m:t>
            </m:r>
          </m:e>
          <m:sub>
            <m:r>
              <m:t>f</m:t>
            </m:r>
          </m:sub>
        </m:sSub>
        <m:r>
          <m:rPr>
            <m:sty m:val="p"/>
          </m:rPr>
          <m:t>=</m:t>
        </m:r>
        <m:r>
          <m:t>0.189</m:t>
        </m:r>
      </m:oMath>
      <w:r>
        <w:t xml:space="preserve">, this gives approximately 2,888 spheres. This count is tractable with parameterised placement but not with</w:t>
      </w:r>
      <w:r>
        <w:t xml:space="preserve"> </w:t>
      </w:r>
      <w:r>
        <w:rPr>
          <w:rStyle w:val="VerbatimChar"/>
        </w:rPr>
        <w:t xml:space="preserve">G4MultiUnion</w:t>
      </w:r>
      <w:r>
        <w:t xml:space="preserve"> </w:t>
      </w:r>
      <w:r>
        <w:t xml:space="preserve">on the 8 GB workstation used here. A reduced</w:t>
      </w:r>
      <w:r>
        <w:t xml:space="preserve"> </w:t>
      </w:r>
      <m:oMath>
        <m:r>
          <m:t>L</m:t>
        </m:r>
        <m:r>
          <m:rPr>
            <m:sty m:val="p"/>
          </m:rPr>
          <m:t>=</m:t>
        </m:r>
        <m:r>
          <m:t>250</m:t>
        </m:r>
      </m:oMath>
      <w:r>
        <w:t xml:space="preserve"> </w:t>
      </w:r>
      <w:r>
        <w:t xml:space="preserve">nm RVE contains approximately 45 spheres for φ=0.189 and approximately 24 spheres for φ=0.10.</w:t>
      </w:r>
    </w:p>
    <w:p>
      <w:r>
        <w:pict>
          <v:rect style="width:0;height:1.5pt" o:hralign="center" o:hrstd="t" o:hr="t"/>
        </w:pict>
      </w:r>
    </w:p>
    <w:bookmarkEnd w:id="17"/>
    <w:bookmarkEnd w:id="18"/>
    <w:bookmarkStart w:id="23" w:name="geant4-modelling-regimes"/>
    <w:p>
      <w:pPr>
        <w:pStyle w:val="Heading2"/>
      </w:pPr>
      <w:r>
        <w:t xml:space="preserve">3. Geant4 Modelling Regimes</w:t>
      </w:r>
    </w:p>
    <w:bookmarkStart w:id="19" w:name="regime-a-homogeneous-effective-medium"/>
    <w:p>
      <w:pPr>
        <w:pStyle w:val="Heading3"/>
      </w:pPr>
      <w:r>
        <w:t xml:space="preserve">3.1 Regime A — homogeneous effective medium</w:t>
      </w:r>
    </w:p>
    <w:p>
      <w:pPr>
        <w:pStyle w:val="FirstParagraph"/>
      </w:pPr>
      <w:r>
        <w:t xml:space="preserve">Regime A defines each composite as a single</w:t>
      </w:r>
      <w:r>
        <w:t xml:space="preserve"> </w:t>
      </w:r>
      <w:r>
        <w:rPr>
          <w:rStyle w:val="VerbatimChar"/>
        </w:rPr>
        <w:t xml:space="preserve">G4Material</w:t>
      </w:r>
      <w:r>
        <w:t xml:space="preserve"> </w:t>
      </w:r>
      <w:r>
        <w:t xml:space="preserve">using elemental mass fractions and an assigned density. Slab thickness is selected per energy to keep transmission near</w:t>
      </w:r>
      <w:r>
        <w:t xml:space="preserve"> </w:t>
      </w:r>
      <m:oMath>
        <m:r>
          <m:t>T</m:t>
        </m:r>
        <m:r>
          <m:rPr>
            <m:sty m:val="p"/>
          </m:rPr>
          <m:t>≈</m:t>
        </m:r>
        <m:r>
          <m:t>0.65</m:t>
        </m:r>
      </m:oMath>
      <w:r>
        <w:t xml:space="preserve">, which stabilises the direct estimator</w:t>
      </w:r>
    </w:p>
    <w:p>
      <w:pPr>
        <w:pStyle w:val="BodyText"/>
      </w:pPr>
      <m:oMathPara>
        <m:oMathParaPr>
          <m:jc m:val="center"/>
        </m:oMathParaPr>
        <m:oMath>
          <m:acc>
            <m:accPr>
              <m:chr m:val="̂"/>
            </m:accPr>
            <m:e>
              <m:r>
                <m:t>μ</m:t>
              </m:r>
            </m:e>
          </m:acc>
          <m:r>
            <m:rPr>
              <m:sty m:val="p"/>
            </m:rPr>
            <m:t>=</m:t>
          </m:r>
          <m:r>
            <m:rPr>
              <m:sty m:val="p"/>
            </m:rPr>
            <m:t>−</m:t>
          </m:r>
          <m:f>
            <m:fPr>
              <m:type m:val="bar"/>
            </m:fPr>
            <m:num>
              <m:r>
                <m:rPr>
                  <m:sty m:val="p"/>
                </m:rPr>
                <m:t>ln</m:t>
              </m:r>
              <m:r>
                <m:t>T</m:t>
              </m:r>
            </m:num>
            <m:den>
              <m:r>
                <m:t>t</m:t>
              </m:r>
            </m:den>
          </m:f>
          <m:r>
            <m:rPr>
              <m:sty m:val="p"/>
            </m:rPr>
            <m:t>.</m:t>
          </m:r>
        </m:oMath>
      </m:oMathPara>
    </w:p>
    <w:p>
      <w:pPr>
        <w:pStyle w:val="FirstParagraph"/>
      </w:pPr>
      <w:r>
        <w:t xml:space="preserve">Regime A is the production model for bulk shielding calculations and is directly benchmarked against NIST XCOM.</w:t>
      </w:r>
    </w:p>
    <w:bookmarkEnd w:id="19"/>
    <w:bookmarkStart w:id="20" w:name="X4fd192b482a180bbf55a533b0ac901cba758b08"/>
    <w:p>
      <w:pPr>
        <w:pStyle w:val="Heading3"/>
      </w:pPr>
      <w:r>
        <w:t xml:space="preserve">3.2 Regime B — explicit RVE with</w:t>
      </w:r>
      <w:r>
        <w:t xml:space="preserve"> </w:t>
      </w:r>
      <w:r>
        <w:rPr>
          <w:rStyle w:val="VerbatimChar"/>
        </w:rPr>
        <w:t xml:space="preserve">G4PVParameterised</w:t>
      </w:r>
    </w:p>
    <w:p>
      <w:pPr>
        <w:pStyle w:val="FirstParagraph"/>
      </w:pPr>
      <w:r>
        <w:t xml:space="preserve">Regime B resolves 25 nm filler spheres using</w:t>
      </w:r>
      <w:r>
        <w:t xml:space="preserve"> </w:t>
      </w:r>
      <w:r>
        <w:rPr>
          <w:rStyle w:val="VerbatimChar"/>
        </w:rPr>
        <w:t xml:space="preserve">G4PVParameterised</w:t>
      </w:r>
      <w:r>
        <w:t xml:space="preserve">. Particle centres are generated by random sequential addition with hard-sphere exclusion. The principal binary studies use a 1 µm RVE and 2,888 spheres at φ=0.189. The ternary explicit-RVE studies use 1,528 Bi₂O₃ spheres at φ=0.10.</w:t>
      </w:r>
    </w:p>
    <w:p>
      <w:pPr>
        <w:pStyle w:val="BodyText"/>
      </w:pPr>
      <w:r>
        <w:t xml:space="preserve">This regime is the main explicit-geometry validation path because repeated sphere placement remains scalable at O(10³) particle counts.</w:t>
      </w:r>
    </w:p>
    <w:bookmarkEnd w:id="20"/>
    <w:bookmarkStart w:id="21" w:name="regime-c-explicit-rve-with-g4multiunion"/>
    <w:p>
      <w:pPr>
        <w:pStyle w:val="Heading3"/>
      </w:pPr>
      <w:r>
        <w:t xml:space="preserve">3.3 Regime C — explicit RVE with</w:t>
      </w:r>
      <w:r>
        <w:t xml:space="preserve"> </w:t>
      </w:r>
      <w:r>
        <w:rPr>
          <w:rStyle w:val="VerbatimChar"/>
        </w:rPr>
        <w:t xml:space="preserve">G4MultiUnion</w:t>
      </w:r>
    </w:p>
    <w:p>
      <w:pPr>
        <w:pStyle w:val="FirstParagraph"/>
      </w:pPr>
      <w:r>
        <w:t xml:space="preserve">Regime C builds the explicit particles into a single</w:t>
      </w:r>
      <w:r>
        <w:t xml:space="preserve"> </w:t>
      </w:r>
      <w:r>
        <w:rPr>
          <w:rStyle w:val="VerbatimChar"/>
        </w:rPr>
        <w:t xml:space="preserve">G4MultiUnion</w:t>
      </w:r>
      <w:r>
        <w:t xml:space="preserve"> </w:t>
      </w:r>
      <w:r>
        <w:t xml:space="preserve">and calls</w:t>
      </w:r>
      <w:r>
        <w:t xml:space="preserve"> </w:t>
      </w:r>
      <w:r>
        <w:rPr>
          <w:rStyle w:val="VerbatimChar"/>
        </w:rPr>
        <w:t xml:space="preserve">Voxelize()</w:t>
      </w:r>
      <w:r>
        <w:t xml:space="preserve">. This provides a useful independent geometry path, but memory use grows rapidly with sphere count. On the present workstation, 1 µm and 500 nm multi-union RVEs were infeasible; the adopted configuration is a 250 nm RVE with 45 spheres for φ=0.189 binary cases and 24 Bi₂O₃ nodes for the ternary φ=0.10 explicit case.</w:t>
      </w:r>
    </w:p>
    <w:bookmarkEnd w:id="21"/>
    <w:bookmarkStart w:id="22" w:name="ternary-explicit-rve-interpretation"/>
    <w:p>
      <w:pPr>
        <w:pStyle w:val="Heading3"/>
      </w:pPr>
      <w:r>
        <w:t xml:space="preserve">3.4 Ternary explicit-RVE interpretation</w:t>
      </w:r>
    </w:p>
    <w:p>
      <w:pPr>
        <w:pStyle w:val="FirstParagraph"/>
      </w:pPr>
      <w:r>
        <w:t xml:space="preserve">The ternary Regime-A material is a true HDPE/Bi₂O₃/WO₃ effective medium. The Regime-B and Regime-C ternary geometries spatialise Bi₂O₃ spheres only. Because the explicit geometry does not independently resolve the WO₃ phase as a matched spatial component, the ternary B/A and C/A ratios are not interpreted as a valid H1 pass/fail test for a fully composition-equivalent ternary RVE. They are retained as a stress test showing that composition equivalence is mandatory when comparing effective-medium and explicit-particle representations.</w:t>
      </w:r>
    </w:p>
    <w:p>
      <w:r>
        <w:pict>
          <v:rect style="width:0;height:1.5pt" o:hralign="center" o:hrstd="t" o:hr="t"/>
        </w:pict>
      </w:r>
    </w:p>
    <w:bookmarkEnd w:id="22"/>
    <w:bookmarkEnd w:id="23"/>
    <w:bookmarkStart w:id="30" w:name="benchmark-protocol"/>
    <w:p>
      <w:pPr>
        <w:pStyle w:val="Heading2"/>
      </w:pPr>
      <w:r>
        <w:t xml:space="preserve">4. Benchmark Protocol</w:t>
      </w:r>
    </w:p>
    <w:bookmarkStart w:id="24" w:name="materials"/>
    <w:p>
      <w:pPr>
        <w:pStyle w:val="Heading3"/>
      </w:pPr>
      <w:r>
        <w:t xml:space="preserve">4.1 Materials</w:t>
      </w:r>
    </w:p>
    <w:p>
      <w:pPr>
        <w:pStyle w:val="FirstParagraph"/>
      </w:pPr>
      <w:r>
        <w:rPr>
          <w:b/>
          <w:bCs/>
        </w:rPr>
        <w:t xml:space="preserve">Table M1.</w:t>
      </w:r>
      <w:r>
        <w:t xml:space="preserve"> </w:t>
      </w:r>
      <w:r>
        <w:t xml:space="preserve">Material design summary for the v10 six-chemistry benchmark.</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Material</w:t>
            </w:r>
          </w:p>
        </w:tc>
        <w:tc>
          <w:tcPr/>
          <w:p>
            <w:pPr>
              <w:pStyle w:val="Compact"/>
              <w:jc w:val="right"/>
            </w:pPr>
            <w:r>
              <w:t xml:space="preserve">Volume fraction</w:t>
            </w:r>
          </w:p>
        </w:tc>
        <w:tc>
          <w:tcPr/>
          <w:p>
            <w:pPr>
              <w:pStyle w:val="Compact"/>
              <w:jc w:val="right"/>
            </w:pPr>
            <m:oMath>
              <m:sSub>
                <m:e>
                  <m:r>
                    <m:t>ρ</m:t>
                  </m:r>
                </m:e>
                <m:sub>
                  <m:r>
                    <m:rPr>
                      <m:nor/>
                      <m:sty m:val="p"/>
                    </m:rPr>
                    <m:t>eff</m:t>
                  </m:r>
                </m:sub>
              </m:sSub>
            </m:oMath>
            <w:r>
              <w:t xml:space="preserve"> </w:t>
            </w:r>
            <w:r>
              <w:t xml:space="preserve">(g cm</w:t>
            </w:r>
            <m:oMath>
              <m:sSup>
                <m:e>
                  <m:r>
                    <m:t>​</m:t>
                  </m:r>
                </m:e>
                <m:sup>
                  <m:r>
                    <m:rPr>
                      <m:sty m:val="p"/>
                    </m:rPr>
                    <m:t>−</m:t>
                  </m:r>
                  <m:r>
                    <m:t>3</m:t>
                  </m:r>
                </m:sup>
              </m:sSup>
            </m:oMath>
            <w:r>
              <w:t xml:space="preserve">)</w:t>
            </w:r>
          </w:p>
        </w:tc>
        <w:tc>
          <w:tcPr/>
          <w:p>
            <w:pPr>
              <w:pStyle w:val="Compact"/>
              <w:jc w:val="right"/>
            </w:pPr>
            <w:r>
              <w:t xml:space="preserve">Heavy phase wt%</w:t>
            </w:r>
          </w:p>
        </w:tc>
        <w:tc>
          <w:tcPr/>
          <w:p>
            <w:pPr>
              <w:pStyle w:val="Compact"/>
            </w:pPr>
            <w:r>
              <w:t xml:space="preserve">Principal K-edge(s)</w:t>
            </w:r>
          </w:p>
        </w:tc>
        <w:tc>
          <w:tcPr/>
          <w:p>
            <w:pPr>
              <w:pStyle w:val="Compact"/>
            </w:pPr>
            <w:r>
              <w:t xml:space="preserve">Regimes completed</w:t>
            </w:r>
          </w:p>
        </w:tc>
      </w:tr>
      <w:tr>
        <w:tc>
          <w:tcPr/>
          <w:p>
            <w:pPr>
              <w:pStyle w:val="Compact"/>
            </w:pPr>
            <w:r>
              <w:t xml:space="preserve">HDPE/Bi₂O₃</w:t>
            </w:r>
          </w:p>
        </w:tc>
        <w:tc>
          <w:tcPr/>
          <w:p>
            <w:pPr>
              <w:pStyle w:val="Compact"/>
              <w:jc w:val="right"/>
            </w:pPr>
            <w:r>
              <w:t xml:space="preserve">φ=0.189</w:t>
            </w:r>
          </w:p>
        </w:tc>
        <w:tc>
          <w:tcPr/>
          <w:p>
            <w:pPr>
              <w:pStyle w:val="Compact"/>
              <w:jc w:val="right"/>
            </w:pPr>
            <w:r>
              <w:t xml:space="preserve">2.452</w:t>
            </w:r>
          </w:p>
        </w:tc>
        <w:tc>
          <w:tcPr/>
          <w:p>
            <w:pPr>
              <w:pStyle w:val="Compact"/>
              <w:jc w:val="right"/>
            </w:pPr>
            <w:r>
              <w:t xml:space="preserve">68.6% Bi₂O₃</w:t>
            </w:r>
          </w:p>
        </w:tc>
        <w:tc>
          <w:tcPr/>
          <w:p>
            <w:pPr>
              <w:pStyle w:val="Compact"/>
            </w:pPr>
            <w:r>
              <w:t xml:space="preserve">Bi K = 90.526 keV</w:t>
            </w:r>
          </w:p>
        </w:tc>
        <w:tc>
          <w:tcPr/>
          <w:p>
            <w:pPr>
              <w:pStyle w:val="Compact"/>
            </w:pPr>
            <w:r>
              <w:t xml:space="preserve">A+B+C</w:t>
            </w:r>
          </w:p>
        </w:tc>
      </w:tr>
      <w:tr>
        <w:tc>
          <w:tcPr/>
          <w:p>
            <w:pPr>
              <w:pStyle w:val="Compact"/>
            </w:pPr>
            <w:r>
              <w:t xml:space="preserve">HDPE/WO₃</w:t>
            </w:r>
          </w:p>
        </w:tc>
        <w:tc>
          <w:tcPr/>
          <w:p>
            <w:pPr>
              <w:pStyle w:val="Compact"/>
              <w:jc w:val="right"/>
            </w:pPr>
            <w:r>
              <w:t xml:space="preserve">φ=0.189</w:t>
            </w:r>
          </w:p>
        </w:tc>
        <w:tc>
          <w:tcPr/>
          <w:p>
            <w:pPr>
              <w:pStyle w:val="Compact"/>
              <w:jc w:val="right"/>
            </w:pPr>
            <w:r>
              <w:t xml:space="preserve">2.124</w:t>
            </w:r>
          </w:p>
        </w:tc>
        <w:tc>
          <w:tcPr/>
          <w:p>
            <w:pPr>
              <w:pStyle w:val="Compact"/>
              <w:jc w:val="right"/>
            </w:pPr>
            <w:r>
              <w:t xml:space="preserve">63.72% WO₃</w:t>
            </w:r>
          </w:p>
        </w:tc>
        <w:tc>
          <w:tcPr/>
          <w:p>
            <w:pPr>
              <w:pStyle w:val="Compact"/>
            </w:pPr>
            <w:r>
              <w:t xml:space="preserve">W K = 69.525 keV</w:t>
            </w:r>
          </w:p>
        </w:tc>
        <w:tc>
          <w:tcPr/>
          <w:p>
            <w:pPr>
              <w:pStyle w:val="Compact"/>
            </w:pPr>
            <w:r>
              <w:t xml:space="preserve">A+B+C</w:t>
            </w:r>
          </w:p>
        </w:tc>
      </w:tr>
      <w:tr>
        <w:tc>
          <w:tcPr/>
          <w:p>
            <w:pPr>
              <w:pStyle w:val="Compact"/>
            </w:pPr>
            <w:r>
              <w:t xml:space="preserve">HDPE/BaWO₄</w:t>
            </w:r>
          </w:p>
        </w:tc>
        <w:tc>
          <w:tcPr/>
          <w:p>
            <w:pPr>
              <w:pStyle w:val="Compact"/>
              <w:jc w:val="right"/>
            </w:pPr>
            <w:r>
              <w:t xml:space="preserve">φ=0.189</w:t>
            </w:r>
          </w:p>
        </w:tc>
        <w:tc>
          <w:tcPr/>
          <w:p>
            <w:pPr>
              <w:pStyle w:val="Compact"/>
              <w:jc w:val="right"/>
            </w:pPr>
            <w:r>
              <w:t xml:space="preserve">1.927</w:t>
            </w:r>
          </w:p>
        </w:tc>
        <w:tc>
          <w:tcPr/>
          <w:p>
            <w:pPr>
              <w:pStyle w:val="Compact"/>
              <w:jc w:val="right"/>
            </w:pPr>
            <w:r>
              <w:t xml:space="preserve">60.02% BaWO₄</w:t>
            </w:r>
          </w:p>
        </w:tc>
        <w:tc>
          <w:tcPr/>
          <w:p>
            <w:pPr>
              <w:pStyle w:val="Compact"/>
            </w:pPr>
            <w:r>
              <w:t xml:space="preserve">Ba K = 37.441 keV; W K = 69.525 keV</w:t>
            </w:r>
          </w:p>
        </w:tc>
        <w:tc>
          <w:tcPr/>
          <w:p>
            <w:pPr>
              <w:pStyle w:val="Compact"/>
            </w:pPr>
            <w:r>
              <w:t xml:space="preserve">A+B+C</w:t>
            </w:r>
          </w:p>
        </w:tc>
      </w:tr>
      <w:tr>
        <w:tc>
          <w:tcPr/>
          <w:p>
            <w:pPr>
              <w:pStyle w:val="Compact"/>
            </w:pPr>
            <w:r>
              <w:t xml:space="preserve">HDPE/Bi₂O₃/WO₃</w:t>
            </w:r>
          </w:p>
        </w:tc>
        <w:tc>
          <w:tcPr/>
          <w:p>
            <w:pPr>
              <w:pStyle w:val="Compact"/>
              <w:jc w:val="right"/>
            </w:pPr>
            <w:r>
              <w:t xml:space="preserve">φ(Bi₂O₃)=0.10; φ(WO₃)=0.10</w:t>
            </w:r>
          </w:p>
        </w:tc>
        <w:tc>
          <w:tcPr/>
          <w:p>
            <w:pPr>
              <w:pStyle w:val="Compact"/>
              <w:jc w:val="right"/>
            </w:pPr>
            <w:r>
              <w:t xml:space="preserve">2.366</w:t>
            </w:r>
          </w:p>
        </w:tc>
        <w:tc>
          <w:tcPr/>
          <w:p>
            <w:pPr>
              <w:pStyle w:val="Compact"/>
              <w:jc w:val="right"/>
            </w:pPr>
            <w:r>
              <w:t xml:space="preserve">37.62% Bi₂O₃; 30.26% WO₃</w:t>
            </w:r>
          </w:p>
        </w:tc>
        <w:tc>
          <w:tcPr/>
          <w:p>
            <w:pPr>
              <w:pStyle w:val="Compact"/>
            </w:pPr>
            <w:r>
              <w:t xml:space="preserve">W K = 69.525 keV; Bi K = 90.526 keV</w:t>
            </w:r>
          </w:p>
        </w:tc>
        <w:tc>
          <w:tcPr/>
          <w:p>
            <w:pPr>
              <w:pStyle w:val="Compact"/>
            </w:pPr>
            <w:r>
              <w:t xml:space="preserve">A+B+C*</w:t>
            </w:r>
          </w:p>
        </w:tc>
      </w:tr>
      <w:tr>
        <w:tc>
          <w:tcPr/>
          <w:p>
            <w:pPr>
              <w:pStyle w:val="Compact"/>
            </w:pPr>
            <w:r>
              <w:t xml:space="preserve">HDPE/Gd₂O₃</w:t>
            </w:r>
          </w:p>
        </w:tc>
        <w:tc>
          <w:tcPr/>
          <w:p>
            <w:pPr>
              <w:pStyle w:val="Compact"/>
              <w:jc w:val="right"/>
            </w:pPr>
            <w:r>
              <w:t xml:space="preserve">φ=0.189</w:t>
            </w:r>
          </w:p>
        </w:tc>
        <w:tc>
          <w:tcPr/>
          <w:p>
            <w:pPr>
              <w:pStyle w:val="Compact"/>
              <w:jc w:val="right"/>
            </w:pPr>
            <w:r>
              <w:t xml:space="preserve">2.107</w:t>
            </w:r>
          </w:p>
        </w:tc>
        <w:tc>
          <w:tcPr/>
          <w:p>
            <w:pPr>
              <w:pStyle w:val="Compact"/>
              <w:jc w:val="right"/>
            </w:pPr>
            <w:r>
              <w:t xml:space="preserve">63.42% Gd₂O₃</w:t>
            </w:r>
          </w:p>
        </w:tc>
        <w:tc>
          <w:tcPr/>
          <w:p>
            <w:pPr>
              <w:pStyle w:val="Compact"/>
            </w:pPr>
            <w:r>
              <w:t xml:space="preserve">Gd K = 50.239 keV</w:t>
            </w:r>
          </w:p>
        </w:tc>
        <w:tc>
          <w:tcPr/>
          <w:p>
            <w:pPr>
              <w:pStyle w:val="Compact"/>
            </w:pPr>
            <w:r>
              <w:t xml:space="preserve">A+B+C</w:t>
            </w:r>
          </w:p>
        </w:tc>
      </w:tr>
      <w:tr>
        <w:tc>
          <w:tcPr/>
          <w:p>
            <w:pPr>
              <w:pStyle w:val="Compact"/>
            </w:pPr>
            <w:r>
              <w:t xml:space="preserve">HDPE/PbWO₄</w:t>
            </w:r>
          </w:p>
        </w:tc>
        <w:tc>
          <w:tcPr/>
          <w:p>
            <w:pPr>
              <w:pStyle w:val="Compact"/>
              <w:jc w:val="right"/>
            </w:pPr>
            <w:r>
              <w:t xml:space="preserve">φ=0.189</w:t>
            </w:r>
          </w:p>
        </w:tc>
        <w:tc>
          <w:tcPr/>
          <w:p>
            <w:pPr>
              <w:pStyle w:val="Compact"/>
              <w:jc w:val="right"/>
            </w:pPr>
            <w:r>
              <w:t xml:space="preserve">2.369</w:t>
            </w:r>
          </w:p>
        </w:tc>
        <w:tc>
          <w:tcPr/>
          <w:p>
            <w:pPr>
              <w:pStyle w:val="Compact"/>
              <w:jc w:val="right"/>
            </w:pPr>
            <w:r>
              <w:t xml:space="preserve">67.49% PbWO₄</w:t>
            </w:r>
          </w:p>
        </w:tc>
        <w:tc>
          <w:tcPr/>
          <w:p>
            <w:pPr>
              <w:pStyle w:val="Compact"/>
            </w:pPr>
            <w:r>
              <w:t xml:space="preserve">W K = 69.525 keV; Pb K = 88.005 keV</w:t>
            </w:r>
          </w:p>
        </w:tc>
        <w:tc>
          <w:tcPr/>
          <w:p>
            <w:pPr>
              <w:pStyle w:val="Compact"/>
            </w:pPr>
            <w:r>
              <w:t xml:space="preserve">A+B+C</w:t>
            </w:r>
          </w:p>
        </w:tc>
      </w:tr>
    </w:tbl>
    <w:p>
      <w:pPr>
        <w:pStyle w:val="BodyText"/>
      </w:pPr>
      <w:r>
        <w:t xml:space="preserve">*The ternary explicit-RVE cases resolve Bi₂O₃ spheres only and are treated as a hybrid stress test rather than a composition-equivalent H1 validation.</w:t>
      </w:r>
    </w:p>
    <w:p>
      <w:pPr>
        <w:pStyle w:val="BodyText"/>
      </w:pPr>
      <w:r>
        <w:t xml:space="preserve">A separate HDPE/Bi₂O₃ 30 wt% Regime-A validation study from v08 is retained as an independent emlivermore/XCOM calibration case. It is not used as the cross-regime baseline.</w:t>
      </w:r>
    </w:p>
    <w:bookmarkEnd w:id="24"/>
    <w:bookmarkStart w:id="25" w:name="source-and-energy-grid"/>
    <w:p>
      <w:pPr>
        <w:pStyle w:val="Heading3"/>
      </w:pPr>
      <w:r>
        <w:t xml:space="preserve">4.2 Source and energy grid</w:t>
      </w:r>
    </w:p>
    <w:p>
      <w:pPr>
        <w:pStyle w:val="FirstParagraph"/>
      </w:pPr>
      <w:r>
        <w:t xml:space="preserve">All runs use mono-energetic photons at 30, 50, 80, 100, 150, 356, 511, 662, 1173, and 1332 keV. The source direction is normal to the slab or RVE. Regime C uses distributed transverse sampling over the 250 nm RVE face to average over the small explicit geometry.</w:t>
      </w:r>
    </w:p>
    <w:bookmarkEnd w:id="25"/>
    <w:bookmarkStart w:id="26" w:name="physics-list-and-software"/>
    <w:p>
      <w:pPr>
        <w:pStyle w:val="Heading3"/>
      </w:pPr>
      <w:r>
        <w:t xml:space="preserve">4.3 Physics list and software</w:t>
      </w:r>
    </w:p>
    <w:p>
      <w:pPr>
        <w:pStyle w:val="FirstParagraph"/>
      </w:pPr>
      <w:r>
        <w:t xml:space="preserve">All runs use</w:t>
      </w:r>
      <w:r>
        <w:t xml:space="preserve"> </w:t>
      </w:r>
      <w:r>
        <w:rPr>
          <w:rStyle w:val="VerbatimChar"/>
        </w:rPr>
        <w:t xml:space="preserve">G4EmLivermorePhysics</w:t>
      </w:r>
      <w:r>
        <w:t xml:space="preserve"> </w:t>
      </w:r>
      <w:r>
        <w:t xml:space="preserve">in Geant4 11.4-beta-01. The Windows host runs Python 3.11 from</w:t>
      </w:r>
      <w:r>
        <w:t xml:space="preserve"> </w:t>
      </w:r>
      <w:r>
        <w:rPr>
          <w:rStyle w:val="VerbatimChar"/>
        </w:rPr>
        <w:t xml:space="preserve">d:\uv_envs</w:t>
      </w:r>
      <w:r>
        <w:t xml:space="preserve">; Geant4 execution is performed through WSL Ubuntu 22.04. The benchmark orchestrator is</w:t>
      </w:r>
      <w:r>
        <w:t xml:space="preserve"> </w:t>
      </w:r>
      <w:r>
        <w:rPr>
          <w:rStyle w:val="VerbatimChar"/>
        </w:rPr>
        <w:t xml:space="preserve">python -m shieldlab.analysis.nano_benchmark</w:t>
      </w:r>
      <w:r>
        <w:t xml:space="preserve">.</w:t>
      </w:r>
    </w:p>
    <w:bookmarkEnd w:id="26"/>
    <w:bookmarkStart w:id="27" w:name="histories"/>
    <w:p>
      <w:pPr>
        <w:pStyle w:val="Heading3"/>
      </w:pPr>
      <w:r>
        <w:t xml:space="preserve">4.4 Histories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Regime</w:t>
            </w:r>
          </w:p>
        </w:tc>
        <w:tc>
          <w:tcPr/>
          <w:p>
            <w:pPr>
              <w:pStyle w:val="Compact"/>
            </w:pPr>
            <w:r>
              <w:t xml:space="preserve">Geometry</w:t>
            </w:r>
          </w:p>
        </w:tc>
        <w:tc>
          <w:tcPr/>
          <w:p>
            <w:pPr>
              <w:pStyle w:val="Compact"/>
              <w:jc w:val="right"/>
            </w:pPr>
            <w:r>
              <w:t xml:space="preserve">Histories per energy</w:t>
            </w:r>
          </w:p>
        </w:tc>
        <w:tc>
          <w:tcPr/>
          <w:p>
            <w:pPr>
              <w:pStyle w:val="Compact"/>
            </w:pPr>
            <w:r>
              <w:t xml:space="preserve">Purpose</w:t>
            </w:r>
          </w:p>
        </w:tc>
      </w:tr>
      <w:tr>
        <w:tc>
          <w:tcPr/>
          <w:p>
            <w:pPr>
              <w:pStyle w:val="Compact"/>
            </w:pPr>
            <w:r>
              <w:t xml:space="preserve">A</w:t>
            </w:r>
          </w:p>
        </w:tc>
        <w:tc>
          <w:tcPr/>
          <w:p>
            <w:pPr>
              <w:pStyle w:val="Compact"/>
            </w:pPr>
            <w:r>
              <w:t xml:space="preserve">Homogeneous slab</w:t>
            </w:r>
          </w:p>
        </w:tc>
        <w:tc>
          <w:tcPr/>
          <w:p>
            <w:pPr>
              <w:pStyle w:val="Compact"/>
              <w:jc w:val="right"/>
            </w:pPr>
            <m:oMath>
              <m:sSup>
                <m:e>
                  <m:r>
                    <m:t>10</m:t>
                  </m:r>
                </m:e>
                <m:sup>
                  <m:r>
                    <m:t>6</m:t>
                  </m:r>
                </m:sup>
              </m:sSup>
            </m:oMath>
          </w:p>
        </w:tc>
        <w:tc>
          <w:tcPr/>
          <w:p>
            <w:pPr>
              <w:pStyle w:val="Compact"/>
            </w:pPr>
            <w:r>
              <w:t xml:space="preserve">XCOM validation and reference baseline</w:t>
            </w:r>
          </w:p>
        </w:tc>
      </w:tr>
      <w:tr>
        <w:tc>
          <w:tcPr/>
          <w:p>
            <w:pPr>
              <w:pStyle w:val="Compact"/>
            </w:pPr>
            <w:r>
              <w:t xml:space="preserve">B</w:t>
            </w:r>
          </w:p>
        </w:tc>
        <w:tc>
          <w:tcPr/>
          <w:p>
            <w:pPr>
              <w:pStyle w:val="Compact"/>
            </w:pPr>
            <w:r>
              <w:t xml:space="preserve">1 µm parameterised RVE</w:t>
            </w:r>
          </w:p>
        </w:tc>
        <w:tc>
          <w:tcPr/>
          <w:p>
            <w:pPr>
              <w:pStyle w:val="Compact"/>
              <w:jc w:val="right"/>
            </w:pPr>
            <m:oMath>
              <m:sSup>
                <m:e>
                  <m:r>
                    <m:t>10</m:t>
                  </m:r>
                </m:e>
                <m:sup>
                  <m:r>
                    <m:t>7</m:t>
                  </m:r>
                </m:sup>
              </m:sSup>
            </m:oMath>
          </w:p>
        </w:tc>
        <w:tc>
          <w:tcPr/>
          <w:p>
            <w:pPr>
              <w:pStyle w:val="Compact"/>
            </w:pPr>
            <w:r>
              <w:t xml:space="preserve">Explicit-particle H1 test</w:t>
            </w:r>
          </w:p>
        </w:tc>
      </w:tr>
      <w:tr>
        <w:tc>
          <w:tcPr/>
          <w:p>
            <w:pPr>
              <w:pStyle w:val="Compact"/>
            </w:pPr>
            <w:r>
              <w:t xml:space="preserve">C</w:t>
            </w:r>
          </w:p>
        </w:tc>
        <w:tc>
          <w:tcPr/>
          <w:p>
            <w:pPr>
              <w:pStyle w:val="Compact"/>
            </w:pPr>
            <w:r>
              <w:t xml:space="preserve">250 nm multi-union RVE</w:t>
            </w:r>
          </w:p>
        </w:tc>
        <w:tc>
          <w:tcPr/>
          <w:p>
            <w:pPr>
              <w:pStyle w:val="Compact"/>
              <w:jc w:val="right"/>
            </w:pPr>
            <m:oMath>
              <m:sSup>
                <m:e>
                  <m:r>
                    <m:t>10</m:t>
                  </m:r>
                </m:e>
                <m:sup>
                  <m:r>
                    <m:t>7</m:t>
                  </m:r>
                </m:sup>
              </m:sSup>
            </m:oMath>
          </w:p>
        </w:tc>
        <w:tc>
          <w:tcPr/>
          <w:p>
            <w:pPr>
              <w:pStyle w:val="Compact"/>
            </w:pPr>
            <w:r>
              <w:t xml:space="preserve">Independent explicit-geometry feasibility check</w:t>
            </w:r>
          </w:p>
        </w:tc>
      </w:tr>
    </w:tbl>
    <w:bookmarkEnd w:id="27"/>
    <w:bookmarkStart w:id="28" w:name="X16bf595033c93d478295a6af9a5f1da25a13ab4"/>
    <w:p>
      <w:pPr>
        <w:pStyle w:val="Heading3"/>
      </w:pPr>
      <w:r>
        <w:t xml:space="preserve">4.5 Artifact provenance and reproducibility matrix</w:t>
      </w:r>
    </w:p>
    <w:p>
      <w:pPr>
        <w:pStyle w:val="FirstParagraph"/>
      </w:pPr>
      <w:r>
        <w:t xml:space="preserve">All manuscript figures and tables are derived from fixed study JSON files and result directories. Table M2 is kept in the main text as a compact study-to-result provenance matrix because its scientific role is to show which comparisons are valid H1 tests. The path-level JSON and result-directory audit trail is moved to Appendix D, where it remains available for exact reruns without making the main article table unreadable. The strict H1 interpretation applies only to the five binary rows marked composition-equivalent; the ternary row is retained as a non-H1-equivalent stress test because WO₃ is included in the effective medium but not spatialised as explicit particles.</w:t>
      </w:r>
    </w:p>
    <w:p>
      <w:pPr>
        <w:pStyle w:val="BodyText"/>
      </w:pPr>
      <w:r>
        <w:rPr>
          <w:b/>
          <w:bCs/>
        </w:rPr>
        <w:t xml:space="preserve">Table M2.</w:t>
      </w:r>
      <w:r>
        <w:t xml:space="preserve"> </w:t>
      </w:r>
      <w:r>
        <w:t xml:space="preserve">Study-to-result provenance and H1 interpretation for the six-material campaign.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Material</w:t>
            </w:r>
          </w:p>
        </w:tc>
        <w:tc>
          <w:tcPr/>
          <w:p>
            <w:pPr>
              <w:pStyle w:val="Compact"/>
            </w:pPr>
            <w:r>
              <w:t xml:space="preserve">Regime A baseline</w:t>
            </w:r>
          </w:p>
        </w:tc>
        <w:tc>
          <w:tcPr/>
          <w:p>
            <w:pPr>
              <w:pStyle w:val="Compact"/>
            </w:pPr>
            <w:r>
              <w:t xml:space="preserve">Regime B explicit RVE</w:t>
            </w:r>
          </w:p>
        </w:tc>
        <w:tc>
          <w:tcPr/>
          <w:p>
            <w:pPr>
              <w:pStyle w:val="Compact"/>
            </w:pPr>
            <w:r>
              <w:t xml:space="preserve">Regime C explicit RVE</w:t>
            </w:r>
          </w:p>
        </w:tc>
        <w:tc>
          <w:tcPr/>
          <w:p>
            <w:pPr>
              <w:pStyle w:val="Compact"/>
            </w:pPr>
            <w:r>
              <w:t xml:space="preserve">H1 interpretation</w:t>
            </w:r>
          </w:p>
        </w:tc>
      </w:tr>
      <w:tr>
        <w:tc>
          <w:tcPr/>
          <w:p>
            <w:pPr>
              <w:pStyle w:val="Compact"/>
            </w:pPr>
            <w:r>
              <w:t xml:space="preserve">HDPE/Bi₂O₃</w:t>
            </w:r>
          </w:p>
        </w:tc>
        <w:tc>
          <w:tcPr/>
          <w:p>
            <w:pPr>
              <w:pStyle w:val="Compact"/>
            </w:pPr>
            <w:r>
              <w:t xml:space="preserve">seed 13579; XCOM baseline</w:t>
            </w:r>
          </w:p>
        </w:tc>
        <w:tc>
          <w:tcPr/>
          <w:p>
            <w:pPr>
              <w:pStyle w:val="Compact"/>
            </w:pPr>
            <w:r>
              <w:t xml:space="preserve">seed 22222; 1 µm, 2,888 Bi₂O₃ spheres</w:t>
            </w:r>
          </w:p>
        </w:tc>
        <w:tc>
          <w:tcPr/>
          <w:p>
            <w:pPr>
              <w:pStyle w:val="Compact"/>
            </w:pPr>
            <w:r>
              <w:t xml:space="preserve">seed 33333; 250 nm, 45 Bi₂O₃ spheres</w:t>
            </w:r>
          </w:p>
        </w:tc>
        <w:tc>
          <w:tcPr/>
          <w:p>
            <w:pPr>
              <w:pStyle w:val="Compact"/>
            </w:pPr>
            <w:r>
              <w:t xml:space="preserve">Composition-equivalent binary</w:t>
            </w:r>
          </w:p>
        </w:tc>
      </w:tr>
      <w:tr>
        <w:tc>
          <w:tcPr/>
          <w:p>
            <w:pPr>
              <w:pStyle w:val="Compact"/>
            </w:pPr>
            <w:r>
              <w:t xml:space="preserve">HDPE/WO₃</w:t>
            </w:r>
          </w:p>
        </w:tc>
        <w:tc>
          <w:tcPr/>
          <w:p>
            <w:pPr>
              <w:pStyle w:val="Compact"/>
            </w:pPr>
            <w:r>
              <w:t xml:space="preserve">seed 24680; XCOM baseline</w:t>
            </w:r>
          </w:p>
        </w:tc>
        <w:tc>
          <w:tcPr/>
          <w:p>
            <w:pPr>
              <w:pStyle w:val="Compact"/>
            </w:pPr>
            <w:r>
              <w:t xml:space="preserve">seed 44444; 1 µm, 2,888 WO₃ spheres</w:t>
            </w:r>
          </w:p>
        </w:tc>
        <w:tc>
          <w:tcPr/>
          <w:p>
            <w:pPr>
              <w:pStyle w:val="Compact"/>
            </w:pPr>
            <w:r>
              <w:t xml:space="preserve">seed 55555; 250 nm, 45 WO₃ spheres</w:t>
            </w:r>
          </w:p>
        </w:tc>
        <w:tc>
          <w:tcPr/>
          <w:p>
            <w:pPr>
              <w:pStyle w:val="Compact"/>
            </w:pPr>
            <w:r>
              <w:t xml:space="preserve">Composition-equivalent binary</w:t>
            </w:r>
          </w:p>
        </w:tc>
      </w:tr>
      <w:tr>
        <w:tc>
          <w:tcPr/>
          <w:p>
            <w:pPr>
              <w:pStyle w:val="Compact"/>
            </w:pPr>
            <w:r>
              <w:t xml:space="preserve">HDPE/BaWO₄</w:t>
            </w:r>
          </w:p>
        </w:tc>
        <w:tc>
          <w:tcPr/>
          <w:p>
            <w:pPr>
              <w:pStyle w:val="Compact"/>
            </w:pPr>
            <w:r>
              <w:t xml:space="preserve">seed 13579; XCOM baseline</w:t>
            </w:r>
          </w:p>
        </w:tc>
        <w:tc>
          <w:tcPr/>
          <w:p>
            <w:pPr>
              <w:pStyle w:val="Compact"/>
            </w:pPr>
            <w:r>
              <w:t xml:space="preserve">seed 11111; 1 µm, 2,888 BaWO₄ spheres</w:t>
            </w:r>
          </w:p>
        </w:tc>
        <w:tc>
          <w:tcPr/>
          <w:p>
            <w:pPr>
              <w:pStyle w:val="Compact"/>
            </w:pPr>
            <w:r>
              <w:t xml:space="preserve">seed 66666; 250 nm, 45 BaWO₄ spheres</w:t>
            </w:r>
          </w:p>
        </w:tc>
        <w:tc>
          <w:tcPr/>
          <w:p>
            <w:pPr>
              <w:pStyle w:val="Compact"/>
            </w:pPr>
            <w:r>
              <w:t xml:space="preserve">Composition-equivalent binary</w:t>
            </w:r>
          </w:p>
        </w:tc>
      </w:tr>
      <w:tr>
        <w:tc>
          <w:tcPr/>
          <w:p>
            <w:pPr>
              <w:pStyle w:val="Compact"/>
            </w:pPr>
            <w:r>
              <w:t xml:space="preserve">HDPE/Bi₂O₃/WO₃</w:t>
            </w:r>
          </w:p>
        </w:tc>
        <w:tc>
          <w:tcPr/>
          <w:p>
            <w:pPr>
              <w:pStyle w:val="Compact"/>
            </w:pPr>
            <w:r>
              <w:t xml:space="preserve">seed 24681; XCOM baseline</w:t>
            </w:r>
          </w:p>
        </w:tc>
        <w:tc>
          <w:tcPr/>
          <w:p>
            <w:pPr>
              <w:pStyle w:val="Compact"/>
            </w:pPr>
            <w:r>
              <w:t xml:space="preserve">seed 77777; 1 µm, 1,528 Bi₂O₃ spheres only</w:t>
            </w:r>
          </w:p>
        </w:tc>
        <w:tc>
          <w:tcPr/>
          <w:p>
            <w:pPr>
              <w:pStyle w:val="Compact"/>
            </w:pPr>
            <w:r>
              <w:t xml:space="preserve">seed 88888; 250 nm, 24 Bi₂O₃ spheres only</w:t>
            </w:r>
          </w:p>
        </w:tc>
        <w:tc>
          <w:tcPr/>
          <w:p>
            <w:pPr>
              <w:pStyle w:val="Compact"/>
            </w:pPr>
            <w:r>
              <w:t xml:space="preserve">Non-composition-equivalent stress test</w:t>
            </w:r>
          </w:p>
        </w:tc>
      </w:tr>
      <w:tr>
        <w:tc>
          <w:tcPr/>
          <w:p>
            <w:pPr>
              <w:pStyle w:val="Compact"/>
            </w:pPr>
            <w:r>
              <w:t xml:space="preserve">HDPE/Gd₂O₃</w:t>
            </w:r>
          </w:p>
        </w:tc>
        <w:tc>
          <w:tcPr/>
          <w:p>
            <w:pPr>
              <w:pStyle w:val="Compact"/>
            </w:pPr>
            <w:r>
              <w:t xml:space="preserve">seed 35791; XCOM baseline</w:t>
            </w:r>
          </w:p>
        </w:tc>
        <w:tc>
          <w:tcPr/>
          <w:p>
            <w:pPr>
              <w:pStyle w:val="Compact"/>
            </w:pPr>
            <w:r>
              <w:t xml:space="preserve">seed 12345; 1 µm, 2,888 Gd₂O₃ spheres</w:t>
            </w:r>
          </w:p>
        </w:tc>
        <w:tc>
          <w:tcPr/>
          <w:p>
            <w:pPr>
              <w:pStyle w:val="Compact"/>
            </w:pPr>
            <w:r>
              <w:t xml:space="preserve">seed 98765; 250 nm, 45 Gd₂O₃ spheres</w:t>
            </w:r>
          </w:p>
        </w:tc>
        <w:tc>
          <w:tcPr/>
          <w:p>
            <w:pPr>
              <w:pStyle w:val="Compact"/>
            </w:pPr>
            <w:r>
              <w:t xml:space="preserve">Composition-equivalent binary</w:t>
            </w:r>
          </w:p>
        </w:tc>
      </w:tr>
      <w:tr>
        <w:tc>
          <w:tcPr/>
          <w:p>
            <w:pPr>
              <w:pStyle w:val="Compact"/>
            </w:pPr>
            <w:r>
              <w:t xml:space="preserve">HDPE/PbWO₄</w:t>
            </w:r>
          </w:p>
        </w:tc>
        <w:tc>
          <w:tcPr/>
          <w:p>
            <w:pPr>
              <w:pStyle w:val="Compact"/>
            </w:pPr>
            <w:r>
              <w:t xml:space="preserve">seed 46802; XCOM baseline</w:t>
            </w:r>
          </w:p>
        </w:tc>
        <w:tc>
          <w:tcPr/>
          <w:p>
            <w:pPr>
              <w:pStyle w:val="Compact"/>
            </w:pPr>
            <w:r>
              <w:t xml:space="preserve">seed 54321; 1 µm, 2,888 PbWO₄ spheres</w:t>
            </w:r>
          </w:p>
        </w:tc>
        <w:tc>
          <w:tcPr/>
          <w:p>
            <w:pPr>
              <w:pStyle w:val="Compact"/>
            </w:pPr>
            <w:r>
              <w:t xml:space="preserve">seed 67890; 250 nm, 45 PbWO₄ spheres</w:t>
            </w:r>
          </w:p>
        </w:tc>
        <w:tc>
          <w:tcPr/>
          <w:p>
            <w:pPr>
              <w:pStyle w:val="Compact"/>
            </w:pPr>
            <w:r>
              <w:t xml:space="preserve">Composition-equivalent binary</w:t>
            </w:r>
          </w:p>
        </w:tc>
      </w:tr>
    </w:tbl>
    <w:p>
      <w:pPr>
        <w:pStyle w:val="BodyText"/>
      </w:pPr>
      <w:r>
        <w:t xml:space="preserve">The scorer records incident and transmitted counts for a narrow-beam direct estimator. For Regime A, the slab thickness is selected per energy so that the target transmission remains near 0.65. For Regimes B and C, μ/ρ is reconstructed from the RVE path length and transmitted count, then divided by the effective bulk density of the matched material. Statistical intervals use binomial counting uncertainty propagated through</w:t>
      </w:r>
      <w:r>
        <w:t xml:space="preserve"> </w:t>
      </w:r>
      <m:oMath>
        <m:acc>
          <m:accPr>
            <m:chr m:val="̂"/>
          </m:accPr>
          <m:e>
            <m:r>
              <m:t>μ</m:t>
            </m:r>
          </m:e>
        </m:acc>
        <m:r>
          <m:rPr>
            <m:sty m:val="p"/>
          </m:rPr>
          <m:t>=</m:t>
        </m:r>
        <m:r>
          <m:rPr>
            <m:sty m:val="p"/>
          </m:rPr>
          <m:t>−</m:t>
        </m:r>
        <m:r>
          <m:rPr>
            <m:sty m:val="p"/>
          </m:rPr>
          <m:t>ln</m:t>
        </m:r>
        <m:r>
          <m:rPr>
            <m:sty m:val="p"/>
          </m:rPr>
          <m:t>(</m:t>
        </m:r>
        <m:r>
          <m:t>T</m:t>
        </m:r>
        <m:r>
          <m:rPr>
            <m:sty m:val="p"/>
          </m:rPr>
          <m:t>)</m:t>
        </m:r>
        <m:r>
          <m:rPr>
            <m:sty m:val="p"/>
          </m:rPr>
          <m:t>/</m:t>
        </m:r>
        <m:r>
          <m:t>t</m:t>
        </m:r>
      </m:oMath>
      <w:r>
        <w:t xml:space="preserve"> </w:t>
      </w:r>
      <w:r>
        <w:t xml:space="preserve">and then through</w:t>
      </w:r>
      <w:r>
        <w:t xml:space="preserve"> </w:t>
      </w:r>
      <m:oMath>
        <m:acc>
          <m:accPr>
            <m:chr m:val="̂"/>
          </m:accPr>
          <m:e>
            <m:r>
              <m:t>μ</m:t>
            </m:r>
          </m:e>
        </m:acc>
        <m:r>
          <m:rPr>
            <m:sty m:val="p"/>
          </m:rPr>
          <m:t>/</m:t>
        </m:r>
        <m:r>
          <m:t>ρ</m:t>
        </m:r>
      </m:oMath>
      <w:r>
        <w:t xml:space="preserve">.</w:t>
      </w:r>
    </w:p>
    <w:bookmarkEnd w:id="28"/>
    <w:bookmarkStart w:id="29" w:name="acceptance-criteria"/>
    <w:p>
      <w:pPr>
        <w:pStyle w:val="Heading3"/>
      </w:pPr>
      <w:r>
        <w:t xml:space="preserve">4.6 Acceptance criteria</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Criterion</w:t>
            </w:r>
          </w:p>
        </w:tc>
        <w:tc>
          <w:tcPr/>
          <w:p>
            <w:pPr>
              <w:pStyle w:val="Compact"/>
            </w:pPr>
            <w:r>
              <w:t xml:space="preserve">Metric</w:t>
            </w:r>
          </w:p>
        </w:tc>
        <w:tc>
          <w:tcPr/>
          <w:p>
            <w:pPr>
              <w:pStyle w:val="Compact"/>
              <w:jc w:val="right"/>
            </w:pPr>
            <w:r>
              <w:t xml:space="preserve">Gate</w:t>
            </w:r>
          </w:p>
        </w:tc>
      </w:tr>
      <w:tr>
        <w:tc>
          <w:tcPr/>
          <w:p>
            <w:pPr>
              <w:pStyle w:val="Compact"/>
            </w:pPr>
            <w:r>
              <w:t xml:space="preserve">Regime A vs XCOM</w:t>
            </w:r>
          </w:p>
        </w:tc>
        <w:tc>
          <w:tcPr/>
          <w:p>
            <w:pPr>
              <w:pStyle w:val="Compact"/>
            </w:pPr>
            <w:r>
              <w:t xml:space="preserve">mean abs.</w:t>
            </w:r>
            <w:r>
              <w:t xml:space="preserve"> </w:t>
            </w:r>
            <m:oMath>
              <m:r>
                <m:rPr>
                  <m:sty m:val="p"/>
                </m:rPr>
                <m:t>Δ</m:t>
              </m:r>
              <m:r>
                <m:rPr>
                  <m:sty m:val="p"/>
                </m:rPr>
                <m:t>(</m:t>
              </m:r>
              <m:r>
                <m:t>μ</m:t>
              </m:r>
              <m:r>
                <m:rPr>
                  <m:sty m:val="p"/>
                </m:rPr>
                <m:t>/</m:t>
              </m:r>
              <m:r>
                <m:t>ρ</m:t>
              </m:r>
              <m:r>
                <m:rPr>
                  <m:sty m:val="p"/>
                </m:rPr>
                <m:t>)</m:t>
              </m:r>
            </m:oMath>
            <w:r>
              <w:t xml:space="preserve"> </w:t>
            </w:r>
            <w:r>
              <w:t xml:space="preserve">over 10 energies</w:t>
            </w:r>
          </w:p>
        </w:tc>
        <w:tc>
          <w:tcPr/>
          <w:p>
            <w:pPr>
              <w:pStyle w:val="Compact"/>
              <w:jc w:val="right"/>
            </w:pPr>
            <w:r>
              <w:t xml:space="preserve">≤1.5%</w:t>
            </w:r>
          </w:p>
        </w:tc>
      </w:tr>
      <w:tr>
        <w:tc>
          <w:tcPr/>
          <w:p>
            <w:pPr>
              <w:pStyle w:val="Compact"/>
            </w:pPr>
            <w:r>
              <w:t xml:space="preserve">Regime A vs XCOM</w:t>
            </w:r>
          </w:p>
        </w:tc>
        <w:tc>
          <w:tcPr/>
          <w:p>
            <w:pPr>
              <w:pStyle w:val="Compact"/>
            </w:pPr>
            <w:r>
              <w:t xml:space="preserve">max abs.</w:t>
            </w:r>
            <w:r>
              <w:t xml:space="preserve"> </w:t>
            </w:r>
            <m:oMath>
              <m:r>
                <m:rPr>
                  <m:sty m:val="p"/>
                </m:rPr>
                <m:t>Δ</m:t>
              </m:r>
              <m:r>
                <m:rPr>
                  <m:sty m:val="p"/>
                </m:rPr>
                <m:t>(</m:t>
              </m:r>
              <m:r>
                <m:t>μ</m:t>
              </m:r>
              <m:r>
                <m:rPr>
                  <m:sty m:val="p"/>
                </m:rPr>
                <m:t>/</m:t>
              </m:r>
              <m:r>
                <m:t>ρ</m:t>
              </m:r>
              <m:r>
                <m:rPr>
                  <m:sty m:val="p"/>
                </m:rPr>
                <m:t>)</m:t>
              </m:r>
            </m:oMath>
            <w:r>
              <w:t xml:space="preserve"> </w:t>
            </w:r>
            <w:r>
              <w:t xml:space="preserve">over 10 energies</w:t>
            </w:r>
          </w:p>
        </w:tc>
        <w:tc>
          <w:tcPr/>
          <w:p>
            <w:pPr>
              <w:pStyle w:val="Compact"/>
              <w:jc w:val="right"/>
            </w:pPr>
            <w:r>
              <w:t xml:space="preserve">≤5.0%</w:t>
            </w:r>
          </w:p>
        </w:tc>
      </w:tr>
      <w:tr>
        <w:tc>
          <w:tcPr/>
          <w:p>
            <w:pPr>
              <w:pStyle w:val="Compact"/>
            </w:pPr>
            <w:r>
              <w:t xml:space="preserve">H1 cross-regime</w:t>
            </w:r>
          </w:p>
        </w:tc>
        <w:tc>
          <w:tcPr/>
          <w:p>
            <w:pPr>
              <w:pStyle w:val="Compact"/>
            </w:pPr>
            <w:r>
              <w:t xml:space="preserve">abs.</w:t>
            </w:r>
            <w:r>
              <w:t xml:space="preserve"> </w:t>
            </w:r>
            <m:oMath>
              <m:r>
                <m:rPr>
                  <m:sty m:val="p"/>
                </m:rPr>
                <m:t>(</m:t>
              </m:r>
              <m:sSub>
                <m:e>
                  <m:r>
                    <m:t>μ</m:t>
                  </m:r>
                </m:e>
                <m:sub>
                  <m:r>
                    <m:t>B</m:t>
                  </m:r>
                </m:sub>
              </m:sSub>
              <m:r>
                <m:rPr>
                  <m:sty m:val="p"/>
                </m:rPr>
                <m:t>/</m:t>
              </m:r>
              <m:sSub>
                <m:e>
                  <m:r>
                    <m:t>μ</m:t>
                  </m:r>
                </m:e>
                <m:sub>
                  <m:r>
                    <m:t>A</m:t>
                  </m:r>
                </m:sub>
              </m:sSub>
              <m:r>
                <m:rPr>
                  <m:sty m:val="p"/>
                </m:rPr>
                <m:t>−</m:t>
              </m:r>
              <m:r>
                <m:t>1</m:t>
              </m:r>
              <m:r>
                <m:rPr>
                  <m:sty m:val="p"/>
                </m:rPr>
                <m:t>)</m:t>
              </m:r>
            </m:oMath>
            <w:r>
              <w:t xml:space="preserve"> </w:t>
            </w:r>
            <w:r>
              <w:t xml:space="preserve">at 30–150 keV</w:t>
            </w:r>
          </w:p>
        </w:tc>
        <w:tc>
          <w:tcPr/>
          <w:p>
            <w:pPr>
              <w:pStyle w:val="Compact"/>
              <w:jc w:val="right"/>
            </w:pPr>
            <w:r>
              <w:t xml:space="preserve">≤3%</w:t>
            </w:r>
          </w:p>
        </w:tc>
      </w:tr>
      <w:tr>
        <w:tc>
          <w:tcPr/>
          <w:p>
            <w:pPr>
              <w:pStyle w:val="Compact"/>
            </w:pPr>
            <w:r>
              <w:t xml:space="preserve">Regime C feasibility</w:t>
            </w:r>
          </w:p>
        </w:tc>
        <w:tc>
          <w:tcPr/>
          <w:p>
            <w:pPr>
              <w:pStyle w:val="Compact"/>
            </w:pPr>
            <w:r>
              <w:t xml:space="preserve">Reported against A with finite-RVE and count caveats</w:t>
            </w:r>
          </w:p>
        </w:tc>
        <w:tc>
          <w:tcPr/>
          <w:p>
            <w:pPr>
              <w:pStyle w:val="Compact"/>
              <w:jc w:val="right"/>
            </w:pPr>
            <w:r>
              <w:t xml:space="preserve">descriptive</w:t>
            </w:r>
          </w:p>
        </w:tc>
      </w:tr>
    </w:tbl>
    <w:p>
      <w:pPr>
        <w:pStyle w:val="BodyText"/>
      </w:pPr>
      <w:r>
        <w:t xml:space="preserve">The strict H1 gate is applied to Regime B for composition-equivalent binary materials only. Regime C is reported separately because the adopted 250 nm RVE contains only 45 particles at φ=0.189 and therefore includes larger finite-RVE fluctuations. The ternary explicit-RVE ratios are excluded from H1 pass/fail status because the explicit geometry spatialises Bi₂O₃ only and is not composition-equivalent to the full Bi₂O₃+WO₃ effective medium.</w:t>
      </w:r>
    </w:p>
    <w:p>
      <w:r>
        <w:pict>
          <v:rect style="width:0;height:1.5pt" o:hralign="center" o:hrstd="t" o:hr="t"/>
        </w:pict>
      </w:r>
    </w:p>
    <w:bookmarkEnd w:id="29"/>
    <w:bookmarkEnd w:id="30"/>
    <w:bookmarkStart w:id="48" w:name="results"/>
    <w:p>
      <w:pPr>
        <w:pStyle w:val="Heading2"/>
      </w:pPr>
      <w:r>
        <w:t xml:space="preserve">5. Results</w:t>
      </w:r>
    </w:p>
    <w:bookmarkStart w:id="37" w:name="X566b0665634737e74b49b5b0dfc9b028abe1c09"/>
    <w:p>
      <w:pPr>
        <w:pStyle w:val="Heading3"/>
      </w:pPr>
      <w:r>
        <w:t xml:space="preserve">5.1 Regime A XCOM validation across six chemistries</w:t>
      </w:r>
    </w:p>
    <w:p>
      <w:pPr>
        <w:pStyle w:val="FirstParagraph"/>
      </w:pPr>
      <w:r>
        <w:t xml:space="preserve">Figure 1 and Table 1 show that all six Regime-A materials pass the XCOM acceptance gates. The largest deviation is observed for Gd₂O₃ at 50 keV, immediately below the Gd K-edge at 50.239 keV, where small interpolation differences between EPDL97 and XCOM are expected to be amplified.</w:t>
      </w:r>
    </w:p>
    <w:p>
      <w:pPr>
        <w:pStyle w:val="CaptionedFigure"/>
      </w:pPr>
      <w:r>
        <w:drawing>
          <wp:inline>
            <wp:extent cx="5334000" cy="3400650"/>
            <wp:effectExtent b="0" l="0" r="0" t="0"/>
            <wp:docPr descr="Figure 1. Six-material Regime-A validation against NIST XCOM. Panels A-F show HDPE/Bi₂O₃, HDPE/WO₃, HDPE/BaWO₄, HDPE/Bi₂O₃/WO₃, HDPE/Gd₂O₃, and HDPE/PbWO₄, respectively. Symbols are Geant4 G4EmLivermorePhysics effective-medium results with 95% statistical intervals; dashed black curves are NIST XCOM references. Dotted vertical lines mark the material-specific K-edges." title="" id="32" name="Picture"/>
            <a:graphic>
              <a:graphicData uri="http://schemas.openxmlformats.org/drawingml/2006/picture">
                <pic:pic>
                  <pic:nvPicPr>
                    <pic:cNvPr descr="../../../results/paper3/figures/v10/paper3_v10_fig1_six_material_xcom_validation.png" id="33" name="Picture"/>
                    <pic:cNvPicPr>
                      <a:picLocks noChangeArrowheads="1" noChangeAspect="1"/>
                    </pic:cNvPicPr>
                  </pic:nvPicPr>
                  <pic:blipFill>
                    <a:blip r:embed="rId31"/>
                    <a:stretch>
                      <a:fillRect/>
                    </a:stretch>
                  </pic:blipFill>
                  <pic:spPr bwMode="auto">
                    <a:xfrm>
                      <a:off x="0" y="0"/>
                      <a:ext cx="5334000" cy="3400650"/>
                    </a:xfrm>
                    <a:prstGeom prst="rect">
                      <a:avLst/>
                    </a:prstGeom>
                    <a:noFill/>
                    <a:ln w="9525">
                      <a:noFill/>
                      <a:headEnd/>
                      <a:tailEnd/>
                    </a:ln>
                  </pic:spPr>
                </pic:pic>
              </a:graphicData>
            </a:graphic>
          </wp:inline>
        </w:drawing>
      </w:r>
    </w:p>
    <w:p>
      <w:pPr>
        <w:pStyle w:val="ImageCaption"/>
      </w:pPr>
      <w:r>
        <w:t xml:space="preserve">Figure 1. Six-material Regime-A validation against NIST XCOM. Panels A-F show HDPE/Bi₂O₃, HDPE/WO₃, HDPE/BaWO₄, HDPE/Bi₂O₃/WO₃, HDPE/Gd₂O₃, and HDPE/PbWO₄, respectively. Symbols are Geant4</w:t>
      </w:r>
      <w:r>
        <w:t xml:space="preserve"> </w:t>
      </w:r>
      <w:r>
        <w:rPr>
          <w:rStyle w:val="VerbatimChar"/>
        </w:rPr>
        <w:t xml:space="preserve">G4EmLivermorePhysics</w:t>
      </w:r>
      <w:r>
        <w:t xml:space="preserve"> </w:t>
      </w:r>
      <w:r>
        <w:t xml:space="preserve">effective-medium results with 95% statistical intervals; dashed black curves are NIST XCOM references. Dotted vertical lines mark the material-specific K-edges.</w:t>
      </w:r>
    </w:p>
    <w:p>
      <w:pPr>
        <w:pStyle w:val="BodyText"/>
      </w:pPr>
      <w:r>
        <w:rPr>
          <w:b/>
          <w:bCs/>
        </w:rPr>
        <w:t xml:space="preserve">Table 1.</w:t>
      </w:r>
      <w:r>
        <w:t xml:space="preserve"> </w:t>
      </w:r>
      <w:r>
        <w:t xml:space="preserve">Regime-A XCOM acceptance summary.</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Material</w:t>
            </w:r>
          </w:p>
        </w:tc>
        <w:tc>
          <w:tcPr/>
          <w:p>
            <w:pPr>
              <w:pStyle w:val="Compact"/>
              <w:jc w:val="right"/>
            </w:pPr>
            <w:r>
              <w:t xml:space="preserve">Mean abs. Δ (%)</w:t>
            </w:r>
          </w:p>
        </w:tc>
        <w:tc>
          <w:tcPr/>
          <w:p>
            <w:pPr>
              <w:pStyle w:val="Compact"/>
              <w:jc w:val="right"/>
            </w:pPr>
            <w:r>
              <w:t xml:space="preserve">Max abs. Δ (%)</w:t>
            </w:r>
          </w:p>
        </w:tc>
        <w:tc>
          <w:tcPr/>
          <w:p>
            <w:pPr>
              <w:pStyle w:val="Compact"/>
              <w:jc w:val="right"/>
            </w:pPr>
            <w:r>
              <w:t xml:space="preserve">Max-deviation energy</w:t>
            </w:r>
          </w:p>
        </w:tc>
        <w:tc>
          <w:tcPr/>
          <w:p>
            <w:pPr>
              <w:pStyle w:val="Compact"/>
            </w:pPr>
            <w:r>
              <w:t xml:space="preserve">Acceptance</w:t>
            </w:r>
          </w:p>
        </w:tc>
      </w:tr>
      <w:tr>
        <w:tc>
          <w:tcPr/>
          <w:p>
            <w:pPr>
              <w:pStyle w:val="Compact"/>
            </w:pPr>
            <w:r>
              <w:t xml:space="preserve">HDPE/Bi₂O₃</w:t>
            </w:r>
          </w:p>
        </w:tc>
        <w:tc>
          <w:tcPr/>
          <w:p>
            <w:pPr>
              <w:pStyle w:val="Compact"/>
              <w:jc w:val="right"/>
            </w:pPr>
            <w:r>
              <w:t xml:space="preserve">0.723</w:t>
            </w:r>
          </w:p>
        </w:tc>
        <w:tc>
          <w:tcPr/>
          <w:p>
            <w:pPr>
              <w:pStyle w:val="Compact"/>
              <w:jc w:val="right"/>
            </w:pPr>
            <w:r>
              <w:t xml:space="preserve">2.450</w:t>
            </w:r>
          </w:p>
        </w:tc>
        <w:tc>
          <w:tcPr/>
          <w:p>
            <w:pPr>
              <w:pStyle w:val="Compact"/>
              <w:jc w:val="right"/>
            </w:pPr>
            <w:r>
              <w:t xml:space="preserve">80 keV</w:t>
            </w:r>
          </w:p>
        </w:tc>
        <w:tc>
          <w:tcPr/>
          <w:p>
            <w:pPr>
              <w:pStyle w:val="Compact"/>
            </w:pPr>
            <w:r>
              <w:t xml:space="preserve">Pass</w:t>
            </w:r>
          </w:p>
        </w:tc>
      </w:tr>
      <w:tr>
        <w:tc>
          <w:tcPr/>
          <w:p>
            <w:pPr>
              <w:pStyle w:val="Compact"/>
            </w:pPr>
            <w:r>
              <w:t xml:space="preserve">HDPE/WO₃</w:t>
            </w:r>
          </w:p>
        </w:tc>
        <w:tc>
          <w:tcPr/>
          <w:p>
            <w:pPr>
              <w:pStyle w:val="Compact"/>
              <w:jc w:val="right"/>
            </w:pPr>
            <w:r>
              <w:t xml:space="preserve">0.426</w:t>
            </w:r>
          </w:p>
        </w:tc>
        <w:tc>
          <w:tcPr/>
          <w:p>
            <w:pPr>
              <w:pStyle w:val="Compact"/>
              <w:jc w:val="right"/>
            </w:pPr>
            <w:r>
              <w:t xml:space="preserve">0.967</w:t>
            </w:r>
          </w:p>
        </w:tc>
        <w:tc>
          <w:tcPr/>
          <w:p>
            <w:pPr>
              <w:pStyle w:val="Compact"/>
              <w:jc w:val="right"/>
            </w:pPr>
            <w:r>
              <w:t xml:space="preserve">50 keV</w:t>
            </w:r>
          </w:p>
        </w:tc>
        <w:tc>
          <w:tcPr/>
          <w:p>
            <w:pPr>
              <w:pStyle w:val="Compact"/>
            </w:pPr>
            <w:r>
              <w:t xml:space="preserve">Pass</w:t>
            </w:r>
          </w:p>
        </w:tc>
      </w:tr>
      <w:tr>
        <w:tc>
          <w:tcPr/>
          <w:p>
            <w:pPr>
              <w:pStyle w:val="Compact"/>
            </w:pPr>
            <w:r>
              <w:t xml:space="preserve">HDPE/BaWO₄</w:t>
            </w:r>
          </w:p>
        </w:tc>
        <w:tc>
          <w:tcPr/>
          <w:p>
            <w:pPr>
              <w:pStyle w:val="Compact"/>
              <w:jc w:val="right"/>
            </w:pPr>
            <w:r>
              <w:t xml:space="preserve">0.339</w:t>
            </w:r>
          </w:p>
        </w:tc>
        <w:tc>
          <w:tcPr/>
          <w:p>
            <w:pPr>
              <w:pStyle w:val="Compact"/>
              <w:jc w:val="right"/>
            </w:pPr>
            <w:r>
              <w:t xml:space="preserve">1.011</w:t>
            </w:r>
          </w:p>
        </w:tc>
        <w:tc>
          <w:tcPr/>
          <w:p>
            <w:pPr>
              <w:pStyle w:val="Compact"/>
              <w:jc w:val="right"/>
            </w:pPr>
            <w:r>
              <w:t xml:space="preserve">356 keV</w:t>
            </w:r>
          </w:p>
        </w:tc>
        <w:tc>
          <w:tcPr/>
          <w:p>
            <w:pPr>
              <w:pStyle w:val="Compact"/>
            </w:pPr>
            <w:r>
              <w:t xml:space="preserve">Pass</w:t>
            </w:r>
          </w:p>
        </w:tc>
      </w:tr>
      <w:tr>
        <w:tc>
          <w:tcPr/>
          <w:p>
            <w:pPr>
              <w:pStyle w:val="Compact"/>
            </w:pPr>
            <w:r>
              <w:t xml:space="preserve">HDPE/Bi₂O₃/WO₃</w:t>
            </w:r>
          </w:p>
        </w:tc>
        <w:tc>
          <w:tcPr/>
          <w:p>
            <w:pPr>
              <w:pStyle w:val="Compact"/>
              <w:jc w:val="right"/>
            </w:pPr>
            <w:r>
              <w:t xml:space="preserve">0.498</w:t>
            </w:r>
          </w:p>
        </w:tc>
        <w:tc>
          <w:tcPr/>
          <w:p>
            <w:pPr>
              <w:pStyle w:val="Compact"/>
              <w:jc w:val="right"/>
            </w:pPr>
            <w:r>
              <w:t xml:space="preserve">0.987</w:t>
            </w:r>
          </w:p>
        </w:tc>
        <w:tc>
          <w:tcPr/>
          <w:p>
            <w:pPr>
              <w:pStyle w:val="Compact"/>
              <w:jc w:val="right"/>
            </w:pPr>
            <w:r>
              <w:t xml:space="preserve">356 keV</w:t>
            </w:r>
          </w:p>
        </w:tc>
        <w:tc>
          <w:tcPr/>
          <w:p>
            <w:pPr>
              <w:pStyle w:val="Compact"/>
            </w:pPr>
            <w:r>
              <w:t xml:space="preserve">Pass</w:t>
            </w:r>
          </w:p>
        </w:tc>
      </w:tr>
      <w:tr>
        <w:tc>
          <w:tcPr/>
          <w:p>
            <w:pPr>
              <w:pStyle w:val="Compact"/>
            </w:pPr>
            <w:r>
              <w:t xml:space="preserve">HDPE/Gd₂O₃</w:t>
            </w:r>
          </w:p>
        </w:tc>
        <w:tc>
          <w:tcPr/>
          <w:p>
            <w:pPr>
              <w:pStyle w:val="Compact"/>
              <w:jc w:val="right"/>
            </w:pPr>
            <w:r>
              <w:t xml:space="preserve">0.793</w:t>
            </w:r>
          </w:p>
        </w:tc>
        <w:tc>
          <w:tcPr/>
          <w:p>
            <w:pPr>
              <w:pStyle w:val="Compact"/>
              <w:jc w:val="right"/>
            </w:pPr>
            <w:r>
              <w:t xml:space="preserve">2.933</w:t>
            </w:r>
          </w:p>
        </w:tc>
        <w:tc>
          <w:tcPr/>
          <w:p>
            <w:pPr>
              <w:pStyle w:val="Compact"/>
              <w:jc w:val="right"/>
            </w:pPr>
            <w:r>
              <w:t xml:space="preserve">50 keV</w:t>
            </w:r>
          </w:p>
        </w:tc>
        <w:tc>
          <w:tcPr/>
          <w:p>
            <w:pPr>
              <w:pStyle w:val="Compact"/>
            </w:pPr>
            <w:r>
              <w:t xml:space="preserve">Pass</w:t>
            </w:r>
          </w:p>
        </w:tc>
      </w:tr>
      <w:tr>
        <w:tc>
          <w:tcPr/>
          <w:p>
            <w:pPr>
              <w:pStyle w:val="Compact"/>
            </w:pPr>
            <w:r>
              <w:t xml:space="preserve">HDPE/PbWO₄</w:t>
            </w:r>
          </w:p>
        </w:tc>
        <w:tc>
          <w:tcPr/>
          <w:p>
            <w:pPr>
              <w:pStyle w:val="Compact"/>
              <w:jc w:val="right"/>
            </w:pPr>
            <w:r>
              <w:t xml:space="preserve">0.511</w:t>
            </w:r>
          </w:p>
        </w:tc>
        <w:tc>
          <w:tcPr/>
          <w:p>
            <w:pPr>
              <w:pStyle w:val="Compact"/>
              <w:jc w:val="right"/>
            </w:pPr>
            <w:r>
              <w:t xml:space="preserve">1.012</w:t>
            </w:r>
          </w:p>
        </w:tc>
        <w:tc>
          <w:tcPr/>
          <w:p>
            <w:pPr>
              <w:pStyle w:val="Compact"/>
              <w:jc w:val="right"/>
            </w:pPr>
            <w:r>
              <w:t xml:space="preserve">356 keV</w:t>
            </w:r>
          </w:p>
        </w:tc>
        <w:tc>
          <w:tcPr/>
          <w:p>
            <w:pPr>
              <w:pStyle w:val="Compact"/>
            </w:pPr>
            <w:r>
              <w:t xml:space="preserve">Pass</w:t>
            </w:r>
          </w:p>
        </w:tc>
      </w:tr>
    </w:tbl>
    <w:p>
      <w:pPr>
        <w:pStyle w:val="BodyText"/>
      </w:pPr>
      <w:r>
        <w:rPr>
          <w:b/>
          <w:bCs/>
        </w:rPr>
        <w:t xml:space="preserve">Table 2.</w:t>
      </w:r>
      <w:r>
        <w:t xml:space="preserve"> </w:t>
      </w:r>
      <w:r>
        <w:t xml:space="preserve">Regime-A simulated mass attenuation coefficients,</w:t>
      </w:r>
      <w:r>
        <w:t xml:space="preserve"> </w:t>
      </w:r>
      <m:oMath>
        <m:r>
          <m:rPr>
            <m:sty m:val="p"/>
          </m:rPr>
          <m:t>(</m:t>
        </m:r>
        <m:r>
          <m:t>μ</m:t>
        </m:r>
        <m:r>
          <m:rPr>
            <m:sty m:val="p"/>
          </m:rPr>
          <m:t>/</m:t>
        </m:r>
        <m:r>
          <m:t>ρ</m:t>
        </m:r>
        <m:sSub>
          <m:e>
            <m:r>
              <m:rPr>
                <m:sty m:val="p"/>
              </m:rPr>
              <m:t>)</m:t>
            </m:r>
          </m:e>
          <m:sub>
            <m:r>
              <m:rPr>
                <m:nor/>
                <m:sty m:val="p"/>
              </m:rPr>
              <m:t>sim</m:t>
            </m:r>
          </m:sub>
        </m:sSub>
      </m:oMath>
      <w:r>
        <w:t xml:space="preserve">, in cm</w:t>
      </w:r>
      <m:oMath>
        <m:sSup>
          <m:e>
            <m:r>
              <m:t>​</m:t>
            </m:r>
          </m:e>
          <m:sup>
            <m:r>
              <m:t>2</m:t>
            </m:r>
          </m:sup>
        </m:sSup>
      </m:oMath>
      <w:r>
        <w:t xml:space="preserve"> </w:t>
      </w:r>
      <w:r>
        <w:t xml:space="preserve">g</w:t>
      </w:r>
      <m:oMath>
        <m:sSup>
          <m:e>
            <m:r>
              <m:t>​</m:t>
            </m:r>
          </m:e>
          <m:sup>
            <m:r>
              <m:rPr>
                <m:sty m:val="p"/>
              </m:rPr>
              <m:t>−</m:t>
            </m:r>
            <m:r>
              <m:t>1</m:t>
            </m:r>
          </m:sup>
        </m:sSup>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E (keV)</w:t>
            </w:r>
          </w:p>
        </w:tc>
        <w:tc>
          <w:tcPr/>
          <w:p>
            <w:pPr>
              <w:pStyle w:val="Compact"/>
              <w:jc w:val="right"/>
            </w:pPr>
            <w:r>
              <w:t xml:space="preserve">Bi₂O₃</w:t>
            </w:r>
          </w:p>
        </w:tc>
        <w:tc>
          <w:tcPr/>
          <w:p>
            <w:pPr>
              <w:pStyle w:val="Compact"/>
              <w:jc w:val="right"/>
            </w:pPr>
            <w:r>
              <w:t xml:space="preserve">WO₃</w:t>
            </w:r>
          </w:p>
        </w:tc>
        <w:tc>
          <w:tcPr/>
          <w:p>
            <w:pPr>
              <w:pStyle w:val="Compact"/>
              <w:jc w:val="right"/>
            </w:pPr>
            <w:r>
              <w:t xml:space="preserve">BaWO₄</w:t>
            </w:r>
          </w:p>
        </w:tc>
        <w:tc>
          <w:tcPr/>
          <w:p>
            <w:pPr>
              <w:pStyle w:val="Compact"/>
              <w:jc w:val="right"/>
            </w:pPr>
            <w:r>
              <w:t xml:space="preserve">Bi₂O₃/WO₃</w:t>
            </w:r>
          </w:p>
        </w:tc>
        <w:tc>
          <w:tcPr/>
          <w:p>
            <w:pPr>
              <w:pStyle w:val="Compact"/>
              <w:jc w:val="right"/>
            </w:pPr>
            <w:r>
              <w:t xml:space="preserve">Gd₂O₃</w:t>
            </w:r>
          </w:p>
        </w:tc>
        <w:tc>
          <w:tcPr/>
          <w:p>
            <w:pPr>
              <w:pStyle w:val="Compact"/>
              <w:jc w:val="right"/>
            </w:pPr>
            <w:r>
              <w:t xml:space="preserve">PbWO₄</w:t>
            </w:r>
          </w:p>
        </w:tc>
      </w:tr>
      <w:tr>
        <w:tc>
          <w:tcPr/>
          <w:p>
            <w:pPr>
              <w:pStyle w:val="Compact"/>
              <w:jc w:val="right"/>
            </w:pPr>
            <w:r>
              <w:t xml:space="preserve">30</w:t>
            </w:r>
          </w:p>
        </w:tc>
        <w:tc>
          <w:tcPr/>
          <w:p>
            <w:pPr>
              <w:pStyle w:val="Compact"/>
              <w:jc w:val="right"/>
            </w:pPr>
            <w:r>
              <w:t xml:space="preserve">19.542</w:t>
            </w:r>
          </w:p>
        </w:tc>
        <w:tc>
          <w:tcPr/>
          <w:p>
            <w:pPr>
              <w:pStyle w:val="Compact"/>
              <w:jc w:val="right"/>
            </w:pPr>
            <w:r>
              <w:t xml:space="preserve">11.661</w:t>
            </w:r>
          </w:p>
        </w:tc>
        <w:tc>
          <w:tcPr/>
          <w:p>
            <w:pPr>
              <w:pStyle w:val="Compact"/>
              <w:jc w:val="right"/>
            </w:pPr>
            <w:r>
              <w:t xml:space="preserve">8.730</w:t>
            </w:r>
          </w:p>
        </w:tc>
        <w:tc>
          <w:tcPr/>
          <w:p>
            <w:pPr>
              <w:pStyle w:val="Compact"/>
              <w:jc w:val="right"/>
            </w:pPr>
            <w:r>
              <w:t xml:space="preserve">16.247</w:t>
            </w:r>
          </w:p>
        </w:tc>
        <w:tc>
          <w:tcPr/>
          <w:p>
            <w:pPr>
              <w:pStyle w:val="Compact"/>
              <w:jc w:val="right"/>
            </w:pPr>
            <w:r>
              <w:t xml:space="preserve">8.251</w:t>
            </w:r>
          </w:p>
        </w:tc>
        <w:tc>
          <w:tcPr/>
          <w:p>
            <w:pPr>
              <w:pStyle w:val="Compact"/>
              <w:jc w:val="right"/>
            </w:pPr>
            <w:r>
              <w:t xml:space="preserve">15.629</w:t>
            </w:r>
          </w:p>
        </w:tc>
      </w:tr>
      <w:tr>
        <w:tc>
          <w:tcPr/>
          <w:p>
            <w:pPr>
              <w:pStyle w:val="Compact"/>
              <w:jc w:val="right"/>
            </w:pPr>
            <w:r>
              <w:t xml:space="preserve">50</w:t>
            </w:r>
          </w:p>
        </w:tc>
        <w:tc>
          <w:tcPr/>
          <w:p>
            <w:pPr>
              <w:pStyle w:val="Compact"/>
              <w:jc w:val="right"/>
            </w:pPr>
            <w:r>
              <w:t xml:space="preserve">5.218</w:t>
            </w:r>
          </w:p>
        </w:tc>
        <w:tc>
          <w:tcPr/>
          <w:p>
            <w:pPr>
              <w:pStyle w:val="Compact"/>
              <w:jc w:val="right"/>
            </w:pPr>
            <w:r>
              <w:t xml:space="preserve">3.080</w:t>
            </w:r>
          </w:p>
        </w:tc>
        <w:tc>
          <w:tcPr/>
          <w:p>
            <w:pPr>
              <w:pStyle w:val="Compact"/>
              <w:jc w:val="right"/>
            </w:pPr>
            <w:r>
              <w:t xml:space="preserve">4.754</w:t>
            </w:r>
          </w:p>
        </w:tc>
        <w:tc>
          <w:tcPr/>
          <w:p>
            <w:pPr>
              <w:pStyle w:val="Compact"/>
              <w:jc w:val="right"/>
            </w:pPr>
            <w:r>
              <w:t xml:space="preserve">4.322</w:t>
            </w:r>
          </w:p>
        </w:tc>
        <w:tc>
          <w:tcPr/>
          <w:p>
            <w:pPr>
              <w:pStyle w:val="Compact"/>
              <w:jc w:val="right"/>
            </w:pPr>
            <w:r>
              <w:t xml:space="preserve">2.152</w:t>
            </w:r>
          </w:p>
        </w:tc>
        <w:tc>
          <w:tcPr/>
          <w:p>
            <w:pPr>
              <w:pStyle w:val="Compact"/>
              <w:jc w:val="right"/>
            </w:pPr>
            <w:r>
              <w:t xml:space="preserve">4.165</w:t>
            </w:r>
          </w:p>
        </w:tc>
      </w:tr>
      <w:tr>
        <w:tc>
          <w:tcPr/>
          <w:p>
            <w:pPr>
              <w:pStyle w:val="Compact"/>
              <w:jc w:val="right"/>
            </w:pPr>
            <w:r>
              <w:t xml:space="preserve">80</w:t>
            </w:r>
          </w:p>
        </w:tc>
        <w:tc>
          <w:tcPr/>
          <w:p>
            <w:pPr>
              <w:pStyle w:val="Compact"/>
              <w:jc w:val="right"/>
            </w:pPr>
            <w:r>
              <w:t xml:space="preserve">1.581</w:t>
            </w:r>
          </w:p>
        </w:tc>
        <w:tc>
          <w:tcPr/>
          <w:p>
            <w:pPr>
              <w:pStyle w:val="Compact"/>
              <w:jc w:val="right"/>
            </w:pPr>
            <w:r>
              <w:t xml:space="preserve">4.045</w:t>
            </w:r>
          </w:p>
        </w:tc>
        <w:tc>
          <w:tcPr/>
          <w:p>
            <w:pPr>
              <w:pStyle w:val="Compact"/>
              <w:jc w:val="right"/>
            </w:pPr>
            <w:r>
              <w:t xml:space="preserve">3.183</w:t>
            </w:r>
          </w:p>
        </w:tc>
        <w:tc>
          <w:tcPr/>
          <w:p>
            <w:pPr>
              <w:pStyle w:val="Compact"/>
              <w:jc w:val="right"/>
            </w:pPr>
            <w:r>
              <w:t xml:space="preserve">2.781</w:t>
            </w:r>
          </w:p>
        </w:tc>
        <w:tc>
          <w:tcPr/>
          <w:p>
            <w:pPr>
              <w:pStyle w:val="Compact"/>
              <w:jc w:val="right"/>
            </w:pPr>
            <w:r>
              <w:t xml:space="preserve">3.135</w:t>
            </w:r>
          </w:p>
        </w:tc>
        <w:tc>
          <w:tcPr/>
          <w:p>
            <w:pPr>
              <w:pStyle w:val="Compact"/>
              <w:jc w:val="right"/>
            </w:pPr>
            <w:r>
              <w:t xml:space="preserve">2.928</w:t>
            </w:r>
          </w:p>
        </w:tc>
      </w:tr>
      <w:tr>
        <w:tc>
          <w:tcPr/>
          <w:p>
            <w:pPr>
              <w:pStyle w:val="Compact"/>
              <w:jc w:val="right"/>
            </w:pPr>
            <w:r>
              <w:t xml:space="preserve">100</w:t>
            </w:r>
          </w:p>
        </w:tc>
        <w:tc>
          <w:tcPr/>
          <w:p>
            <w:pPr>
              <w:pStyle w:val="Compact"/>
              <w:jc w:val="right"/>
            </w:pPr>
            <w:r>
              <w:t xml:space="preserve">3.578</w:t>
            </w:r>
          </w:p>
        </w:tc>
        <w:tc>
          <w:tcPr/>
          <w:p>
            <w:pPr>
              <w:pStyle w:val="Compact"/>
              <w:jc w:val="right"/>
            </w:pPr>
            <w:r>
              <w:t xml:space="preserve">2.328</w:t>
            </w:r>
          </w:p>
        </w:tc>
        <w:tc>
          <w:tcPr/>
          <w:p>
            <w:pPr>
              <w:pStyle w:val="Compact"/>
              <w:jc w:val="right"/>
            </w:pPr>
            <w:r>
              <w:t xml:space="preserve">1.827</w:t>
            </w:r>
          </w:p>
        </w:tc>
        <w:tc>
          <w:tcPr/>
          <w:p>
            <w:pPr>
              <w:pStyle w:val="Compact"/>
              <w:jc w:val="right"/>
            </w:pPr>
            <w:r>
              <w:t xml:space="preserve">3.057</w:t>
            </w:r>
          </w:p>
        </w:tc>
        <w:tc>
          <w:tcPr/>
          <w:p>
            <w:pPr>
              <w:pStyle w:val="Compact"/>
              <w:jc w:val="right"/>
            </w:pPr>
            <w:r>
              <w:t xml:space="preserve">1.786</w:t>
            </w:r>
          </w:p>
        </w:tc>
        <w:tc>
          <w:tcPr/>
          <w:p>
            <w:pPr>
              <w:pStyle w:val="Compact"/>
              <w:jc w:val="right"/>
            </w:pPr>
            <w:r>
              <w:t xml:space="preserve">2.979</w:t>
            </w:r>
          </w:p>
        </w:tc>
      </w:tr>
      <w:tr>
        <w:tc>
          <w:tcPr/>
          <w:p>
            <w:pPr>
              <w:pStyle w:val="Compact"/>
              <w:jc w:val="right"/>
            </w:pPr>
            <w:r>
              <w:t xml:space="preserve">150</w:t>
            </w:r>
          </w:p>
        </w:tc>
        <w:tc>
          <w:tcPr/>
          <w:p>
            <w:pPr>
              <w:pStyle w:val="Compact"/>
              <w:jc w:val="right"/>
            </w:pPr>
            <w:r>
              <w:t xml:space="preserve">1.336</w:t>
            </w:r>
          </w:p>
        </w:tc>
        <w:tc>
          <w:tcPr/>
          <w:p>
            <w:pPr>
              <w:pStyle w:val="Compact"/>
              <w:jc w:val="right"/>
            </w:pPr>
            <w:r>
              <w:t xml:space="preserve">0.873</w:t>
            </w:r>
          </w:p>
        </w:tc>
        <w:tc>
          <w:tcPr/>
          <w:p>
            <w:pPr>
              <w:pStyle w:val="Compact"/>
              <w:jc w:val="right"/>
            </w:pPr>
            <w:r>
              <w:t xml:space="preserve">0.697</w:t>
            </w:r>
          </w:p>
        </w:tc>
        <w:tc>
          <w:tcPr/>
          <w:p>
            <w:pPr>
              <w:pStyle w:val="Compact"/>
              <w:jc w:val="right"/>
            </w:pPr>
            <w:r>
              <w:t xml:space="preserve">1.144</w:t>
            </w:r>
          </w:p>
        </w:tc>
        <w:tc>
          <w:tcPr/>
          <w:p>
            <w:pPr>
              <w:pStyle w:val="Compact"/>
              <w:jc w:val="right"/>
            </w:pPr>
            <w:r>
              <w:t xml:space="preserve">0.679</w:t>
            </w:r>
          </w:p>
        </w:tc>
        <w:tc>
          <w:tcPr/>
          <w:p>
            <w:pPr>
              <w:pStyle w:val="Compact"/>
              <w:jc w:val="right"/>
            </w:pPr>
            <w:r>
              <w:t xml:space="preserve">1.115</w:t>
            </w:r>
          </w:p>
        </w:tc>
      </w:tr>
      <w:tr>
        <w:tc>
          <w:tcPr/>
          <w:p>
            <w:pPr>
              <w:pStyle w:val="Compact"/>
              <w:jc w:val="right"/>
            </w:pPr>
            <w:r>
              <w:t xml:space="preserve">356</w:t>
            </w:r>
          </w:p>
        </w:tc>
        <w:tc>
          <w:tcPr/>
          <w:p>
            <w:pPr>
              <w:pStyle w:val="Compact"/>
              <w:jc w:val="right"/>
            </w:pPr>
            <w:r>
              <w:t xml:space="preserve">0.225</w:t>
            </w:r>
          </w:p>
        </w:tc>
        <w:tc>
          <w:tcPr/>
          <w:p>
            <w:pPr>
              <w:pStyle w:val="Compact"/>
              <w:jc w:val="right"/>
            </w:pPr>
            <w:r>
              <w:t xml:space="preserve">0.173</w:t>
            </w:r>
          </w:p>
        </w:tc>
        <w:tc>
          <w:tcPr/>
          <w:p>
            <w:pPr>
              <w:pStyle w:val="Compact"/>
              <w:jc w:val="right"/>
            </w:pPr>
            <w:r>
              <w:t xml:space="preserve">0.154</w:t>
            </w:r>
          </w:p>
        </w:tc>
        <w:tc>
          <w:tcPr/>
          <w:p>
            <w:pPr>
              <w:pStyle w:val="Compact"/>
              <w:jc w:val="right"/>
            </w:pPr>
            <w:r>
              <w:t xml:space="preserve">0.203</w:t>
            </w:r>
          </w:p>
        </w:tc>
        <w:tc>
          <w:tcPr/>
          <w:p>
            <w:pPr>
              <w:pStyle w:val="Compact"/>
              <w:jc w:val="right"/>
            </w:pPr>
            <w:r>
              <w:t xml:space="preserve">0.149</w:t>
            </w:r>
          </w:p>
        </w:tc>
        <w:tc>
          <w:tcPr/>
          <w:p>
            <w:pPr>
              <w:pStyle w:val="Compact"/>
              <w:jc w:val="right"/>
            </w:pPr>
            <w:r>
              <w:t xml:space="preserve">0.199</w:t>
            </w:r>
          </w:p>
        </w:tc>
      </w:tr>
      <w:tr>
        <w:tc>
          <w:tcPr/>
          <w:p>
            <w:pPr>
              <w:pStyle w:val="Compact"/>
              <w:jc w:val="right"/>
            </w:pPr>
            <w:r>
              <w:t xml:space="preserve">511</w:t>
            </w:r>
          </w:p>
        </w:tc>
        <w:tc>
          <w:tcPr/>
          <w:p>
            <w:pPr>
              <w:pStyle w:val="Compact"/>
              <w:jc w:val="right"/>
            </w:pPr>
            <w:r>
              <w:t xml:space="preserve">0.135</w:t>
            </w:r>
          </w:p>
        </w:tc>
        <w:tc>
          <w:tcPr/>
          <w:p>
            <w:pPr>
              <w:pStyle w:val="Compact"/>
              <w:jc w:val="right"/>
            </w:pPr>
            <w:r>
              <w:t xml:space="preserve">0.115</w:t>
            </w:r>
          </w:p>
        </w:tc>
        <w:tc>
          <w:tcPr/>
          <w:p>
            <w:pPr>
              <w:pStyle w:val="Compact"/>
              <w:jc w:val="right"/>
            </w:pPr>
            <w:r>
              <w:t xml:space="preserve">0.107</w:t>
            </w:r>
          </w:p>
        </w:tc>
        <w:tc>
          <w:tcPr/>
          <w:p>
            <w:pPr>
              <w:pStyle w:val="Compact"/>
              <w:jc w:val="right"/>
            </w:pPr>
            <w:r>
              <w:t xml:space="preserve">0.127</w:t>
            </w:r>
          </w:p>
        </w:tc>
        <w:tc>
          <w:tcPr/>
          <w:p>
            <w:pPr>
              <w:pStyle w:val="Compact"/>
              <w:jc w:val="right"/>
            </w:pPr>
            <w:r>
              <w:t xml:space="preserve">0.104</w:t>
            </w:r>
          </w:p>
        </w:tc>
        <w:tc>
          <w:tcPr/>
          <w:p>
            <w:pPr>
              <w:pStyle w:val="Compact"/>
              <w:jc w:val="right"/>
            </w:pPr>
            <w:r>
              <w:t xml:space="preserve">0.124</w:t>
            </w:r>
          </w:p>
        </w:tc>
      </w:tr>
      <w:tr>
        <w:tc>
          <w:tcPr/>
          <w:p>
            <w:pPr>
              <w:pStyle w:val="Compact"/>
              <w:jc w:val="right"/>
            </w:pPr>
            <w:r>
              <w:t xml:space="preserve">662</w:t>
            </w:r>
          </w:p>
        </w:tc>
        <w:tc>
          <w:tcPr/>
          <w:p>
            <w:pPr>
              <w:pStyle w:val="Compact"/>
              <w:jc w:val="right"/>
            </w:pPr>
            <w:r>
              <w:t xml:space="preserve">0.102</w:t>
            </w:r>
          </w:p>
        </w:tc>
        <w:tc>
          <w:tcPr/>
          <w:p>
            <w:pPr>
              <w:pStyle w:val="Compact"/>
              <w:jc w:val="right"/>
            </w:pPr>
            <w:r>
              <w:t xml:space="preserve">0.091</w:t>
            </w:r>
          </w:p>
        </w:tc>
        <w:tc>
          <w:tcPr/>
          <w:p>
            <w:pPr>
              <w:pStyle w:val="Compact"/>
              <w:jc w:val="right"/>
            </w:pPr>
            <w:r>
              <w:t xml:space="preserve">0.087</w:t>
            </w:r>
          </w:p>
        </w:tc>
        <w:tc>
          <w:tcPr/>
          <w:p>
            <w:pPr>
              <w:pStyle w:val="Compact"/>
              <w:jc w:val="right"/>
            </w:pPr>
            <w:r>
              <w:t xml:space="preserve">0.097</w:t>
            </w:r>
          </w:p>
        </w:tc>
        <w:tc>
          <w:tcPr/>
          <w:p>
            <w:pPr>
              <w:pStyle w:val="Compact"/>
              <w:jc w:val="right"/>
            </w:pPr>
            <w:r>
              <w:t xml:space="preserve">0.086</w:t>
            </w:r>
          </w:p>
        </w:tc>
        <w:tc>
          <w:tcPr/>
          <w:p>
            <w:pPr>
              <w:pStyle w:val="Compact"/>
              <w:jc w:val="right"/>
            </w:pPr>
            <w:r>
              <w:t xml:space="preserve">0.096</w:t>
            </w:r>
          </w:p>
        </w:tc>
      </w:tr>
      <w:tr>
        <w:tc>
          <w:tcPr/>
          <w:p>
            <w:pPr>
              <w:pStyle w:val="Compact"/>
              <w:jc w:val="right"/>
            </w:pPr>
            <w:r>
              <w:t xml:space="preserve">1173</w:t>
            </w:r>
          </w:p>
        </w:tc>
        <w:tc>
          <w:tcPr/>
          <w:p>
            <w:pPr>
              <w:pStyle w:val="Compact"/>
              <w:jc w:val="right"/>
            </w:pPr>
            <w:r>
              <w:t xml:space="preserve">0.064</w:t>
            </w:r>
          </w:p>
        </w:tc>
        <w:tc>
          <w:tcPr/>
          <w:p>
            <w:pPr>
              <w:pStyle w:val="Compact"/>
              <w:jc w:val="right"/>
            </w:pPr>
            <w:r>
              <w:t xml:space="preserve">0.061</w:t>
            </w:r>
          </w:p>
        </w:tc>
        <w:tc>
          <w:tcPr/>
          <w:p>
            <w:pPr>
              <w:pStyle w:val="Compact"/>
              <w:jc w:val="right"/>
            </w:pPr>
            <w:r>
              <w:t xml:space="preserve">0.060</w:t>
            </w:r>
          </w:p>
        </w:tc>
        <w:tc>
          <w:tcPr/>
          <w:p>
            <w:pPr>
              <w:pStyle w:val="Compact"/>
              <w:jc w:val="right"/>
            </w:pPr>
            <w:r>
              <w:t xml:space="preserve">0.062</w:t>
            </w:r>
          </w:p>
        </w:tc>
        <w:tc>
          <w:tcPr/>
          <w:p>
            <w:pPr>
              <w:pStyle w:val="Compact"/>
              <w:jc w:val="right"/>
            </w:pPr>
            <w:r>
              <w:t xml:space="preserve">0.059</w:t>
            </w:r>
          </w:p>
        </w:tc>
        <w:tc>
          <w:tcPr/>
          <w:p>
            <w:pPr>
              <w:pStyle w:val="Compact"/>
              <w:jc w:val="right"/>
            </w:pPr>
            <w:r>
              <w:t xml:space="preserve">0.062</w:t>
            </w:r>
          </w:p>
        </w:tc>
      </w:tr>
      <w:tr>
        <w:tc>
          <w:tcPr/>
          <w:p>
            <w:pPr>
              <w:pStyle w:val="Compact"/>
              <w:jc w:val="right"/>
            </w:pPr>
            <w:r>
              <w:t xml:space="preserve">1332</w:t>
            </w:r>
          </w:p>
        </w:tc>
        <w:tc>
          <w:tcPr/>
          <w:p>
            <w:pPr>
              <w:pStyle w:val="Compact"/>
              <w:jc w:val="right"/>
            </w:pPr>
            <w:r>
              <w:t xml:space="preserve">0.058</w:t>
            </w:r>
          </w:p>
        </w:tc>
        <w:tc>
          <w:tcPr/>
          <w:p>
            <w:pPr>
              <w:pStyle w:val="Compact"/>
              <w:jc w:val="right"/>
            </w:pPr>
            <w:r>
              <w:t xml:space="preserve">0.057</w:t>
            </w:r>
          </w:p>
        </w:tc>
        <w:tc>
          <w:tcPr/>
          <w:p>
            <w:pPr>
              <w:pStyle w:val="Compact"/>
              <w:jc w:val="right"/>
            </w:pPr>
            <w:r>
              <w:t xml:space="preserve">0.056</w:t>
            </w:r>
          </w:p>
        </w:tc>
        <w:tc>
          <w:tcPr/>
          <w:p>
            <w:pPr>
              <w:pStyle w:val="Compact"/>
              <w:jc w:val="right"/>
            </w:pPr>
            <w:r>
              <w:t xml:space="preserve">0.058</w:t>
            </w:r>
          </w:p>
        </w:tc>
        <w:tc>
          <w:tcPr/>
          <w:p>
            <w:pPr>
              <w:pStyle w:val="Compact"/>
              <w:jc w:val="right"/>
            </w:pPr>
            <w:r>
              <w:t xml:space="preserve">0.055</w:t>
            </w:r>
          </w:p>
        </w:tc>
        <w:tc>
          <w:tcPr/>
          <w:p>
            <w:pPr>
              <w:pStyle w:val="Compact"/>
              <w:jc w:val="right"/>
            </w:pPr>
            <w:r>
              <w:t xml:space="preserve">0.057</w:t>
            </w:r>
          </w:p>
        </w:tc>
      </w:tr>
    </w:tbl>
    <w:p>
      <w:pPr>
        <w:pStyle w:val="BodyText"/>
      </w:pPr>
      <w:r>
        <w:t xml:space="preserve">The K-edge signatures are visible directly in Table 2 and Figure 2. WO₃ rises from 3.080 cm² g⁻¹ at 50 keV to 4.045 cm² g⁻¹ at 80 keV after the W K-shell opens. Gd₂O₃ rises from 2.152 to 3.135 cm² g⁻¹ across the 50–80 keV interval after the Gd K-edge. PbWO₄ rises from 2.928 to 2.979 cm² g⁻¹ between 80 and 100 keV, consistent with the Pb K-edge at 88.005 keV. The ternary mixture also rises from 2.781 to 3.057 cm² g⁻¹ between 80 and 100 keV, showing the Bi K-edge contribution superposed on the W-containing baseline.</w:t>
      </w:r>
    </w:p>
    <w:p>
      <w:pPr>
        <w:pStyle w:val="CaptionedFigure"/>
      </w:pPr>
      <w:r>
        <w:drawing>
          <wp:inline>
            <wp:extent cx="5334000" cy="3314600"/>
            <wp:effectExtent b="0" l="0" r="0" t="0"/>
            <wp:docPr descr="Figure 2. K-edge attenuation landscape and XCOM residual map. Panel A overlays the six Regime-A attenuation curves on a common log-energy axis; vertical guides identify the Ba, Gd, W, Pb, and Bi K-edges, and dash-dot limits mark the 30–150 keV H1 window. Panel B reports the per-energy percent difference between Geant4 and NIST XCOM for every material. The largest edge-adjacent residual is the Gd₂O₃ point at 50 keV, immediately below the 50.239 keV Gd K-edge." title="" id="35" name="Picture"/>
            <a:graphic>
              <a:graphicData uri="http://schemas.openxmlformats.org/drawingml/2006/picture">
                <pic:pic>
                  <pic:nvPicPr>
                    <pic:cNvPr descr="../../../results/paper3/figures/v10/paper3_v10_fig2_kedge_landscape_delta_heatmap.png" id="36" name="Picture"/>
                    <pic:cNvPicPr>
                      <a:picLocks noChangeArrowheads="1" noChangeAspect="1"/>
                    </pic:cNvPicPr>
                  </pic:nvPicPr>
                  <pic:blipFill>
                    <a:blip r:embed="rId34"/>
                    <a:stretch>
                      <a:fillRect/>
                    </a:stretch>
                  </pic:blipFill>
                  <pic:spPr bwMode="auto">
                    <a:xfrm>
                      <a:off x="0" y="0"/>
                      <a:ext cx="5334000" cy="3314600"/>
                    </a:xfrm>
                    <a:prstGeom prst="rect">
                      <a:avLst/>
                    </a:prstGeom>
                    <a:noFill/>
                    <a:ln w="9525">
                      <a:noFill/>
                      <a:headEnd/>
                      <a:tailEnd/>
                    </a:ln>
                  </pic:spPr>
                </pic:pic>
              </a:graphicData>
            </a:graphic>
          </wp:inline>
        </w:drawing>
      </w:r>
    </w:p>
    <w:p>
      <w:pPr>
        <w:pStyle w:val="ImageCaption"/>
      </w:pPr>
      <w:r>
        <w:t xml:space="preserve">Figure 2. K-edge attenuation landscape and XCOM residual map. Panel A overlays the six Regime-A attenuation curves on a common log-energy axis; vertical guides identify the Ba, Gd, W, Pb, and Bi K-edges, and dash-dot limits mark the 30–150 keV H1 window. Panel B reports the per-energy percent difference between Geant4 and NIST XCOM for every material. The largest edge-adjacent residual is the Gd₂O₃ point at 50 keV, immediately below the 50.239 keV Gd K-edge.</w:t>
      </w:r>
    </w:p>
    <w:bookmarkEnd w:id="37"/>
    <w:bookmarkStart w:id="38" w:name="regime-b-explicit-rve-comparison"/>
    <w:p>
      <w:pPr>
        <w:pStyle w:val="Heading3"/>
      </w:pPr>
      <w:r>
        <w:t xml:space="preserve">5.2 Regime B explicit-RVE comparison</w:t>
      </w:r>
    </w:p>
    <w:p>
      <w:pPr>
        <w:pStyle w:val="FirstParagraph"/>
      </w:pPr>
      <w:r>
        <w:t xml:space="preserve">For composition-equivalent binary systems, Table 3 and Figure 3A show that the 1 µm</w:t>
      </w:r>
      <w:r>
        <w:t xml:space="preserve"> </w:t>
      </w:r>
      <w:r>
        <w:rPr>
          <w:rStyle w:val="VerbatimChar"/>
        </w:rPr>
        <w:t xml:space="preserve">G4PVParameterised</w:t>
      </w:r>
      <w:r>
        <w:t xml:space="preserve"> </w:t>
      </w:r>
      <w:r>
        <w:t xml:space="preserve">RVE reproduces the Regime-A baseline at 30–150 keV within the ±3% H1 gate. This is the strongest cross-regime result because Regime B has the largest explicit RVE and the best particle-count statistics.</w:t>
      </w:r>
    </w:p>
    <w:p>
      <w:pPr>
        <w:pStyle w:val="BodyText"/>
      </w:pPr>
      <w:r>
        <w:rPr>
          <w:b/>
          <w:bCs/>
        </w:rPr>
        <w:t xml:space="preserve">Table 3.</w:t>
      </w:r>
      <w:r>
        <w:t xml:space="preserve"> </w:t>
      </w:r>
      <w:r>
        <w:t xml:space="preserve">Regime-B / Regime-A ratios at 30–150 keV.</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Material</w:t>
            </w:r>
          </w:p>
        </w:tc>
        <w:tc>
          <w:tcPr/>
          <w:p>
            <w:pPr>
              <w:pStyle w:val="Compact"/>
              <w:jc w:val="right"/>
            </w:pPr>
            <w:r>
              <w:t xml:space="preserve">30 keV</w:t>
            </w:r>
          </w:p>
        </w:tc>
        <w:tc>
          <w:tcPr/>
          <w:p>
            <w:pPr>
              <w:pStyle w:val="Compact"/>
              <w:jc w:val="right"/>
            </w:pPr>
            <w:r>
              <w:t xml:space="preserve">50 keV</w:t>
            </w:r>
          </w:p>
        </w:tc>
        <w:tc>
          <w:tcPr/>
          <w:p>
            <w:pPr>
              <w:pStyle w:val="Compact"/>
              <w:jc w:val="right"/>
            </w:pPr>
            <w:r>
              <w:t xml:space="preserve">80 keV</w:t>
            </w:r>
          </w:p>
        </w:tc>
        <w:tc>
          <w:tcPr/>
          <w:p>
            <w:pPr>
              <w:pStyle w:val="Compact"/>
              <w:jc w:val="right"/>
            </w:pPr>
            <w:r>
              <w:t xml:space="preserve">100 keV</w:t>
            </w:r>
          </w:p>
        </w:tc>
        <w:tc>
          <w:tcPr/>
          <w:p>
            <w:pPr>
              <w:pStyle w:val="Compact"/>
              <w:jc w:val="right"/>
            </w:pPr>
            <w:r>
              <w:t xml:space="preserve">150 keV</w:t>
            </w:r>
          </w:p>
        </w:tc>
        <w:tc>
          <w:tcPr/>
          <w:p>
            <w:pPr>
              <w:pStyle w:val="Compact"/>
              <w:jc w:val="right"/>
            </w:pPr>
            <w:r>
              <w:t xml:space="preserve">Range</w:t>
            </w:r>
          </w:p>
        </w:tc>
        <w:tc>
          <w:tcPr/>
          <w:p>
            <w:pPr>
              <w:pStyle w:val="Compact"/>
              <w:jc w:val="right"/>
            </w:pPr>
            <w:r>
              <w:t xml:space="preserve">Mean abs. ratio deviation</w:t>
            </w:r>
          </w:p>
        </w:tc>
      </w:tr>
      <w:tr>
        <w:tc>
          <w:tcPr/>
          <w:p>
            <w:pPr>
              <w:pStyle w:val="Compact"/>
            </w:pPr>
            <w:r>
              <w:t xml:space="preserve">HDPE/Bi₂O₃</w:t>
            </w:r>
          </w:p>
        </w:tc>
        <w:tc>
          <w:tcPr/>
          <w:p>
            <w:pPr>
              <w:pStyle w:val="Compact"/>
              <w:jc w:val="right"/>
            </w:pPr>
            <w:r>
              <w:t xml:space="preserve">0.982</w:t>
            </w:r>
          </w:p>
        </w:tc>
        <w:tc>
          <w:tcPr/>
          <w:p>
            <w:pPr>
              <w:pStyle w:val="Compact"/>
              <w:jc w:val="right"/>
            </w:pPr>
            <w:r>
              <w:t xml:space="preserve">0.976</w:t>
            </w:r>
          </w:p>
        </w:tc>
        <w:tc>
          <w:tcPr/>
          <w:p>
            <w:pPr>
              <w:pStyle w:val="Compact"/>
              <w:jc w:val="right"/>
            </w:pPr>
            <w:r>
              <w:t xml:space="preserve">0.984</w:t>
            </w:r>
          </w:p>
        </w:tc>
        <w:tc>
          <w:tcPr/>
          <w:p>
            <w:pPr>
              <w:pStyle w:val="Compact"/>
              <w:jc w:val="right"/>
            </w:pPr>
            <w:r>
              <w:t xml:space="preserve">0.982</w:t>
            </w:r>
          </w:p>
        </w:tc>
        <w:tc>
          <w:tcPr/>
          <w:p>
            <w:pPr>
              <w:pStyle w:val="Compact"/>
              <w:jc w:val="right"/>
            </w:pPr>
            <w:r>
              <w:t xml:space="preserve">0.975</w:t>
            </w:r>
          </w:p>
        </w:tc>
        <w:tc>
          <w:tcPr/>
          <w:p>
            <w:pPr>
              <w:pStyle w:val="Compact"/>
              <w:jc w:val="right"/>
            </w:pPr>
            <w:r>
              <w:t xml:space="preserve">0.975–0.984</w:t>
            </w:r>
          </w:p>
        </w:tc>
        <w:tc>
          <w:tcPr/>
          <w:p>
            <w:pPr>
              <w:pStyle w:val="Compact"/>
              <w:jc w:val="right"/>
            </w:pPr>
            <w:r>
              <w:t xml:space="preserve">2.00%</w:t>
            </w:r>
          </w:p>
        </w:tc>
      </w:tr>
      <w:tr>
        <w:tc>
          <w:tcPr/>
          <w:p>
            <w:pPr>
              <w:pStyle w:val="Compact"/>
            </w:pPr>
            <w:r>
              <w:t xml:space="preserve">HDPE/WO₃</w:t>
            </w:r>
          </w:p>
        </w:tc>
        <w:tc>
          <w:tcPr/>
          <w:p>
            <w:pPr>
              <w:pStyle w:val="Compact"/>
              <w:jc w:val="right"/>
            </w:pPr>
            <w:r>
              <w:t xml:space="preserve">1.000</w:t>
            </w:r>
          </w:p>
        </w:tc>
        <w:tc>
          <w:tcPr/>
          <w:p>
            <w:pPr>
              <w:pStyle w:val="Compact"/>
              <w:jc w:val="right"/>
            </w:pPr>
            <w:r>
              <w:t xml:space="preserve">0.997</w:t>
            </w:r>
          </w:p>
        </w:tc>
        <w:tc>
          <w:tcPr/>
          <w:p>
            <w:pPr>
              <w:pStyle w:val="Compact"/>
              <w:jc w:val="right"/>
            </w:pPr>
            <w:r>
              <w:t xml:space="preserve">0.988</w:t>
            </w:r>
          </w:p>
        </w:tc>
        <w:tc>
          <w:tcPr/>
          <w:p>
            <w:pPr>
              <w:pStyle w:val="Compact"/>
              <w:jc w:val="right"/>
            </w:pPr>
            <w:r>
              <w:t xml:space="preserve">1.022</w:t>
            </w:r>
          </w:p>
        </w:tc>
        <w:tc>
          <w:tcPr/>
          <w:p>
            <w:pPr>
              <w:pStyle w:val="Compact"/>
              <w:jc w:val="right"/>
            </w:pPr>
            <w:r>
              <w:t xml:space="preserve">0.997</w:t>
            </w:r>
          </w:p>
        </w:tc>
        <w:tc>
          <w:tcPr/>
          <w:p>
            <w:pPr>
              <w:pStyle w:val="Compact"/>
              <w:jc w:val="right"/>
            </w:pPr>
            <w:r>
              <w:t xml:space="preserve">0.988–1.022</w:t>
            </w:r>
          </w:p>
        </w:tc>
        <w:tc>
          <w:tcPr/>
          <w:p>
            <w:pPr>
              <w:pStyle w:val="Compact"/>
              <w:jc w:val="right"/>
            </w:pPr>
            <w:r>
              <w:t xml:space="preserve">0.82%</w:t>
            </w:r>
          </w:p>
        </w:tc>
      </w:tr>
      <w:tr>
        <w:tc>
          <w:tcPr/>
          <w:p>
            <w:pPr>
              <w:pStyle w:val="Compact"/>
            </w:pPr>
            <w:r>
              <w:t xml:space="preserve">HDPE/BaWO₄</w:t>
            </w:r>
          </w:p>
        </w:tc>
        <w:tc>
          <w:tcPr/>
          <w:p>
            <w:pPr>
              <w:pStyle w:val="Compact"/>
              <w:jc w:val="right"/>
            </w:pPr>
            <w:r>
              <w:t xml:space="preserve">0.996</w:t>
            </w:r>
          </w:p>
        </w:tc>
        <w:tc>
          <w:tcPr/>
          <w:p>
            <w:pPr>
              <w:pStyle w:val="Compact"/>
              <w:jc w:val="right"/>
            </w:pPr>
            <w:r>
              <w:t xml:space="preserve">1.010</w:t>
            </w:r>
          </w:p>
        </w:tc>
        <w:tc>
          <w:tcPr/>
          <w:p>
            <w:pPr>
              <w:pStyle w:val="Compact"/>
              <w:jc w:val="right"/>
            </w:pPr>
            <w:r>
              <w:t xml:space="preserve">0.992</w:t>
            </w:r>
          </w:p>
        </w:tc>
        <w:tc>
          <w:tcPr/>
          <w:p>
            <w:pPr>
              <w:pStyle w:val="Compact"/>
              <w:jc w:val="right"/>
            </w:pPr>
            <w:r>
              <w:t xml:space="preserve">1.007</w:t>
            </w:r>
          </w:p>
        </w:tc>
        <w:tc>
          <w:tcPr/>
          <w:p>
            <w:pPr>
              <w:pStyle w:val="Compact"/>
              <w:jc w:val="right"/>
            </w:pPr>
            <w:r>
              <w:t xml:space="preserve">1.002</w:t>
            </w:r>
          </w:p>
        </w:tc>
        <w:tc>
          <w:tcPr/>
          <w:p>
            <w:pPr>
              <w:pStyle w:val="Compact"/>
              <w:jc w:val="right"/>
            </w:pPr>
            <w:r>
              <w:t xml:space="preserve">0.992–1.010</w:t>
            </w:r>
          </w:p>
        </w:tc>
        <w:tc>
          <w:tcPr/>
          <w:p>
            <w:pPr>
              <w:pStyle w:val="Compact"/>
              <w:jc w:val="right"/>
            </w:pPr>
            <w:r>
              <w:t xml:space="preserve">0.63%</w:t>
            </w:r>
          </w:p>
        </w:tc>
      </w:tr>
      <w:tr>
        <w:tc>
          <w:tcPr/>
          <w:p>
            <w:pPr>
              <w:pStyle w:val="Compact"/>
            </w:pPr>
            <w:r>
              <w:t xml:space="preserve">HDPE/Gd₂O₃</w:t>
            </w:r>
          </w:p>
        </w:tc>
        <w:tc>
          <w:tcPr/>
          <w:p>
            <w:pPr>
              <w:pStyle w:val="Compact"/>
              <w:jc w:val="right"/>
            </w:pPr>
            <w:r>
              <w:t xml:space="preserve">1.007</w:t>
            </w:r>
          </w:p>
        </w:tc>
        <w:tc>
          <w:tcPr/>
          <w:p>
            <w:pPr>
              <w:pStyle w:val="Compact"/>
              <w:jc w:val="right"/>
            </w:pPr>
            <w:r>
              <w:t xml:space="preserve">0.999</w:t>
            </w:r>
          </w:p>
        </w:tc>
        <w:tc>
          <w:tcPr/>
          <w:p>
            <w:pPr>
              <w:pStyle w:val="Compact"/>
              <w:jc w:val="right"/>
            </w:pPr>
            <w:r>
              <w:t xml:space="preserve">1.007</w:t>
            </w:r>
          </w:p>
        </w:tc>
        <w:tc>
          <w:tcPr/>
          <w:p>
            <w:pPr>
              <w:pStyle w:val="Compact"/>
              <w:jc w:val="right"/>
            </w:pPr>
            <w:r>
              <w:t xml:space="preserve">1.000</w:t>
            </w:r>
          </w:p>
        </w:tc>
        <w:tc>
          <w:tcPr/>
          <w:p>
            <w:pPr>
              <w:pStyle w:val="Compact"/>
              <w:jc w:val="right"/>
            </w:pPr>
            <w:r>
              <w:t xml:space="preserve">1.012</w:t>
            </w:r>
          </w:p>
        </w:tc>
        <w:tc>
          <w:tcPr/>
          <w:p>
            <w:pPr>
              <w:pStyle w:val="Compact"/>
              <w:jc w:val="right"/>
            </w:pPr>
            <w:r>
              <w:t xml:space="preserve">0.999–1.012</w:t>
            </w:r>
          </w:p>
        </w:tc>
        <w:tc>
          <w:tcPr/>
          <w:p>
            <w:pPr>
              <w:pStyle w:val="Compact"/>
              <w:jc w:val="right"/>
            </w:pPr>
            <w:r>
              <w:t xml:space="preserve">0.54%</w:t>
            </w:r>
          </w:p>
        </w:tc>
      </w:tr>
      <w:tr>
        <w:tc>
          <w:tcPr/>
          <w:p>
            <w:pPr>
              <w:pStyle w:val="Compact"/>
            </w:pPr>
            <w:r>
              <w:t xml:space="preserve">HDPE/PbWO₄</w:t>
            </w:r>
          </w:p>
        </w:tc>
        <w:tc>
          <w:tcPr/>
          <w:p>
            <w:pPr>
              <w:pStyle w:val="Compact"/>
              <w:jc w:val="right"/>
            </w:pPr>
            <w:r>
              <w:t xml:space="preserve">0.992</w:t>
            </w:r>
          </w:p>
        </w:tc>
        <w:tc>
          <w:tcPr/>
          <w:p>
            <w:pPr>
              <w:pStyle w:val="Compact"/>
              <w:jc w:val="right"/>
            </w:pPr>
            <w:r>
              <w:t xml:space="preserve">0.983</w:t>
            </w:r>
          </w:p>
        </w:tc>
        <w:tc>
          <w:tcPr/>
          <w:p>
            <w:pPr>
              <w:pStyle w:val="Compact"/>
              <w:jc w:val="right"/>
            </w:pPr>
            <w:r>
              <w:t xml:space="preserve">0.976</w:t>
            </w:r>
          </w:p>
        </w:tc>
        <w:tc>
          <w:tcPr/>
          <w:p>
            <w:pPr>
              <w:pStyle w:val="Compact"/>
              <w:jc w:val="right"/>
            </w:pPr>
            <w:r>
              <w:t xml:space="preserve">0.997</w:t>
            </w:r>
          </w:p>
        </w:tc>
        <w:tc>
          <w:tcPr/>
          <w:p>
            <w:pPr>
              <w:pStyle w:val="Compact"/>
              <w:jc w:val="right"/>
            </w:pPr>
            <w:r>
              <w:t xml:space="preserve">1.010</w:t>
            </w:r>
          </w:p>
        </w:tc>
        <w:tc>
          <w:tcPr/>
          <w:p>
            <w:pPr>
              <w:pStyle w:val="Compact"/>
              <w:jc w:val="right"/>
            </w:pPr>
            <w:r>
              <w:t xml:space="preserve">0.976–1.010</w:t>
            </w:r>
          </w:p>
        </w:tc>
        <w:tc>
          <w:tcPr/>
          <w:p>
            <w:pPr>
              <w:pStyle w:val="Compact"/>
              <w:jc w:val="right"/>
            </w:pPr>
            <w:r>
              <w:t xml:space="preserve">1.22%</w:t>
            </w:r>
          </w:p>
        </w:tc>
      </w:tr>
      <w:tr>
        <w:tc>
          <w:tcPr/>
          <w:p>
            <w:pPr>
              <w:pStyle w:val="Compact"/>
            </w:pPr>
            <w:r>
              <w:t xml:space="preserve">HDPE/Bi₂O₃/WO₃*</w:t>
            </w:r>
          </w:p>
        </w:tc>
        <w:tc>
          <w:tcPr/>
          <w:p>
            <w:pPr>
              <w:pStyle w:val="Compact"/>
              <w:jc w:val="right"/>
            </w:pPr>
            <w:r>
              <w:t xml:space="preserve">0.663</w:t>
            </w:r>
          </w:p>
        </w:tc>
        <w:tc>
          <w:tcPr/>
          <w:p>
            <w:pPr>
              <w:pStyle w:val="Compact"/>
              <w:jc w:val="right"/>
            </w:pPr>
            <w:r>
              <w:t xml:space="preserve">0.679</w:t>
            </w:r>
          </w:p>
        </w:tc>
        <w:tc>
          <w:tcPr/>
          <w:p>
            <w:pPr>
              <w:pStyle w:val="Compact"/>
              <w:jc w:val="right"/>
            </w:pPr>
            <w:r>
              <w:t xml:space="preserve">0.325</w:t>
            </w:r>
          </w:p>
        </w:tc>
        <w:tc>
          <w:tcPr/>
          <w:p>
            <w:pPr>
              <w:pStyle w:val="Compact"/>
              <w:jc w:val="right"/>
            </w:pPr>
            <w:r>
              <w:t xml:space="preserve">0.670</w:t>
            </w:r>
          </w:p>
        </w:tc>
        <w:tc>
          <w:tcPr/>
          <w:p>
            <w:pPr>
              <w:pStyle w:val="Compact"/>
              <w:jc w:val="right"/>
            </w:pPr>
            <w:r>
              <w:t xml:space="preserve">0.664</w:t>
            </w:r>
          </w:p>
        </w:tc>
        <w:tc>
          <w:tcPr/>
          <w:p>
            <w:pPr>
              <w:pStyle w:val="Compact"/>
              <w:jc w:val="right"/>
            </w:pPr>
            <w:r>
              <w:t xml:space="preserve">0.325–0.679</w:t>
            </w:r>
          </w:p>
        </w:tc>
        <w:tc>
          <w:tcPr/>
          <w:p>
            <w:pPr>
              <w:pStyle w:val="Compact"/>
              <w:jc w:val="right"/>
            </w:pPr>
            <w:r>
              <w:t xml:space="preserve">39.99%</w:t>
            </w:r>
          </w:p>
        </w:tc>
      </w:tr>
    </w:tbl>
    <w:p>
      <w:pPr>
        <w:pStyle w:val="BodyText"/>
      </w:pPr>
      <w:r>
        <w:t xml:space="preserve">*Ternary explicit-RVE ratios are not composition-equivalent to the full ternary Regime-A material and are not counted as an H1 validation pass/fail.</w:t>
      </w:r>
    </w:p>
    <w:p>
      <w:pPr>
        <w:pStyle w:val="BodyText"/>
      </w:pPr>
      <w:r>
        <w:t xml:space="preserve">The binary results support H1 for macroscopic attenuation: explicitly resolving 25 nm particles does not change μ/ρ once composition and density are matched. The Bi₂O₃ case carries a small systematic downward offset of about 2%, consistent with the v08 result and RVE boundary-layer/statistical effects. The WO₃, BaWO₄, Gd₂O₃, and PbWO₄ cases show sub-1.3% mean absolute ratio deviation over 30–150 keV.</w:t>
      </w:r>
    </w:p>
    <w:bookmarkEnd w:id="38"/>
    <w:bookmarkStart w:id="45" w:name="regime-c-multi-union-comparison"/>
    <w:p>
      <w:pPr>
        <w:pStyle w:val="Heading3"/>
      </w:pPr>
      <w:r>
        <w:t xml:space="preserve">5.3 Regime C multi-union comparison</w:t>
      </w:r>
    </w:p>
    <w:p>
      <w:pPr>
        <w:pStyle w:val="FirstParagraph"/>
      </w:pPr>
      <w:r>
        <w:t xml:space="preserve">Regime C provides an independent explicit-geometry implementation, but the feasible RVE is much smaller. Table 4 and Figure 3B show that the 250 nm RVE gives useful confirmation for Bi₂O₃ and WO₃, while finite-RVE fluctuations become more visible for BaWO₄, Gd₂O₃, and PbWO₄.</w:t>
      </w:r>
    </w:p>
    <w:p>
      <w:pPr>
        <w:pStyle w:val="BodyText"/>
      </w:pPr>
      <w:r>
        <w:rPr>
          <w:b/>
          <w:bCs/>
        </w:rPr>
        <w:t xml:space="preserve">Table 4.</w:t>
      </w:r>
      <w:r>
        <w:t xml:space="preserve"> </w:t>
      </w:r>
      <w:r>
        <w:t xml:space="preserve">Regime-C / Regime-A ratios at 30–150 keV.</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Material</w:t>
            </w:r>
          </w:p>
        </w:tc>
        <w:tc>
          <w:tcPr/>
          <w:p>
            <w:pPr>
              <w:pStyle w:val="Compact"/>
              <w:jc w:val="right"/>
            </w:pPr>
            <w:r>
              <w:t xml:space="preserve">30 keV</w:t>
            </w:r>
          </w:p>
        </w:tc>
        <w:tc>
          <w:tcPr/>
          <w:p>
            <w:pPr>
              <w:pStyle w:val="Compact"/>
              <w:jc w:val="right"/>
            </w:pPr>
            <w:r>
              <w:t xml:space="preserve">50 keV</w:t>
            </w:r>
          </w:p>
        </w:tc>
        <w:tc>
          <w:tcPr/>
          <w:p>
            <w:pPr>
              <w:pStyle w:val="Compact"/>
              <w:jc w:val="right"/>
            </w:pPr>
            <w:r>
              <w:t xml:space="preserve">80 keV</w:t>
            </w:r>
          </w:p>
        </w:tc>
        <w:tc>
          <w:tcPr/>
          <w:p>
            <w:pPr>
              <w:pStyle w:val="Compact"/>
              <w:jc w:val="right"/>
            </w:pPr>
            <w:r>
              <w:t xml:space="preserve">100 keV</w:t>
            </w:r>
          </w:p>
        </w:tc>
        <w:tc>
          <w:tcPr/>
          <w:p>
            <w:pPr>
              <w:pStyle w:val="Compact"/>
              <w:jc w:val="right"/>
            </w:pPr>
            <w:r>
              <w:t xml:space="preserve">150 keV</w:t>
            </w:r>
          </w:p>
        </w:tc>
        <w:tc>
          <w:tcPr/>
          <w:p>
            <w:pPr>
              <w:pStyle w:val="Compact"/>
              <w:jc w:val="right"/>
            </w:pPr>
            <w:r>
              <w:t xml:space="preserve">Range</w:t>
            </w:r>
          </w:p>
        </w:tc>
        <w:tc>
          <w:tcPr/>
          <w:p>
            <w:pPr>
              <w:pStyle w:val="Compact"/>
              <w:jc w:val="right"/>
            </w:pPr>
            <w:r>
              <w:t xml:space="preserve">Mean abs. ratio deviation</w:t>
            </w:r>
          </w:p>
        </w:tc>
      </w:tr>
      <w:tr>
        <w:tc>
          <w:tcPr/>
          <w:p>
            <w:pPr>
              <w:pStyle w:val="Compact"/>
            </w:pPr>
            <w:r>
              <w:t xml:space="preserve">HDPE/Bi₂O₃</w:t>
            </w:r>
          </w:p>
        </w:tc>
        <w:tc>
          <w:tcPr/>
          <w:p>
            <w:pPr>
              <w:pStyle w:val="Compact"/>
              <w:jc w:val="right"/>
            </w:pPr>
            <w:r>
              <w:t xml:space="preserve">0.984</w:t>
            </w:r>
          </w:p>
        </w:tc>
        <w:tc>
          <w:tcPr/>
          <w:p>
            <w:pPr>
              <w:pStyle w:val="Compact"/>
              <w:jc w:val="right"/>
            </w:pPr>
            <w:r>
              <w:t xml:space="preserve">1.016</w:t>
            </w:r>
          </w:p>
        </w:tc>
        <w:tc>
          <w:tcPr/>
          <w:p>
            <w:pPr>
              <w:pStyle w:val="Compact"/>
              <w:jc w:val="right"/>
            </w:pPr>
            <w:r>
              <w:t xml:space="preserve">1.014</w:t>
            </w:r>
          </w:p>
        </w:tc>
        <w:tc>
          <w:tcPr/>
          <w:p>
            <w:pPr>
              <w:pStyle w:val="Compact"/>
              <w:jc w:val="right"/>
            </w:pPr>
            <w:r>
              <w:t xml:space="preserve">0.982</w:t>
            </w:r>
          </w:p>
        </w:tc>
        <w:tc>
          <w:tcPr/>
          <w:p>
            <w:pPr>
              <w:pStyle w:val="Compact"/>
              <w:jc w:val="right"/>
            </w:pPr>
            <w:r>
              <w:t xml:space="preserve">0.984</w:t>
            </w:r>
          </w:p>
        </w:tc>
        <w:tc>
          <w:tcPr/>
          <w:p>
            <w:pPr>
              <w:pStyle w:val="Compact"/>
              <w:jc w:val="right"/>
            </w:pPr>
            <w:r>
              <w:t xml:space="preserve">0.982–1.016</w:t>
            </w:r>
          </w:p>
        </w:tc>
        <w:tc>
          <w:tcPr/>
          <w:p>
            <w:pPr>
              <w:pStyle w:val="Compact"/>
              <w:jc w:val="right"/>
            </w:pPr>
            <w:r>
              <w:t xml:space="preserve">1.59%</w:t>
            </w:r>
          </w:p>
        </w:tc>
      </w:tr>
      <w:tr>
        <w:tc>
          <w:tcPr/>
          <w:p>
            <w:pPr>
              <w:pStyle w:val="Compact"/>
            </w:pPr>
            <w:r>
              <w:t xml:space="preserve">HDPE/WO₃</w:t>
            </w:r>
          </w:p>
        </w:tc>
        <w:tc>
          <w:tcPr/>
          <w:p>
            <w:pPr>
              <w:pStyle w:val="Compact"/>
              <w:jc w:val="right"/>
            </w:pPr>
            <w:r>
              <w:t xml:space="preserve">0.986</w:t>
            </w:r>
          </w:p>
        </w:tc>
        <w:tc>
          <w:tcPr/>
          <w:p>
            <w:pPr>
              <w:pStyle w:val="Compact"/>
              <w:jc w:val="right"/>
            </w:pPr>
            <w:r>
              <w:t xml:space="preserve">0.986</w:t>
            </w:r>
          </w:p>
        </w:tc>
        <w:tc>
          <w:tcPr/>
          <w:p>
            <w:pPr>
              <w:pStyle w:val="Compact"/>
              <w:jc w:val="right"/>
            </w:pPr>
            <w:r>
              <w:t xml:space="preserve">1.008</w:t>
            </w:r>
          </w:p>
        </w:tc>
        <w:tc>
          <w:tcPr/>
          <w:p>
            <w:pPr>
              <w:pStyle w:val="Compact"/>
              <w:jc w:val="right"/>
            </w:pPr>
            <w:r>
              <w:t xml:space="preserve">0.986</w:t>
            </w:r>
          </w:p>
        </w:tc>
        <w:tc>
          <w:tcPr/>
          <w:p>
            <w:pPr>
              <w:pStyle w:val="Compact"/>
              <w:jc w:val="right"/>
            </w:pPr>
            <w:r>
              <w:t xml:space="preserve">1.027</w:t>
            </w:r>
          </w:p>
        </w:tc>
        <w:tc>
          <w:tcPr/>
          <w:p>
            <w:pPr>
              <w:pStyle w:val="Compact"/>
              <w:jc w:val="right"/>
            </w:pPr>
            <w:r>
              <w:t xml:space="preserve">0.986–1.027</w:t>
            </w:r>
          </w:p>
        </w:tc>
        <w:tc>
          <w:tcPr/>
          <w:p>
            <w:pPr>
              <w:pStyle w:val="Compact"/>
              <w:jc w:val="right"/>
            </w:pPr>
            <w:r>
              <w:t xml:space="preserve">1.53%</w:t>
            </w:r>
          </w:p>
        </w:tc>
      </w:tr>
      <w:tr>
        <w:tc>
          <w:tcPr/>
          <w:p>
            <w:pPr>
              <w:pStyle w:val="Compact"/>
            </w:pPr>
            <w:r>
              <w:t xml:space="preserve">HDPE/BaWO₄</w:t>
            </w:r>
          </w:p>
        </w:tc>
        <w:tc>
          <w:tcPr/>
          <w:p>
            <w:pPr>
              <w:pStyle w:val="Compact"/>
              <w:jc w:val="right"/>
            </w:pPr>
            <w:r>
              <w:t xml:space="preserve">0.992</w:t>
            </w:r>
          </w:p>
        </w:tc>
        <w:tc>
          <w:tcPr/>
          <w:p>
            <w:pPr>
              <w:pStyle w:val="Compact"/>
              <w:jc w:val="right"/>
            </w:pPr>
            <w:r>
              <w:t xml:space="preserve">0.955</w:t>
            </w:r>
          </w:p>
        </w:tc>
        <w:tc>
          <w:tcPr/>
          <w:p>
            <w:pPr>
              <w:pStyle w:val="Compact"/>
              <w:jc w:val="right"/>
            </w:pPr>
            <w:r>
              <w:t xml:space="preserve">1.001</w:t>
            </w:r>
          </w:p>
        </w:tc>
        <w:tc>
          <w:tcPr/>
          <w:p>
            <w:pPr>
              <w:pStyle w:val="Compact"/>
              <w:jc w:val="right"/>
            </w:pPr>
            <w:r>
              <w:t xml:space="preserve">1.005</w:t>
            </w:r>
          </w:p>
        </w:tc>
        <w:tc>
          <w:tcPr/>
          <w:p>
            <w:pPr>
              <w:pStyle w:val="Compact"/>
              <w:jc w:val="right"/>
            </w:pPr>
            <w:r>
              <w:t xml:space="preserve">0.926</w:t>
            </w:r>
          </w:p>
        </w:tc>
        <w:tc>
          <w:tcPr/>
          <w:p>
            <w:pPr>
              <w:pStyle w:val="Compact"/>
              <w:jc w:val="right"/>
            </w:pPr>
            <w:r>
              <w:t xml:space="preserve">0.926–1.005</w:t>
            </w:r>
          </w:p>
        </w:tc>
        <w:tc>
          <w:tcPr/>
          <w:p>
            <w:pPr>
              <w:pStyle w:val="Compact"/>
              <w:jc w:val="right"/>
            </w:pPr>
            <w:r>
              <w:t xml:space="preserve">2.66%</w:t>
            </w:r>
          </w:p>
        </w:tc>
      </w:tr>
      <w:tr>
        <w:tc>
          <w:tcPr/>
          <w:p>
            <w:pPr>
              <w:pStyle w:val="Compact"/>
            </w:pPr>
            <w:r>
              <w:t xml:space="preserve">HDPE/Gd₂O₃</w:t>
            </w:r>
          </w:p>
        </w:tc>
        <w:tc>
          <w:tcPr/>
          <w:p>
            <w:pPr>
              <w:pStyle w:val="Compact"/>
              <w:jc w:val="right"/>
            </w:pPr>
            <w:r>
              <w:t xml:space="preserve">0.993</w:t>
            </w:r>
          </w:p>
        </w:tc>
        <w:tc>
          <w:tcPr/>
          <w:p>
            <w:pPr>
              <w:pStyle w:val="Compact"/>
              <w:jc w:val="right"/>
            </w:pPr>
            <w:r>
              <w:t xml:space="preserve">0.969</w:t>
            </w:r>
          </w:p>
        </w:tc>
        <w:tc>
          <w:tcPr/>
          <w:p>
            <w:pPr>
              <w:pStyle w:val="Compact"/>
              <w:jc w:val="right"/>
            </w:pPr>
            <w:r>
              <w:t xml:space="preserve">1.009</w:t>
            </w:r>
          </w:p>
        </w:tc>
        <w:tc>
          <w:tcPr/>
          <w:p>
            <w:pPr>
              <w:pStyle w:val="Compact"/>
              <w:jc w:val="right"/>
            </w:pPr>
            <w:r>
              <w:t xml:space="preserve">1.062</w:t>
            </w:r>
          </w:p>
        </w:tc>
        <w:tc>
          <w:tcPr/>
          <w:p>
            <w:pPr>
              <w:pStyle w:val="Compact"/>
              <w:jc w:val="right"/>
            </w:pPr>
            <w:r>
              <w:t xml:space="preserve">0.967</w:t>
            </w:r>
          </w:p>
        </w:tc>
        <w:tc>
          <w:tcPr/>
          <w:p>
            <w:pPr>
              <w:pStyle w:val="Compact"/>
              <w:jc w:val="right"/>
            </w:pPr>
            <w:r>
              <w:t xml:space="preserve">0.967–1.062</w:t>
            </w:r>
          </w:p>
        </w:tc>
        <w:tc>
          <w:tcPr/>
          <w:p>
            <w:pPr>
              <w:pStyle w:val="Compact"/>
              <w:jc w:val="right"/>
            </w:pPr>
            <w:r>
              <w:t xml:space="preserve">2.84%</w:t>
            </w:r>
          </w:p>
        </w:tc>
      </w:tr>
      <w:tr>
        <w:tc>
          <w:tcPr/>
          <w:p>
            <w:pPr>
              <w:pStyle w:val="Compact"/>
            </w:pPr>
            <w:r>
              <w:t xml:space="preserve">HDPE/PbWO₄</w:t>
            </w:r>
          </w:p>
        </w:tc>
        <w:tc>
          <w:tcPr/>
          <w:p>
            <w:pPr>
              <w:pStyle w:val="Compact"/>
              <w:jc w:val="right"/>
            </w:pPr>
            <w:r>
              <w:t xml:space="preserve">0.996</w:t>
            </w:r>
          </w:p>
        </w:tc>
        <w:tc>
          <w:tcPr/>
          <w:p>
            <w:pPr>
              <w:pStyle w:val="Compact"/>
              <w:jc w:val="right"/>
            </w:pPr>
            <w:r>
              <w:t xml:space="preserve">1.012</w:t>
            </w:r>
          </w:p>
        </w:tc>
        <w:tc>
          <w:tcPr/>
          <w:p>
            <w:pPr>
              <w:pStyle w:val="Compact"/>
              <w:jc w:val="right"/>
            </w:pPr>
            <w:r>
              <w:t xml:space="preserve">1.056</w:t>
            </w:r>
          </w:p>
        </w:tc>
        <w:tc>
          <w:tcPr/>
          <w:p>
            <w:pPr>
              <w:pStyle w:val="Compact"/>
              <w:jc w:val="right"/>
            </w:pPr>
            <w:r>
              <w:t xml:space="preserve">0.979</w:t>
            </w:r>
          </w:p>
        </w:tc>
        <w:tc>
          <w:tcPr/>
          <w:p>
            <w:pPr>
              <w:pStyle w:val="Compact"/>
              <w:jc w:val="right"/>
            </w:pPr>
            <w:r>
              <w:t xml:space="preserve">0.982</w:t>
            </w:r>
          </w:p>
        </w:tc>
        <w:tc>
          <w:tcPr/>
          <w:p>
            <w:pPr>
              <w:pStyle w:val="Compact"/>
              <w:jc w:val="right"/>
            </w:pPr>
            <w:r>
              <w:t xml:space="preserve">0.979–1.056</w:t>
            </w:r>
          </w:p>
        </w:tc>
        <w:tc>
          <w:tcPr/>
          <w:p>
            <w:pPr>
              <w:pStyle w:val="Compact"/>
              <w:jc w:val="right"/>
            </w:pPr>
            <w:r>
              <w:t xml:space="preserve">2.22%</w:t>
            </w:r>
          </w:p>
        </w:tc>
      </w:tr>
      <w:tr>
        <w:tc>
          <w:tcPr/>
          <w:p>
            <w:pPr>
              <w:pStyle w:val="Compact"/>
            </w:pPr>
            <w:r>
              <w:t xml:space="preserve">HDPE/Bi₂O₃/WO₃*</w:t>
            </w:r>
          </w:p>
        </w:tc>
        <w:tc>
          <w:tcPr/>
          <w:p>
            <w:pPr>
              <w:pStyle w:val="Compact"/>
              <w:jc w:val="right"/>
            </w:pPr>
            <w:r>
              <w:t xml:space="preserve">0.658</w:t>
            </w:r>
          </w:p>
        </w:tc>
        <w:tc>
          <w:tcPr/>
          <w:p>
            <w:pPr>
              <w:pStyle w:val="Compact"/>
              <w:jc w:val="right"/>
            </w:pPr>
            <w:r>
              <w:t xml:space="preserve">0.680</w:t>
            </w:r>
          </w:p>
        </w:tc>
        <w:tc>
          <w:tcPr/>
          <w:p>
            <w:pPr>
              <w:pStyle w:val="Compact"/>
              <w:jc w:val="right"/>
            </w:pPr>
            <w:r>
              <w:t xml:space="preserve">0.331</w:t>
            </w:r>
          </w:p>
        </w:tc>
        <w:tc>
          <w:tcPr/>
          <w:p>
            <w:pPr>
              <w:pStyle w:val="Compact"/>
              <w:jc w:val="right"/>
            </w:pPr>
            <w:r>
              <w:t xml:space="preserve">0.634</w:t>
            </w:r>
          </w:p>
        </w:tc>
        <w:tc>
          <w:tcPr/>
          <w:p>
            <w:pPr>
              <w:pStyle w:val="Compact"/>
              <w:jc w:val="right"/>
            </w:pPr>
            <w:r>
              <w:t xml:space="preserve">0.656</w:t>
            </w:r>
          </w:p>
        </w:tc>
        <w:tc>
          <w:tcPr/>
          <w:p>
            <w:pPr>
              <w:pStyle w:val="Compact"/>
              <w:jc w:val="right"/>
            </w:pPr>
            <w:r>
              <w:t xml:space="preserve">0.331–0.680</w:t>
            </w:r>
          </w:p>
        </w:tc>
        <w:tc>
          <w:tcPr/>
          <w:p>
            <w:pPr>
              <w:pStyle w:val="Compact"/>
              <w:jc w:val="right"/>
            </w:pPr>
            <w:r>
              <w:t xml:space="preserve">40.82%</w:t>
            </w:r>
          </w:p>
        </w:tc>
      </w:tr>
    </w:tbl>
    <w:p>
      <w:pPr>
        <w:pStyle w:val="BodyText"/>
      </w:pPr>
      <w:r>
        <w:t xml:space="preserve">The multi-union results preserve the qualitative K-edge structure but are more sensitive to small-number RVE sampling. Because the appendices contain the full per-energy count tables, Table 5 brings the most relevant count-statistics evidence into the main text. It shows that Regime C retains hundreds to thousands of attenuated events in the 30–150 keV H1 window but falls to O(10–100) attenuated events above 300 keV for several materials. The high-energy apparent μ/ρ deviations in Figure 4 are therefore dominated by counting statistics and finite-RVE sampling and are not interpreted as physics disagreement.</w:t>
      </w:r>
    </w:p>
    <w:p>
      <w:pPr>
        <w:pStyle w:val="BodyText"/>
      </w:pPr>
      <w:r>
        <w:rPr>
          <w:b/>
          <w:bCs/>
        </w:rPr>
        <w:t xml:space="preserve">Table 5.</w:t>
      </w:r>
      <w:r>
        <w:t xml:space="preserve"> </w:t>
      </w:r>
      <w:r>
        <w:t xml:space="preserve">Explicit-RVE attenuated-count minima derived from Appendix B and Appendix C.</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Material</w:t>
            </w:r>
          </w:p>
        </w:tc>
        <w:tc>
          <w:tcPr/>
          <w:p>
            <w:pPr>
              <w:pStyle w:val="Compact"/>
              <w:jc w:val="right"/>
            </w:pPr>
            <w:r>
              <w:t xml:space="preserve">Regime B min.</w:t>
            </w:r>
            <w:r>
              <w:t xml:space="preserve"> </w:t>
            </w:r>
            <m:oMath>
              <m:sSub>
                <m:e>
                  <m:r>
                    <m:t>N</m:t>
                  </m:r>
                </m:e>
                <m:sub>
                  <m:r>
                    <m:rPr>
                      <m:nor/>
                      <m:sty m:val="p"/>
                    </m:rPr>
                    <m:t>att</m:t>
                  </m:r>
                </m:sub>
              </m:sSub>
            </m:oMath>
            <w:r>
              <w:t xml:space="preserve">, 30–150 keV</w:t>
            </w:r>
          </w:p>
        </w:tc>
        <w:tc>
          <w:tcPr/>
          <w:p>
            <w:pPr>
              <w:pStyle w:val="Compact"/>
              <w:jc w:val="right"/>
            </w:pPr>
            <w:r>
              <w:t xml:space="preserve">Regime C min.</w:t>
            </w:r>
            <w:r>
              <w:t xml:space="preserve"> </w:t>
            </w:r>
            <m:oMath>
              <m:sSub>
                <m:e>
                  <m:r>
                    <m:t>N</m:t>
                  </m:r>
                </m:e>
                <m:sub>
                  <m:r>
                    <m:rPr>
                      <m:nor/>
                      <m:sty m:val="p"/>
                    </m:rPr>
                    <m:t>att</m:t>
                  </m:r>
                </m:sub>
              </m:sSub>
            </m:oMath>
            <w:r>
              <w:t xml:space="preserve">, 30–150 keV</w:t>
            </w:r>
          </w:p>
        </w:tc>
        <w:tc>
          <w:tcPr/>
          <w:p>
            <w:pPr>
              <w:pStyle w:val="Compact"/>
              <w:jc w:val="right"/>
            </w:pPr>
            <w:r>
              <w:t xml:space="preserve">Regime B min.</w:t>
            </w:r>
            <w:r>
              <w:t xml:space="preserve"> </w:t>
            </w:r>
            <m:oMath>
              <m:sSub>
                <m:e>
                  <m:r>
                    <m:t>N</m:t>
                  </m:r>
                </m:e>
                <m:sub>
                  <m:r>
                    <m:rPr>
                      <m:nor/>
                      <m:sty m:val="p"/>
                    </m:rPr>
                    <m:t>att</m:t>
                  </m:r>
                </m:sub>
              </m:sSub>
            </m:oMath>
            <w:r>
              <w:t xml:space="preserve">, 356–1332 keV</w:t>
            </w:r>
          </w:p>
        </w:tc>
        <w:tc>
          <w:tcPr/>
          <w:p>
            <w:pPr>
              <w:pStyle w:val="Compact"/>
              <w:jc w:val="right"/>
            </w:pPr>
            <w:r>
              <w:t xml:space="preserve">Regime C min.</w:t>
            </w:r>
            <w:r>
              <w:t xml:space="preserve"> </w:t>
            </w:r>
            <m:oMath>
              <m:sSub>
                <m:e>
                  <m:r>
                    <m:t>N</m:t>
                  </m:r>
                </m:e>
                <m:sub>
                  <m:r>
                    <m:rPr>
                      <m:nor/>
                      <m:sty m:val="p"/>
                    </m:rPr>
                    <m:t>att</m:t>
                  </m:r>
                </m:sub>
              </m:sSub>
            </m:oMath>
            <w:r>
              <w:t xml:space="preserve">, 356–1332 keV</w:t>
            </w:r>
          </w:p>
        </w:tc>
      </w:tr>
      <w:tr>
        <w:tc>
          <w:tcPr/>
          <w:p>
            <w:pPr>
              <w:pStyle w:val="Compact"/>
            </w:pPr>
            <w:r>
              <w:t xml:space="preserve">HDPE/Bi₂O₃</w:t>
            </w:r>
          </w:p>
        </w:tc>
        <w:tc>
          <w:tcPr/>
          <w:p>
            <w:pPr>
              <w:pStyle w:val="Compact"/>
              <w:jc w:val="right"/>
            </w:pPr>
            <w:r>
              <w:t xml:space="preserve">3,193</w:t>
            </w:r>
          </w:p>
        </w:tc>
        <w:tc>
          <w:tcPr/>
          <w:p>
            <w:pPr>
              <w:pStyle w:val="Compact"/>
              <w:jc w:val="right"/>
            </w:pPr>
            <w:r>
              <w:t xml:space="preserve">810</w:t>
            </w:r>
          </w:p>
        </w:tc>
        <w:tc>
          <w:tcPr/>
          <w:p>
            <w:pPr>
              <w:pStyle w:val="Compact"/>
              <w:jc w:val="right"/>
            </w:pPr>
            <w:r>
              <w:t xml:space="preserve">124</w:t>
            </w:r>
          </w:p>
        </w:tc>
        <w:tc>
          <w:tcPr/>
          <w:p>
            <w:pPr>
              <w:pStyle w:val="Compact"/>
              <w:jc w:val="right"/>
            </w:pPr>
            <w:r>
              <w:t xml:space="preserve">30</w:t>
            </w:r>
          </w:p>
        </w:tc>
      </w:tr>
      <w:tr>
        <w:tc>
          <w:tcPr/>
          <w:p>
            <w:pPr>
              <w:pStyle w:val="Compact"/>
            </w:pPr>
            <w:r>
              <w:t xml:space="preserve">HDPE/WO₃</w:t>
            </w:r>
          </w:p>
        </w:tc>
        <w:tc>
          <w:tcPr/>
          <w:p>
            <w:pPr>
              <w:pStyle w:val="Compact"/>
              <w:jc w:val="right"/>
            </w:pPr>
            <w:r>
              <w:t xml:space="preserve">1,850</w:t>
            </w:r>
          </w:p>
        </w:tc>
        <w:tc>
          <w:tcPr/>
          <w:p>
            <w:pPr>
              <w:pStyle w:val="Compact"/>
              <w:jc w:val="right"/>
            </w:pPr>
            <w:r>
              <w:t xml:space="preserve">480</w:t>
            </w:r>
          </w:p>
        </w:tc>
        <w:tc>
          <w:tcPr/>
          <w:p>
            <w:pPr>
              <w:pStyle w:val="Compact"/>
              <w:jc w:val="right"/>
            </w:pPr>
            <w:r>
              <w:t xml:space="preserve">130</w:t>
            </w:r>
          </w:p>
        </w:tc>
        <w:tc>
          <w:tcPr/>
          <w:p>
            <w:pPr>
              <w:pStyle w:val="Compact"/>
              <w:jc w:val="right"/>
            </w:pPr>
            <w:r>
              <w:t xml:space="preserve">30</w:t>
            </w:r>
          </w:p>
        </w:tc>
      </w:tr>
      <w:tr>
        <w:tc>
          <w:tcPr/>
          <w:p>
            <w:pPr>
              <w:pStyle w:val="Compact"/>
            </w:pPr>
            <w:r>
              <w:t xml:space="preserve">HDPE/BaWO₄</w:t>
            </w:r>
          </w:p>
        </w:tc>
        <w:tc>
          <w:tcPr/>
          <w:p>
            <w:pPr>
              <w:pStyle w:val="Compact"/>
              <w:jc w:val="right"/>
            </w:pPr>
            <w:r>
              <w:t xml:space="preserve">1,350</w:t>
            </w:r>
          </w:p>
        </w:tc>
        <w:tc>
          <w:tcPr/>
          <w:p>
            <w:pPr>
              <w:pStyle w:val="Compact"/>
              <w:jc w:val="right"/>
            </w:pPr>
            <w:r>
              <w:t xml:space="preserve">310</w:t>
            </w:r>
          </w:p>
        </w:tc>
        <w:tc>
          <w:tcPr/>
          <w:p>
            <w:pPr>
              <w:pStyle w:val="Compact"/>
              <w:jc w:val="right"/>
            </w:pPr>
            <w:r>
              <w:t xml:space="preserve">116</w:t>
            </w:r>
          </w:p>
        </w:tc>
        <w:tc>
          <w:tcPr/>
          <w:p>
            <w:pPr>
              <w:pStyle w:val="Compact"/>
              <w:jc w:val="right"/>
            </w:pPr>
            <w:r>
              <w:t xml:space="preserve">30</w:t>
            </w:r>
          </w:p>
        </w:tc>
      </w:tr>
      <w:tr>
        <w:tc>
          <w:tcPr/>
          <w:p>
            <w:pPr>
              <w:pStyle w:val="Compact"/>
            </w:pPr>
            <w:r>
              <w:t xml:space="preserve">HDPE/Bi₂O₃/WO₃*</w:t>
            </w:r>
          </w:p>
        </w:tc>
        <w:tc>
          <w:tcPr/>
          <w:p>
            <w:pPr>
              <w:pStyle w:val="Compact"/>
              <w:jc w:val="right"/>
            </w:pPr>
            <w:r>
              <w:t xml:space="preserve">1,797</w:t>
            </w:r>
          </w:p>
        </w:tc>
        <w:tc>
          <w:tcPr/>
          <w:p>
            <w:pPr>
              <w:pStyle w:val="Compact"/>
              <w:jc w:val="right"/>
            </w:pPr>
            <w:r>
              <w:t xml:space="preserve">440</w:t>
            </w:r>
          </w:p>
        </w:tc>
        <w:tc>
          <w:tcPr/>
          <w:p>
            <w:pPr>
              <w:pStyle w:val="Compact"/>
              <w:jc w:val="right"/>
            </w:pPr>
            <w:r>
              <w:t xml:space="preserve">105</w:t>
            </w:r>
          </w:p>
        </w:tc>
        <w:tc>
          <w:tcPr/>
          <w:p>
            <w:pPr>
              <w:pStyle w:val="Compact"/>
              <w:jc w:val="right"/>
            </w:pPr>
            <w:r>
              <w:t xml:space="preserve">20</w:t>
            </w:r>
          </w:p>
        </w:tc>
      </w:tr>
      <w:tr>
        <w:tc>
          <w:tcPr/>
          <w:p>
            <w:pPr>
              <w:pStyle w:val="Compact"/>
            </w:pPr>
            <w:r>
              <w:t xml:space="preserve">HDPE/Gd₂O₃</w:t>
            </w:r>
          </w:p>
        </w:tc>
        <w:tc>
          <w:tcPr/>
          <w:p>
            <w:pPr>
              <w:pStyle w:val="Compact"/>
              <w:jc w:val="right"/>
            </w:pPr>
            <w:r>
              <w:t xml:space="preserve">1,447</w:t>
            </w:r>
          </w:p>
        </w:tc>
        <w:tc>
          <w:tcPr/>
          <w:p>
            <w:pPr>
              <w:pStyle w:val="Compact"/>
              <w:jc w:val="right"/>
            </w:pPr>
            <w:r>
              <w:t xml:space="preserve">350</w:t>
            </w:r>
          </w:p>
        </w:tc>
        <w:tc>
          <w:tcPr/>
          <w:p>
            <w:pPr>
              <w:pStyle w:val="Compact"/>
              <w:jc w:val="right"/>
            </w:pPr>
            <w:r>
              <w:t xml:space="preserve">116</w:t>
            </w:r>
          </w:p>
        </w:tc>
        <w:tc>
          <w:tcPr/>
          <w:p>
            <w:pPr>
              <w:pStyle w:val="Compact"/>
              <w:jc w:val="right"/>
            </w:pPr>
            <w:r>
              <w:t xml:space="preserve">30</w:t>
            </w:r>
          </w:p>
        </w:tc>
      </w:tr>
      <w:tr>
        <w:tc>
          <w:tcPr/>
          <w:p>
            <w:pPr>
              <w:pStyle w:val="Compact"/>
            </w:pPr>
            <w:r>
              <w:t xml:space="preserve">HDPE/PbWO₄</w:t>
            </w:r>
          </w:p>
        </w:tc>
        <w:tc>
          <w:tcPr/>
          <w:p>
            <w:pPr>
              <w:pStyle w:val="Compact"/>
              <w:jc w:val="right"/>
            </w:pPr>
            <w:r>
              <w:t xml:space="preserve">2,666</w:t>
            </w:r>
          </w:p>
        </w:tc>
        <w:tc>
          <w:tcPr/>
          <w:p>
            <w:pPr>
              <w:pStyle w:val="Compact"/>
              <w:jc w:val="right"/>
            </w:pPr>
            <w:r>
              <w:t xml:space="preserve">650</w:t>
            </w:r>
          </w:p>
        </w:tc>
        <w:tc>
          <w:tcPr/>
          <w:p>
            <w:pPr>
              <w:pStyle w:val="Compact"/>
              <w:jc w:val="right"/>
            </w:pPr>
            <w:r>
              <w:t xml:space="preserve">126</w:t>
            </w:r>
          </w:p>
        </w:tc>
        <w:tc>
          <w:tcPr/>
          <w:p>
            <w:pPr>
              <w:pStyle w:val="Compact"/>
              <w:jc w:val="right"/>
            </w:pPr>
            <w:r>
              <w:t xml:space="preserve">30</w:t>
            </w:r>
          </w:p>
        </w:tc>
      </w:tr>
    </w:tbl>
    <w:p>
      <w:pPr>
        <w:pStyle w:val="CaptionedFigure"/>
      </w:pPr>
      <w:r>
        <w:drawing>
          <wp:inline>
            <wp:extent cx="5334000" cy="2336942"/>
            <wp:effectExtent b="0" l="0" r="0" t="0"/>
            <wp:docPr descr="Figure 3. Cross-regime H1 ratio heatmaps at 30–150 keV. Panel A shows Regime B / Regime A ratios for the 1 µm G4PVParameterised RVE. Panel B shows Regime C / Regime A ratios for the 250 nm G4MultiUnion RVE. The ternary row is boxed and marked as a hybrid non-H1-equivalent stress test because only Bi₂O₃ is spatialised in the explicit geometry." title="" id="40" name="Picture"/>
            <a:graphic>
              <a:graphicData uri="http://schemas.openxmlformats.org/drawingml/2006/picture">
                <pic:pic>
                  <pic:nvPicPr>
                    <pic:cNvPr descr="../../../results/paper3/figures/v10/paper3_v10_fig3_cross_regime_ratio_heatmaps.png" id="41" name="Picture"/>
                    <pic:cNvPicPr>
                      <a:picLocks noChangeArrowheads="1" noChangeAspect="1"/>
                    </pic:cNvPicPr>
                  </pic:nvPicPr>
                  <pic:blipFill>
                    <a:blip r:embed="rId39"/>
                    <a:stretch>
                      <a:fillRect/>
                    </a:stretch>
                  </pic:blipFill>
                  <pic:spPr bwMode="auto">
                    <a:xfrm>
                      <a:off x="0" y="0"/>
                      <a:ext cx="5334000" cy="2336942"/>
                    </a:xfrm>
                    <a:prstGeom prst="rect">
                      <a:avLst/>
                    </a:prstGeom>
                    <a:noFill/>
                    <a:ln w="9525">
                      <a:noFill/>
                      <a:headEnd/>
                      <a:tailEnd/>
                    </a:ln>
                  </pic:spPr>
                </pic:pic>
              </a:graphicData>
            </a:graphic>
          </wp:inline>
        </w:drawing>
      </w:r>
    </w:p>
    <w:p>
      <w:pPr>
        <w:pStyle w:val="ImageCaption"/>
      </w:pPr>
      <w:r>
        <w:t xml:space="preserve">Figure 3. Cross-regime H1 ratio heatmaps at 30–150 keV. Panel A shows Regime B / Regime A ratios for the 1 µm</w:t>
      </w:r>
      <w:r>
        <w:t xml:space="preserve"> </w:t>
      </w:r>
      <w:r>
        <w:rPr>
          <w:rStyle w:val="VerbatimChar"/>
        </w:rPr>
        <w:t xml:space="preserve">G4PVParameterised</w:t>
      </w:r>
      <w:r>
        <w:t xml:space="preserve"> </w:t>
      </w:r>
      <w:r>
        <w:t xml:space="preserve">RVE. Panel B shows Regime C / Regime A ratios for the 250 nm</w:t>
      </w:r>
      <w:r>
        <w:t xml:space="preserve"> </w:t>
      </w:r>
      <w:r>
        <w:rPr>
          <w:rStyle w:val="VerbatimChar"/>
        </w:rPr>
        <w:t xml:space="preserve">G4MultiUnion</w:t>
      </w:r>
      <w:r>
        <w:t xml:space="preserve"> </w:t>
      </w:r>
      <w:r>
        <w:t xml:space="preserve">RVE. The ternary row is boxed and marked as a hybrid non-H1-equivalent stress test because only Bi₂O₃ is spatialised in the explicit geometry.</w:t>
      </w:r>
    </w:p>
    <w:p>
      <w:pPr>
        <w:pStyle w:val="CaptionedFigure"/>
      </w:pPr>
      <w:r>
        <w:drawing>
          <wp:inline>
            <wp:extent cx="5334000" cy="3400650"/>
            <wp:effectExtent b="0" l="0" r="0" t="0"/>
            <wp:docPr descr="Figure 4. Explicit-RVE attenuation curves against the matched Regime-A baseline. Black curves are Regime A; blue triangles are Regime B; red squares are Regime C. The five binary systems show close agreement in the 30–150 keV H1 window, while high-energy explicit-RVE points broaden because the attenuated counts are small. The ternary panel is labelled as a hybrid explicit geometry." title="" id="43" name="Picture"/>
            <a:graphic>
              <a:graphicData uri="http://schemas.openxmlformats.org/drawingml/2006/picture">
                <pic:pic>
                  <pic:nvPicPr>
                    <pic:cNvPr descr="../../../results/paper3/figures/v10/paper3_v10_fig4_explicit_rve_agreement.png" id="44" name="Picture"/>
                    <pic:cNvPicPr>
                      <a:picLocks noChangeArrowheads="1" noChangeAspect="1"/>
                    </pic:cNvPicPr>
                  </pic:nvPicPr>
                  <pic:blipFill>
                    <a:blip r:embed="rId42"/>
                    <a:stretch>
                      <a:fillRect/>
                    </a:stretch>
                  </pic:blipFill>
                  <pic:spPr bwMode="auto">
                    <a:xfrm>
                      <a:off x="0" y="0"/>
                      <a:ext cx="5334000" cy="3400650"/>
                    </a:xfrm>
                    <a:prstGeom prst="rect">
                      <a:avLst/>
                    </a:prstGeom>
                    <a:noFill/>
                    <a:ln w="9525">
                      <a:noFill/>
                      <a:headEnd/>
                      <a:tailEnd/>
                    </a:ln>
                  </pic:spPr>
                </pic:pic>
              </a:graphicData>
            </a:graphic>
          </wp:inline>
        </w:drawing>
      </w:r>
    </w:p>
    <w:p>
      <w:pPr>
        <w:pStyle w:val="ImageCaption"/>
      </w:pPr>
      <w:r>
        <w:t xml:space="preserve">Figure 4. Explicit-RVE attenuation curves against the matched Regime-A baseline. Black curves are Regime A; blue triangles are Regime B; red squares are Regime C. The five binary systems show close agreement in the 30–150 keV H1 window, while high-energy explicit-RVE points broaden because the attenuated counts are small. The ternary panel is labelled as a hybrid explicit geometry.</w:t>
      </w:r>
    </w:p>
    <w:bookmarkEnd w:id="45"/>
    <w:bookmarkStart w:id="46" w:name="material-specific-k-edge-findings"/>
    <w:p>
      <w:pPr>
        <w:pStyle w:val="Heading3"/>
      </w:pPr>
      <w:r>
        <w:t xml:space="preserve">5.4 Material-specific K-edge findings</w:t>
      </w:r>
    </w:p>
    <w:p>
      <w:pPr>
        <w:pStyle w:val="FirstParagraph"/>
      </w:pPr>
      <w:r>
        <w:rPr>
          <w:b/>
          <w:bCs/>
        </w:rPr>
        <w:t xml:space="preserve">HDPE/Bi₂O₃.</w:t>
      </w:r>
      <w:r>
        <w:t xml:space="preserve"> </w:t>
      </w:r>
      <w:r>
        <w:t xml:space="preserve">The Bi K-edge at 90.526 keV is captured by the rise from 1.581 cm² g⁻¹ at 80 keV to 3.578 cm² g⁻¹ at 100 keV in Regime A. Regime B resolves the same trend, with μ/ρ increasing from 1.557 to 3.512 cm² g⁻¹.</w:t>
      </w:r>
    </w:p>
    <w:p>
      <w:pPr>
        <w:pStyle w:val="BodyText"/>
      </w:pPr>
      <w:r>
        <w:rPr>
          <w:b/>
          <w:bCs/>
        </w:rPr>
        <w:t xml:space="preserve">HDPE/WO₃.</w:t>
      </w:r>
      <w:r>
        <w:t xml:space="preserve"> </w:t>
      </w:r>
      <w:r>
        <w:t xml:space="preserve">The W K-edge at 69.525 keV produces the anti-intuitive increase from 3.080 cm² g⁻¹ at 50 keV to 4.045 cm² g⁻¹ at 80 keV, despite the normal</w:t>
      </w:r>
      <w:r>
        <w:t xml:space="preserve"> </w:t>
      </w:r>
      <m:oMath>
        <m:sSup>
          <m:e>
            <m:r>
              <m:t>E</m:t>
            </m:r>
          </m:e>
          <m:sup>
            <m:r>
              <m:rPr>
                <m:sty m:val="p"/>
              </m:rPr>
              <m:t>−</m:t>
            </m:r>
            <m:r>
              <m:t>3</m:t>
            </m:r>
          </m:sup>
        </m:sSup>
      </m:oMath>
      <w:r>
        <w:t xml:space="preserve"> </w:t>
      </w:r>
      <w:r>
        <w:t xml:space="preserve">photoelectric falloff. Regime B and C preserve this feature.</w:t>
      </w:r>
    </w:p>
    <w:p>
      <w:pPr>
        <w:pStyle w:val="BodyText"/>
      </w:pPr>
      <w:r>
        <w:rPr>
          <w:b/>
          <w:bCs/>
        </w:rPr>
        <w:t xml:space="preserve">HDPE/BaWO₄.</w:t>
      </w:r>
      <w:r>
        <w:t xml:space="preserve"> </w:t>
      </w:r>
      <w:r>
        <w:t xml:space="preserve">BaWO₄ combines a Ba K-edge at 37.441 keV and a W K-edge at 69.525 keV. The 30–50 keV interval crosses the Ba K-edge but remains dominated by the large low-energy photoelectric decrease. The 50–80 keV interval crosses the W K-edge, partially offsetting the expected falloff.</w:t>
      </w:r>
    </w:p>
    <w:p>
      <w:pPr>
        <w:pStyle w:val="BodyText"/>
      </w:pPr>
      <w:r>
        <w:rPr>
          <w:b/>
          <w:bCs/>
        </w:rPr>
        <w:t xml:space="preserve">HDPE/Bi₂O₃/WO₃ ternary.</w:t>
      </w:r>
      <w:r>
        <w:t xml:space="preserve"> </w:t>
      </w:r>
      <w:r>
        <w:t xml:space="preserve">The Regime-A ternary mixture passes XCOM and shows additive dual-edge behaviour: the W-containing composition shapes the 50–80 keV interval, and the Bi K-edge produces a 9.9% μ/ρ increase from 80 to 100 keV. The explicit-RVE ternary implementation does not reproduce the full ternary attenuation because it spatialises only Bi₂O₃, making it a useful cautionary case rather than a validated H1 result.</w:t>
      </w:r>
    </w:p>
    <w:p>
      <w:pPr>
        <w:pStyle w:val="BodyText"/>
      </w:pPr>
      <w:r>
        <w:rPr>
          <w:b/>
          <w:bCs/>
        </w:rPr>
        <w:t xml:space="preserve">HDPE/Gd₂O₃.</w:t>
      </w:r>
      <w:r>
        <w:t xml:space="preserve"> </w:t>
      </w:r>
      <w:r>
        <w:t xml:space="preserve">The Gd K-edge lies at 50.239 keV, almost coincident with the 50 keV grid point. The 2.933% maximum XCOM deviation at 50 keV is therefore physically unsurprising and remains within the 5% gate. The K-edge opening is confirmed by the 45.7% μ/ρ increase from 50 to 80 keV.</w:t>
      </w:r>
    </w:p>
    <w:p>
      <w:pPr>
        <w:pStyle w:val="BodyText"/>
      </w:pPr>
      <w:r>
        <w:rPr>
          <w:b/>
          <w:bCs/>
        </w:rPr>
        <w:t xml:space="preserve">HDPE/PbWO₄.</w:t>
      </w:r>
      <w:r>
        <w:t xml:space="preserve"> </w:t>
      </w:r>
      <w:r>
        <w:t xml:space="preserve">PbWO₄ combines the W K-edge at 69.525 keV and Pb K-edge at 88.005 keV. The Pb K-edge is visible as a modest rise from 2.928 cm² g⁻¹ at 80 keV to 2.979 cm² g⁻¹ at 100 keV. Regime B preserves the same direction, with 2.857 to 2.970 cm² g⁻¹.</w:t>
      </w:r>
    </w:p>
    <w:bookmarkEnd w:id="46"/>
    <w:bookmarkStart w:id="47" w:name="legacy-30-wt-bi₂o₃-validation"/>
    <w:p>
      <w:pPr>
        <w:pStyle w:val="Heading3"/>
      </w:pPr>
      <w:r>
        <w:t xml:space="preserve">5.5 Legacy 30 wt% Bi₂O₃ validation</w:t>
      </w:r>
    </w:p>
    <w:p>
      <w:pPr>
        <w:pStyle w:val="FirstParagraph"/>
      </w:pPr>
      <w:r>
        <w:t xml:space="preserve">The v08 30 wt% HDPE/Bi₂O₃ Regime-A validation case is retained as a separate calibration run. It achieved mean |Δ|=0.549% and max |Δ|=2.013% against XCOM over 30 keV–1.332 MeV. Because its supplied density is not the volume-rule density for 30 wt% Bi₂O₃, it is not used in the cross-regime H1 comparisons.</w:t>
      </w:r>
    </w:p>
    <w:p>
      <w:r>
        <w:pict>
          <v:rect style="width:0;height:1.5pt" o:hralign="center" o:hrstd="t" o:hr="t"/>
        </w:pict>
      </w:r>
    </w:p>
    <w:bookmarkEnd w:id="47"/>
    <w:bookmarkEnd w:id="48"/>
    <w:bookmarkStart w:id="57" w:name="discussion"/>
    <w:p>
      <w:pPr>
        <w:pStyle w:val="Heading2"/>
      </w:pPr>
      <w:r>
        <w:t xml:space="preserve">6. Discussion</w:t>
      </w:r>
    </w:p>
    <w:bookmarkStart w:id="49" w:name="claim-hierarchy"/>
    <w:p>
      <w:pPr>
        <w:pStyle w:val="Heading3"/>
      </w:pPr>
      <w:r>
        <w:t xml:space="preserve">6.1 Claim hierarchy</w:t>
      </w:r>
    </w:p>
    <w:p>
      <w:pPr>
        <w:pStyle w:val="FirstParagraph"/>
      </w:pPr>
      <w:r>
        <w:t xml:space="preserve">The benchmark supports a narrow but useful conclusion: for macroscopic narrow-beam photon attenuation, a composition-correct homogeneous Geant4 material is sufficient for the HDPE/high-Z nanocomposites tested here. This conclusion rests on three evidence layers. First, all six Regime-A materials pass XCOM acceptance with sub-1% mean deviations and &lt;3% maximum deviations (Figure 1 and Table 1). Second, the K-edge structure expected from Ba, Gd, W, Pb, and Bi is preserved without material-specific tuning (Figure 2 and Table 2). Third, the five composition-equivalent binary Regime-B RVEs agree with Regime A within the ±3% H1 gate at every 30–150 keV point (Table 3 and Figure 3A).</w:t>
      </w:r>
    </w:p>
    <w:p>
      <w:pPr>
        <w:pStyle w:val="BodyText"/>
      </w:pPr>
      <w:r>
        <w:t xml:space="preserve">This claim does not say that nanoscale geometry is irrelevant for every observable. It says that the particle coordinates do not measurably change bulk μ/ρ in the tested μr ≪ 1 regime when density, composition, source, physics list, and scoring are fixed.</w:t>
      </w:r>
    </w:p>
    <w:bookmarkEnd w:id="49"/>
    <w:bookmarkStart w:id="50" w:name="X4f7c4206ee1c357b1f31310d60182aad0799825"/>
    <w:p>
      <w:pPr>
        <w:pStyle w:val="Heading3"/>
      </w:pPr>
      <w:r>
        <w:t xml:space="preserve">6.2 Relationship to current shielding practice</w:t>
      </w:r>
    </w:p>
    <w:p>
      <w:pPr>
        <w:pStyle w:val="FirstParagraph"/>
      </w:pPr>
      <w:r>
        <w:t xml:space="preserve">Recent radiation-shielding papers commonly combine experimental material preparation with Geant4, XCOM, Phys-X/PSD, EpiXS, or MCNP-style attenuation comparisons [12–17]. That literature establishes the shielding merit of specific heavy-oxide nanocomposites, glasses, and polymer fillers. The present work is complementary: it does not propose a new best absorber, but tests a modelling assumption that those workflows often rely on implicitly. By holding the material composition constant and changing only the geometric representation, the campaign separates material performance from geometry-regime validity.</w:t>
      </w:r>
    </w:p>
    <w:p>
      <w:pPr>
        <w:pStyle w:val="BodyText"/>
      </w:pPr>
      <w:r>
        <w:t xml:space="preserve">The result explains why many homogeneous-mixture simulations agree well with reference attenuation tools even when the experimental material is called a nanocomposite. For transmission through millimetre- to centimetre-scale shields, XCOM and homogeneous Geant4 respond primarily to elemental composition and density. Explicit nanoparticles become scientifically necessary when the observable is local, phase-resolved, or interface-sensitive rather than a bulk attenuation coefficient.</w:t>
      </w:r>
    </w:p>
    <w:bookmarkEnd w:id="50"/>
    <w:bookmarkStart w:id="54" w:name="practical-modelling-workflow"/>
    <w:p>
      <w:pPr>
        <w:pStyle w:val="Heading3"/>
      </w:pPr>
      <w:r>
        <w:t xml:space="preserve">6.3 Practical modelling workflow</w:t>
      </w:r>
    </w:p>
    <w:p>
      <w:pPr>
        <w:pStyle w:val="FirstParagraph"/>
      </w:pPr>
      <w:r>
        <w:t xml:space="preserve">The most defensible workflow is therefore tiered. Regime A should be the production model for routine macroscopic shielding calculations because it is fast, directly benchmarkable against XCOM, and avoids unnecessary geometry overhead. Regime B should be used when an explicit RVE is needed to validate homogenisation, quantify phase-specific scoring, or prepare future local-dose studies;</w:t>
      </w:r>
      <w:r>
        <w:t xml:space="preserve"> </w:t>
      </w:r>
      <w:r>
        <w:rPr>
          <w:rStyle w:val="VerbatimChar"/>
        </w:rPr>
        <w:t xml:space="preserve">G4PVParameterised</w:t>
      </w:r>
      <w:r>
        <w:t xml:space="preserve"> </w:t>
      </w:r>
      <w:r>
        <w:t xml:space="preserve">remains scalable for O(10³) spheres. Regime C should be treated as a small-RVE feasibility and geometry-construction check, not the primary validation model, because</w:t>
      </w:r>
      <w:r>
        <w:t xml:space="preserve"> </w:t>
      </w:r>
      <w:r>
        <w:rPr>
          <w:rStyle w:val="VerbatimChar"/>
        </w:rPr>
        <w:t xml:space="preserve">G4MultiUnion</w:t>
      </w:r>
      <w:r>
        <w:t xml:space="preserve"> </w:t>
      </w:r>
      <w:r>
        <w:t xml:space="preserve">voxelisation becomes memory-limited as particle count increases.</w:t>
      </w:r>
    </w:p>
    <w:p>
      <w:pPr>
        <w:pStyle w:val="BodyText"/>
      </w:pPr>
      <w:r>
        <w:t xml:space="preserve">Figure 5 condenses this recommendation into a modelling decision workflow. The figure is included as a conceptual synthesis of the benchmark rather than as an additional simulation endpoint: it maps each geometry regime to its defensible use, evidence level, and interpretation limit.</w:t>
      </w:r>
    </w:p>
    <w:p>
      <w:pPr>
        <w:pStyle w:val="CaptionedFigure"/>
      </w:pPr>
      <w:r>
        <w:drawing>
          <wp:inline>
            <wp:extent cx="5334000" cy="2685996"/>
            <wp:effectExtent b="0" l="0" r="0" t="0"/>
            <wp:docPr descr="Figure 5. Modelling workflow derived from the six-material benchmark. Regime A is the recommended production path for macroscopic bulk attenuation and XCOM benchmarking. Regime B is the explicit-particle validation path for composition-equivalent RVEs and future phase-aware scoring. Regime C is retained as a memory-limited feasibility check. The decision rule emphasizes that explicit geometry is necessary only for local or phase-resolved observables, or when a homogeneous model must be validated; composition equivalence is mandatory for H1 claims." title="" id="52" name="Picture"/>
            <a:graphic>
              <a:graphicData uri="http://schemas.openxmlformats.org/drawingml/2006/picture">
                <pic:pic>
                  <pic:nvPicPr>
                    <pic:cNvPr descr="../../../results/paper3/figures/v10/paper3_v10_fig5_modelling_workflow.png" id="53" name="Picture"/>
                    <pic:cNvPicPr>
                      <a:picLocks noChangeArrowheads="1" noChangeAspect="1"/>
                    </pic:cNvPicPr>
                  </pic:nvPicPr>
                  <pic:blipFill>
                    <a:blip r:embed="rId51"/>
                    <a:stretch>
                      <a:fillRect/>
                    </a:stretch>
                  </pic:blipFill>
                  <pic:spPr bwMode="auto">
                    <a:xfrm>
                      <a:off x="0" y="0"/>
                      <a:ext cx="5334000" cy="2685996"/>
                    </a:xfrm>
                    <a:prstGeom prst="rect">
                      <a:avLst/>
                    </a:prstGeom>
                    <a:noFill/>
                    <a:ln w="9525">
                      <a:noFill/>
                      <a:headEnd/>
                      <a:tailEnd/>
                    </a:ln>
                  </pic:spPr>
                </pic:pic>
              </a:graphicData>
            </a:graphic>
          </wp:inline>
        </w:drawing>
      </w:r>
    </w:p>
    <w:p>
      <w:pPr>
        <w:pStyle w:val="ImageCaption"/>
      </w:pPr>
      <w:r>
        <w:t xml:space="preserve">Figure 5. Modelling workflow derived from the six-material benchmark. Regime A is the recommended production path for macroscopic bulk attenuation and XCOM benchmarking. Regime B is the explicit-particle validation path for composition-equivalent RVEs and future phase-aware scoring. Regime C is retained as a memory-limited feasibility check. The decision rule emphasizes that explicit geometry is necessary only for local or phase-resolved observables, or when a homogeneous model must be validated; composition equivalence is mandatory for H1 claims.</w:t>
      </w:r>
    </w:p>
    <w:p>
      <w:pPr>
        <w:pStyle w:val="BodyText"/>
      </w:pPr>
      <w:r>
        <w:t xml:space="preserve">The Regime-C results are useful in that context. They preserve the broad attenuation trends but show larger pointwise fluctuations for BaWO₄, Gd₂O₃, and PbWO₄ (Table 4 and Figure 3B). Figure 4 shows why these deviations should be interpreted cautiously: in the 250 nm geometry, high-energy attenuation events fall to O(10–100), so counting uncertainty and finite-RVE sampling can dominate pointwise ratios.</w:t>
      </w:r>
    </w:p>
    <w:bookmarkEnd w:id="54"/>
    <w:bookmarkStart w:id="55" w:name="ternary-negative-control-lesson"/>
    <w:p>
      <w:pPr>
        <w:pStyle w:val="Heading3"/>
      </w:pPr>
      <w:r>
        <w:t xml:space="preserve">6.4 Ternary negative-control lesson</w:t>
      </w:r>
    </w:p>
    <w:p>
      <w:pPr>
        <w:pStyle w:val="FirstParagraph"/>
      </w:pPr>
      <w:r>
        <w:t xml:space="preserve">The ternary case defines the boundary of the conclusion. Regime A correctly represents HDPE/Bi₂O₃/WO₃ as a full effective medium and passes XCOM, but the explicit ternary RVEs spatialise Bi₂O₃ only. Their B/A and C/A ratios are therefore not failures of the effective-medium approximation; they are failures of composition equivalence. The large deficit near 80 keV is exactly what should occur when the W-bearing phase contributes to the reference μ/ρ but is absent from the explicit particles.</w:t>
      </w:r>
    </w:p>
    <w:p>
      <w:pPr>
        <w:pStyle w:val="BodyText"/>
      </w:pPr>
      <w:r>
        <w:t xml:space="preserve">This negative control is important because it prevents an attractive but wrong generalisation. A multi-filler explicit RVE can validate a multi-filler effective medium only if every attenuation-relevant phase is represented consistently, or if any effective background replacement is independently justified. Hybrid geometries are useful for debugging and stress testing, but not for H1 pass/fail claims about the full ternary material.</w:t>
      </w:r>
    </w:p>
    <w:bookmarkEnd w:id="55"/>
    <w:bookmarkStart w:id="56" w:name="implications-for-future-work"/>
    <w:p>
      <w:pPr>
        <w:pStyle w:val="Heading3"/>
      </w:pPr>
      <w:r>
        <w:t xml:space="preserve">6.5 Implications for future work</w:t>
      </w:r>
    </w:p>
    <w:p>
      <w:pPr>
        <w:pStyle w:val="FirstParagraph"/>
      </w:pPr>
      <w:r>
        <w:t xml:space="preserve">The next scientific step is not another bulk attenuation sweep with more fillers; the current evidence already shows the expected composition-governed behaviour for this class of observable. The higher-value extension is phase-resolved scoring: local radial dose, interfacial energy deposition, secondary electron production, and particle-size or clustering effects. Those are the observables for which explicit nanoscale geometry may become physically decisive. A composition-equivalent dual-filler ternary RVE is also required before any strong statement can be made about multi-filler explicit geometry beyond the negative-control result reported here.</w:t>
      </w:r>
    </w:p>
    <w:p>
      <w:r>
        <w:pict>
          <v:rect style="width:0;height:1.5pt" o:hralign="center" o:hrstd="t" o:hr="t"/>
        </w:pict>
      </w:r>
    </w:p>
    <w:bookmarkEnd w:id="56"/>
    <w:bookmarkEnd w:id="57"/>
    <w:bookmarkStart w:id="58" w:name="conclusions"/>
    <w:p>
      <w:pPr>
        <w:pStyle w:val="Heading2"/>
      </w:pPr>
      <w:r>
        <w:t xml:space="preserve">7. Conclusions</w:t>
      </w:r>
    </w:p>
    <w:p>
      <w:pPr>
        <w:pStyle w:val="FirstParagraph"/>
      </w:pPr>
      <w:r>
        <w:t xml:space="preserve">This work tested whether explicit nanoparticle geometry changes macroscopic photon attenuation in HDPE/high-Z shielding nanocomposites when composition, density, physics list, source, and scoring are fixed.</w:t>
      </w:r>
    </w:p>
    <w:p>
      <w:pPr>
        <w:pStyle w:val="BodyText"/>
      </w:pPr>
      <w:r>
        <w:t xml:space="preserve">Effective-medium Geant4 is quantitatively valid for the tested bulk attenuation problem: all six Regime-A materials pass XCOM with mean absolute deviations of 0.339–0.793% and maximum deviations of 0.967–2.933%. The main H1 result also holds for composition-equivalent binary explicit RVEs, because HDPE/Bi₂O₃, HDPE/WO₃, HDPE/BaWO₄, HDPE/Gd₂O₃, and HDPE/PbWO₄ all agree with matched Regime-A baselines within ±3% at 30–150 keV using the 1 µm</w:t>
      </w:r>
      <w:r>
        <w:t xml:space="preserve"> </w:t>
      </w:r>
      <w:r>
        <w:rPr>
          <w:rStyle w:val="VerbatimChar"/>
        </w:rPr>
        <w:t xml:space="preserve">G4PVParameterised</w:t>
      </w:r>
      <w:r>
        <w:t xml:space="preserve"> </w:t>
      </w:r>
      <w:r>
        <w:t xml:space="preserve">RVE.</w:t>
      </w:r>
    </w:p>
    <w:p>
      <w:pPr>
        <w:pStyle w:val="BodyText"/>
      </w:pPr>
      <w:r>
        <w:t xml:space="preserve">The benchmark reproduces Bi, W, Ba/W, Gd, and Pb/W K-edge behaviour without material-specific tuning, supporting the robustness of the Geant4/XCOM comparison for these fillers.</w:t>
      </w:r>
      <w:r>
        <w:t xml:space="preserve"> </w:t>
      </w:r>
      <w:r>
        <w:rPr>
          <w:rStyle w:val="VerbatimChar"/>
        </w:rPr>
        <w:t xml:space="preserve">G4MultiUnion</w:t>
      </w:r>
      <w:r>
        <w:t xml:space="preserve"> </w:t>
      </w:r>
      <w:r>
        <w:t xml:space="preserve">remains useful as an independent geometry path, but the 250 nm multi-union cases are better interpreted as small-RVE feasibility checks because they show larger finite-RVE and counting fluctuations than the 1 µm parameterised geometry. The ternary explicit-RVE case defines the negative-control validity boundary: a full HDPE/Bi₂O₃/WO₃ effective medium can pass XCOM, but an explicit RVE that spatialises only Bi₂O₃ is not composition-equivalent and cannot validate the full ternary material.</w:t>
      </w:r>
    </w:p>
    <w:p>
      <w:pPr>
        <w:pStyle w:val="BodyText"/>
      </w:pPr>
      <w:r>
        <w:t xml:space="preserve">The recommended workflow is Regime A for production macroscopic shielding, Regime B for explicit-particle validation or phase-aware scoring, and Regime C for small-RVE feasibility checks. Multi-filler explicit RVEs must enforce composition equivalence before any H1 validation claim is made.</w:t>
      </w:r>
    </w:p>
    <w:p>
      <w:r>
        <w:pict>
          <v:rect style="width:0;height:1.5pt" o:hralign="center" o:hrstd="t" o:hr="t"/>
        </w:pict>
      </w:r>
    </w:p>
    <w:bookmarkEnd w:id="58"/>
    <w:bookmarkStart w:id="59" w:name="limitations-and-validity-scope"/>
    <w:p>
      <w:pPr>
        <w:pStyle w:val="Heading2"/>
      </w:pPr>
      <w:r>
        <w:t xml:space="preserve">8. Limitations and Validity Scope</w:t>
      </w:r>
    </w:p>
    <w:p>
      <w:pPr>
        <w:pStyle w:val="FirstParagraph"/>
      </w:pPr>
      <w:r>
        <w:t xml:space="preserve">Several limitations define the validity scope. The manuscript evaluates transmitted fluence and μ/ρ only; interface dose-enhancement factors and radial dose profiles require phase-resolved scoring and are deferred to the H2 study. The ternary Regime-B and Regime-C runs spatialise Bi₂O₃ only, so a future composition-equivalent ternary RVE must resolve both Bi₂O₃ and WO₃ phases or implement an explicitly validated effective background before any full multi-filler H1 claim is made.</w:t>
      </w:r>
    </w:p>
    <w:p>
      <w:pPr>
        <w:pStyle w:val="BodyText"/>
      </w:pPr>
      <w:r>
        <w:t xml:space="preserve">The Regime-C geometry is also finite by construction. The 250 nm</w:t>
      </w:r>
      <w:r>
        <w:t xml:space="preserve"> </w:t>
      </w:r>
      <w:r>
        <w:rPr>
          <w:rStyle w:val="VerbatimChar"/>
        </w:rPr>
        <w:t xml:space="preserve">G4MultiUnion</w:t>
      </w:r>
      <w:r>
        <w:t xml:space="preserve"> </w:t>
      </w:r>
      <w:r>
        <w:t xml:space="preserve">RVE is the largest practical configuration on the 8 GB workstation used here, and its 45-particle binary RVEs are sufficient for feasibility checks but not for high-precision convergence claims. The main benchmark is narrow-beam attenuation; broad-beam buildup observables were retained only for the legacy Bi₂O₃ validation case. Densities are volume-rule values or user-specified literature inputs, with no measured densities available for the simulated specimens. Neutron, electron, and charged-particle transport are outside the scope of this paper, and all explicit-RVE studies use 25 nm radius spheres without modelling particle-size distributions, clustering, aggregation, or imperfect dispersion.</w:t>
      </w:r>
    </w:p>
    <w:p>
      <w:r>
        <w:pict>
          <v:rect style="width:0;height:1.5pt" o:hralign="center" o:hrstd="t" o:hr="t"/>
        </w:pict>
      </w:r>
    </w:p>
    <w:bookmarkEnd w:id="59"/>
    <w:bookmarkStart w:id="60" w:name="X2d8f1b2f27b31457b82c6dbfacb1816390ebf9a"/>
    <w:p>
      <w:pPr>
        <w:pStyle w:val="Heading2"/>
      </w:pPr>
      <w:r>
        <w:t xml:space="preserve">9. Reproducibility, Code Availability, and Ethics</w:t>
      </w:r>
    </w:p>
    <w:p>
      <w:pPr>
        <w:pStyle w:val="FirstParagraph"/>
      </w:pPr>
      <w:r>
        <w:rPr>
          <w:b/>
          <w:bCs/>
        </w:rPr>
        <w:t xml:space="preserve">Software availability.</w:t>
      </w:r>
      <w:r>
        <w:t xml:space="preserve"> </w:t>
      </w:r>
      <w:r>
        <w:t xml:space="preserve">ShieldLab G4 v1.1 (tag to be assigned upon paper submission) is released under the MIT licence. Source code is available at the repository root.</w:t>
      </w:r>
    </w:p>
    <w:p>
      <w:pPr>
        <w:pStyle w:val="BodyText"/>
      </w:pPr>
      <w:r>
        <w:rPr>
          <w:b/>
          <w:bCs/>
        </w:rPr>
        <w:t xml:space="preserve">Data availability.</w:t>
      </w:r>
      <w:r>
        <w:t xml:space="preserve"> </w:t>
      </w:r>
      <w:r>
        <w:t xml:space="preserve">Benchmark study JSON files, raw scorer outputs, derived CSV files, and figure-generation scripts for this paper are released in</w:t>
      </w:r>
      <w:r>
        <w:t xml:space="preserve"> </w:t>
      </w:r>
      <w:r>
        <w:rPr>
          <w:rStyle w:val="VerbatimChar"/>
        </w:rPr>
        <w:t xml:space="preserve">results/paper3/</w:t>
      </w:r>
      <w:r>
        <w:t xml:space="preserve"> </w:t>
      </w:r>
      <w:r>
        <w:t xml:space="preserve">under CC-BY 4.0.</w:t>
      </w:r>
    </w:p>
    <w:p>
      <w:pPr>
        <w:pStyle w:val="BodyText"/>
      </w:pPr>
      <w:r>
        <w:rPr>
          <w:b/>
          <w:bCs/>
        </w:rPr>
        <w:t xml:space="preserve">Compute environment.</w:t>
      </w:r>
      <w:r>
        <w:t xml:space="preserve"> </w:t>
      </w:r>
      <w:r>
        <w:t xml:space="preserve">The simulations used Geant4 11.4-beta-01 on WSL Ubuntu 22.04 and Python 3.11 on the Windows host through the</w:t>
      </w:r>
      <w:r>
        <w:t xml:space="preserve"> </w:t>
      </w:r>
      <w:r>
        <w:rPr>
          <w:rStyle w:val="VerbatimChar"/>
        </w:rPr>
        <w:t xml:space="preserve">d:\uv_envs</w:t>
      </w:r>
      <w:r>
        <w:t xml:space="preserve"> </w:t>
      </w:r>
      <w:r>
        <w:t xml:space="preserve">virtual environment. The primary benchmark command was</w:t>
      </w:r>
      <w:r>
        <w:t xml:space="preserve"> </w:t>
      </w:r>
      <w:r>
        <w:rPr>
          <w:rStyle w:val="VerbatimChar"/>
        </w:rPr>
        <w:t xml:space="preserve">python -m shieldlab.analysis.nano_benchmark &lt;study.json&gt; --wsl-distro Ubuntu --geant4-setup /home/negm_/geant4-install/bin/geant4.sh --executable ./build/ShieldLabG4 --no-plots --build-dir .</w:t>
      </w:r>
      <w:r>
        <w:t xml:space="preserve">. Journal-ready PNG/PDF/SVG figures were generated with</w:t>
      </w:r>
      <w:r>
        <w:t xml:space="preserve"> </w:t>
      </w:r>
      <w:r>
        <w:rPr>
          <w:rStyle w:val="VerbatimChar"/>
        </w:rPr>
        <w:t xml:space="preserve">python scripts/generate_paper3_v10_figures.py</w:t>
      </w:r>
      <w:r>
        <w:t xml:space="preserve"> </w:t>
      </w:r>
      <w:r>
        <w:t xml:space="preserve">and written to</w:t>
      </w:r>
      <w:r>
        <w:t xml:space="preserve"> </w:t>
      </w:r>
      <w:r>
        <w:rPr>
          <w:rStyle w:val="VerbatimChar"/>
        </w:rPr>
        <w:t xml:space="preserve">results/paper3/figures/v10/</w:t>
      </w:r>
      <w:r>
        <w:t xml:space="preserve"> </w:t>
      </w:r>
      <w:r>
        <w:t xml:space="preserve">with a manifest.</w:t>
      </w:r>
    </w:p>
    <w:p>
      <w:pPr>
        <w:pStyle w:val="BodyText"/>
      </w:pPr>
      <w:r>
        <w:rPr>
          <w:b/>
          <w:bCs/>
        </w:rPr>
        <w:t xml:space="preserve">Ethics, funding, and competing interests.</w:t>
      </w:r>
      <w:r>
        <w:t xml:space="preserve"> </w:t>
      </w:r>
      <w:r>
        <w:t xml:space="preserve">This study used no human participants, no animal data, and no clinical data. No external funding was received, and the author declares no conflict of interest.</w:t>
      </w:r>
    </w:p>
    <w:p>
      <w:pPr>
        <w:pStyle w:val="BodyText"/>
      </w:pPr>
      <w:r>
        <w:rPr>
          <w:b/>
          <w:bCs/>
        </w:rPr>
        <w:t xml:space="preserve">AI-assisted writing disclosure.</w:t>
      </w:r>
      <w:r>
        <w:t xml:space="preserve"> </w:t>
      </w:r>
      <w:r>
        <w:t xml:space="preserve">Portions of the manuscript were drafted with the assistance of GitHub Copilot in agent mode; all physics claims, results, citations, and code were independently verified by the author before submission, consistent with COPE 2023 guidance.</w:t>
      </w:r>
    </w:p>
    <w:p>
      <w:r>
        <w:pict>
          <v:rect style="width:0;height:1.5pt" o:hralign="center" o:hrstd="t" o:hr="t"/>
        </w:pict>
      </w:r>
    </w:p>
    <w:bookmarkEnd w:id="60"/>
    <w:bookmarkStart w:id="67" w:name="X89def8c0ef4588031a85155ace293be666dd801"/>
    <w:p>
      <w:pPr>
        <w:pStyle w:val="Heading2"/>
      </w:pPr>
      <w:r>
        <w:t xml:space="preserve">Appendix A. Regime-A XCOM Comparison Tables</w:t>
      </w:r>
    </w:p>
    <w:bookmarkStart w:id="61" w:name="a.1-hdpebi₂o₃-φ0.189"/>
    <w:p>
      <w:pPr>
        <w:pStyle w:val="Heading3"/>
      </w:pPr>
      <w:r>
        <w:t xml:space="preserve">A.1 HDPE/Bi₂O₃ φ=0.189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w:r>
              <w:t xml:space="preserve">Δ (%)</w:t>
            </w:r>
          </w:p>
        </w:tc>
      </w:tr>
      <w:tr>
        <w:tc>
          <w:tcPr/>
          <w:p>
            <w:pPr>
              <w:pStyle w:val="Compact"/>
              <w:jc w:val="right"/>
            </w:pPr>
            <w:r>
              <w:t xml:space="preserve">30</w:t>
            </w:r>
          </w:p>
        </w:tc>
        <w:tc>
          <w:tcPr/>
          <w:p>
            <w:pPr>
              <w:pStyle w:val="Compact"/>
              <w:jc w:val="right"/>
            </w:pPr>
            <w:r>
              <w:t xml:space="preserve">0.649496</w:t>
            </w:r>
          </w:p>
        </w:tc>
        <w:tc>
          <w:tcPr/>
          <w:p>
            <w:pPr>
              <w:pStyle w:val="Compact"/>
              <w:jc w:val="right"/>
            </w:pPr>
            <w:r>
              <w:t xml:space="preserve">19.542</w:t>
            </w:r>
          </w:p>
        </w:tc>
        <w:tc>
          <w:tcPr/>
          <w:p>
            <w:pPr>
              <w:pStyle w:val="Compact"/>
              <w:jc w:val="right"/>
            </w:pPr>
            <w:r>
              <w:t xml:space="preserve">19.507</w:t>
            </w:r>
          </w:p>
        </w:tc>
        <w:tc>
          <w:tcPr/>
          <w:p>
            <w:pPr>
              <w:pStyle w:val="Compact"/>
              <w:jc w:val="right"/>
            </w:pPr>
            <w:r>
              <w:t xml:space="preserve">+0.18</w:t>
            </w:r>
          </w:p>
        </w:tc>
      </w:tr>
      <w:tr>
        <w:tc>
          <w:tcPr/>
          <w:p>
            <w:pPr>
              <w:pStyle w:val="Compact"/>
              <w:jc w:val="right"/>
            </w:pPr>
            <w:r>
              <w:t xml:space="preserve">50</w:t>
            </w:r>
          </w:p>
        </w:tc>
        <w:tc>
          <w:tcPr/>
          <w:p>
            <w:pPr>
              <w:pStyle w:val="Compact"/>
              <w:jc w:val="right"/>
            </w:pPr>
            <w:r>
              <w:t xml:space="preserve">0.650992</w:t>
            </w:r>
          </w:p>
        </w:tc>
        <w:tc>
          <w:tcPr/>
          <w:p>
            <w:pPr>
              <w:pStyle w:val="Compact"/>
              <w:jc w:val="right"/>
            </w:pPr>
            <w:r>
              <w:t xml:space="preserve">5.218</w:t>
            </w:r>
          </w:p>
        </w:tc>
        <w:tc>
          <w:tcPr/>
          <w:p>
            <w:pPr>
              <w:pStyle w:val="Compact"/>
              <w:jc w:val="right"/>
            </w:pPr>
            <w:r>
              <w:t xml:space="preserve">5.236</w:t>
            </w:r>
          </w:p>
        </w:tc>
        <w:tc>
          <w:tcPr/>
          <w:p>
            <w:pPr>
              <w:pStyle w:val="Compact"/>
              <w:jc w:val="right"/>
            </w:pPr>
            <w:r>
              <w:t xml:space="preserve">−0.35</w:t>
            </w:r>
          </w:p>
        </w:tc>
      </w:tr>
      <w:tr>
        <w:tc>
          <w:tcPr/>
          <w:p>
            <w:pPr>
              <w:pStyle w:val="Compact"/>
              <w:jc w:val="right"/>
            </w:pPr>
            <w:r>
              <w:t xml:space="preserve">80</w:t>
            </w:r>
          </w:p>
        </w:tc>
        <w:tc>
          <w:tcPr/>
          <w:p>
            <w:pPr>
              <w:pStyle w:val="Compact"/>
              <w:jc w:val="right"/>
            </w:pPr>
            <w:r>
              <w:t xml:space="preserve">0.656895</w:t>
            </w:r>
          </w:p>
        </w:tc>
        <w:tc>
          <w:tcPr/>
          <w:p>
            <w:pPr>
              <w:pStyle w:val="Compact"/>
              <w:jc w:val="right"/>
            </w:pPr>
            <w:r>
              <w:t xml:space="preserve">1.581</w:t>
            </w:r>
          </w:p>
        </w:tc>
        <w:tc>
          <w:tcPr/>
          <w:p>
            <w:pPr>
              <w:pStyle w:val="Compact"/>
              <w:jc w:val="right"/>
            </w:pPr>
            <w:r>
              <w:t xml:space="preserve">1.621</w:t>
            </w:r>
          </w:p>
        </w:tc>
        <w:tc>
          <w:tcPr/>
          <w:p>
            <w:pPr>
              <w:pStyle w:val="Compact"/>
              <w:jc w:val="right"/>
            </w:pPr>
            <w:r>
              <w:t xml:space="preserve">−2.45</w:t>
            </w:r>
          </w:p>
        </w:tc>
      </w:tr>
      <w:tr>
        <w:tc>
          <w:tcPr/>
          <w:p>
            <w:pPr>
              <w:pStyle w:val="Compact"/>
              <w:jc w:val="right"/>
            </w:pPr>
            <w:r>
              <w:t xml:space="preserve">100</w:t>
            </w:r>
          </w:p>
        </w:tc>
        <w:tc>
          <w:tcPr/>
          <w:p>
            <w:pPr>
              <w:pStyle w:val="Compact"/>
              <w:jc w:val="right"/>
            </w:pPr>
            <w:r>
              <w:t xml:space="preserve">0.651467</w:t>
            </w:r>
          </w:p>
        </w:tc>
        <w:tc>
          <w:tcPr/>
          <w:p>
            <w:pPr>
              <w:pStyle w:val="Compact"/>
              <w:jc w:val="right"/>
            </w:pPr>
            <w:r>
              <w:t xml:space="preserve">3.578</w:t>
            </w:r>
          </w:p>
        </w:tc>
        <w:tc>
          <w:tcPr/>
          <w:p>
            <w:pPr>
              <w:pStyle w:val="Compact"/>
              <w:jc w:val="right"/>
            </w:pPr>
            <w:r>
              <w:t xml:space="preserve">3.596</w:t>
            </w:r>
          </w:p>
        </w:tc>
        <w:tc>
          <w:tcPr/>
          <w:p>
            <w:pPr>
              <w:pStyle w:val="Compact"/>
              <w:jc w:val="right"/>
            </w:pPr>
            <w:r>
              <w:t xml:space="preserve">−0.52</w:t>
            </w:r>
          </w:p>
        </w:tc>
      </w:tr>
      <w:tr>
        <w:tc>
          <w:tcPr/>
          <w:p>
            <w:pPr>
              <w:pStyle w:val="Compact"/>
              <w:jc w:val="right"/>
            </w:pPr>
            <w:r>
              <w:t xml:space="preserve">150</w:t>
            </w:r>
          </w:p>
        </w:tc>
        <w:tc>
          <w:tcPr/>
          <w:p>
            <w:pPr>
              <w:pStyle w:val="Compact"/>
              <w:jc w:val="right"/>
            </w:pPr>
            <w:r>
              <w:t xml:space="preserve">0.650565</w:t>
            </w:r>
          </w:p>
        </w:tc>
        <w:tc>
          <w:tcPr/>
          <w:p>
            <w:pPr>
              <w:pStyle w:val="Compact"/>
              <w:jc w:val="right"/>
            </w:pPr>
            <w:r>
              <w:t xml:space="preserve">1.336</w:t>
            </w:r>
          </w:p>
        </w:tc>
        <w:tc>
          <w:tcPr/>
          <w:p>
            <w:pPr>
              <w:pStyle w:val="Compact"/>
              <w:jc w:val="right"/>
            </w:pPr>
            <w:r>
              <w:t xml:space="preserve">1.339</w:t>
            </w:r>
          </w:p>
        </w:tc>
        <w:tc>
          <w:tcPr/>
          <w:p>
            <w:pPr>
              <w:pStyle w:val="Compact"/>
              <w:jc w:val="right"/>
            </w:pPr>
            <w:r>
              <w:t xml:space="preserve">−0.20</w:t>
            </w:r>
          </w:p>
        </w:tc>
      </w:tr>
      <w:tr>
        <w:tc>
          <w:tcPr/>
          <w:p>
            <w:pPr>
              <w:pStyle w:val="Compact"/>
              <w:jc w:val="right"/>
            </w:pPr>
            <w:r>
              <w:t xml:space="preserve">356</w:t>
            </w:r>
          </w:p>
        </w:tc>
        <w:tc>
          <w:tcPr/>
          <w:p>
            <w:pPr>
              <w:pStyle w:val="Compact"/>
              <w:jc w:val="right"/>
            </w:pPr>
            <w:r>
              <w:t xml:space="preserve">0.652574</w:t>
            </w:r>
          </w:p>
        </w:tc>
        <w:tc>
          <w:tcPr/>
          <w:p>
            <w:pPr>
              <w:pStyle w:val="Compact"/>
              <w:jc w:val="right"/>
            </w:pPr>
            <w:r>
              <w:t xml:space="preserve">0.2249</w:t>
            </w:r>
          </w:p>
        </w:tc>
        <w:tc>
          <w:tcPr/>
          <w:p>
            <w:pPr>
              <w:pStyle w:val="Compact"/>
              <w:jc w:val="right"/>
            </w:pPr>
            <w:r>
              <w:t xml:space="preserve">0.2270</w:t>
            </w:r>
          </w:p>
        </w:tc>
        <w:tc>
          <w:tcPr/>
          <w:p>
            <w:pPr>
              <w:pStyle w:val="Compact"/>
              <w:jc w:val="right"/>
            </w:pPr>
            <w:r>
              <w:t xml:space="preserve">−0.92</w:t>
            </w:r>
          </w:p>
        </w:tc>
      </w:tr>
      <w:tr>
        <w:tc>
          <w:tcPr/>
          <w:p>
            <w:pPr>
              <w:pStyle w:val="Compact"/>
              <w:jc w:val="right"/>
            </w:pPr>
            <w:r>
              <w:t xml:space="preserve">511</w:t>
            </w:r>
          </w:p>
        </w:tc>
        <w:tc>
          <w:tcPr/>
          <w:p>
            <w:pPr>
              <w:pStyle w:val="Compact"/>
              <w:jc w:val="right"/>
            </w:pPr>
            <w:r>
              <w:t xml:space="preserve">0.651168</w:t>
            </w:r>
          </w:p>
        </w:tc>
        <w:tc>
          <w:tcPr/>
          <w:p>
            <w:pPr>
              <w:pStyle w:val="Compact"/>
              <w:jc w:val="right"/>
            </w:pPr>
            <w:r>
              <w:t xml:space="preserve">0.1353</w:t>
            </w:r>
          </w:p>
        </w:tc>
        <w:tc>
          <w:tcPr/>
          <w:p>
            <w:pPr>
              <w:pStyle w:val="Compact"/>
              <w:jc w:val="right"/>
            </w:pPr>
            <w:r>
              <w:t xml:space="preserve">0.1358</w:t>
            </w:r>
          </w:p>
        </w:tc>
        <w:tc>
          <w:tcPr/>
          <w:p>
            <w:pPr>
              <w:pStyle w:val="Compact"/>
              <w:jc w:val="right"/>
            </w:pPr>
            <w:r>
              <w:t xml:space="preserve">−0.42</w:t>
            </w:r>
          </w:p>
        </w:tc>
      </w:tr>
      <w:tr>
        <w:tc>
          <w:tcPr/>
          <w:p>
            <w:pPr>
              <w:pStyle w:val="Compact"/>
              <w:jc w:val="right"/>
            </w:pPr>
            <w:r>
              <w:t xml:space="preserve">662</w:t>
            </w:r>
          </w:p>
        </w:tc>
        <w:tc>
          <w:tcPr/>
          <w:p>
            <w:pPr>
              <w:pStyle w:val="Compact"/>
              <w:jc w:val="right"/>
            </w:pPr>
            <w:r>
              <w:t xml:space="preserve">0.652160</w:t>
            </w:r>
          </w:p>
        </w:tc>
        <w:tc>
          <w:tcPr/>
          <w:p>
            <w:pPr>
              <w:pStyle w:val="Compact"/>
              <w:jc w:val="right"/>
            </w:pPr>
            <w:r>
              <w:t xml:space="preserve">0.1021</w:t>
            </w:r>
          </w:p>
        </w:tc>
        <w:tc>
          <w:tcPr/>
          <w:p>
            <w:pPr>
              <w:pStyle w:val="Compact"/>
              <w:jc w:val="right"/>
            </w:pPr>
            <w:r>
              <w:t xml:space="preserve">0.1029</w:t>
            </w:r>
          </w:p>
        </w:tc>
        <w:tc>
          <w:tcPr/>
          <w:p>
            <w:pPr>
              <w:pStyle w:val="Compact"/>
              <w:jc w:val="right"/>
            </w:pPr>
            <w:r>
              <w:t xml:space="preserve">−0.77</w:t>
            </w:r>
          </w:p>
        </w:tc>
      </w:tr>
      <w:tr>
        <w:tc>
          <w:tcPr/>
          <w:p>
            <w:pPr>
              <w:pStyle w:val="Compact"/>
              <w:jc w:val="right"/>
            </w:pPr>
            <w:r>
              <w:t xml:space="preserve">1173</w:t>
            </w:r>
          </w:p>
        </w:tc>
        <w:tc>
          <w:tcPr/>
          <w:p>
            <w:pPr>
              <w:pStyle w:val="Compact"/>
              <w:jc w:val="right"/>
            </w:pPr>
            <w:r>
              <w:t xml:space="preserve">0.651123</w:t>
            </w:r>
          </w:p>
        </w:tc>
        <w:tc>
          <w:tcPr/>
          <w:p>
            <w:pPr>
              <w:pStyle w:val="Compact"/>
              <w:jc w:val="right"/>
            </w:pPr>
            <w:r>
              <w:t xml:space="preserve">0.06365</w:t>
            </w:r>
          </w:p>
        </w:tc>
        <w:tc>
          <w:tcPr/>
          <w:p>
            <w:pPr>
              <w:pStyle w:val="Compact"/>
              <w:jc w:val="right"/>
            </w:pPr>
            <w:r>
              <w:t xml:space="preserve">0.06391</w:t>
            </w:r>
          </w:p>
        </w:tc>
        <w:tc>
          <w:tcPr/>
          <w:p>
            <w:pPr>
              <w:pStyle w:val="Compact"/>
              <w:jc w:val="right"/>
            </w:pPr>
            <w:r>
              <w:t xml:space="preserve">−0.40</w:t>
            </w:r>
          </w:p>
        </w:tc>
      </w:tr>
      <w:tr>
        <w:tc>
          <w:tcPr/>
          <w:p>
            <w:pPr>
              <w:pStyle w:val="Compact"/>
              <w:jc w:val="right"/>
            </w:pPr>
            <w:r>
              <w:t xml:space="preserve">1332</w:t>
            </w:r>
          </w:p>
        </w:tc>
        <w:tc>
          <w:tcPr/>
          <w:p>
            <w:pPr>
              <w:pStyle w:val="Compact"/>
              <w:jc w:val="right"/>
            </w:pPr>
            <w:r>
              <w:t xml:space="preserve">0.652863</w:t>
            </w:r>
          </w:p>
        </w:tc>
        <w:tc>
          <w:tcPr/>
          <w:p>
            <w:pPr>
              <w:pStyle w:val="Compact"/>
              <w:jc w:val="right"/>
            </w:pPr>
            <w:r>
              <w:t xml:space="preserve">0.05818</w:t>
            </w:r>
          </w:p>
        </w:tc>
        <w:tc>
          <w:tcPr/>
          <w:p>
            <w:pPr>
              <w:pStyle w:val="Compact"/>
              <w:jc w:val="right"/>
            </w:pPr>
            <w:r>
              <w:t xml:space="preserve">0.05878</w:t>
            </w:r>
          </w:p>
        </w:tc>
        <w:tc>
          <w:tcPr/>
          <w:p>
            <w:pPr>
              <w:pStyle w:val="Compact"/>
              <w:jc w:val="right"/>
            </w:pPr>
            <w:r>
              <w:t xml:space="preserve">−1.02</w:t>
            </w:r>
          </w:p>
        </w:tc>
      </w:tr>
    </w:tbl>
    <w:bookmarkEnd w:id="61"/>
    <w:bookmarkStart w:id="62" w:name="a.2-hdpewo₃-φ0.189"/>
    <w:p>
      <w:pPr>
        <w:pStyle w:val="Heading3"/>
      </w:pPr>
      <w:r>
        <w:t xml:space="preserve">A.2 HDPE/WO₃ φ=0.189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w:r>
              <w:t xml:space="preserve">Δ (%)</w:t>
            </w:r>
          </w:p>
        </w:tc>
      </w:tr>
      <w:tr>
        <w:tc>
          <w:tcPr/>
          <w:p>
            <w:pPr>
              <w:pStyle w:val="Compact"/>
              <w:jc w:val="right"/>
            </w:pPr>
            <w:r>
              <w:t xml:space="preserve">30</w:t>
            </w:r>
          </w:p>
        </w:tc>
        <w:tc>
          <w:tcPr/>
          <w:p>
            <w:pPr>
              <w:pStyle w:val="Compact"/>
              <w:jc w:val="right"/>
            </w:pPr>
            <w:r>
              <w:t xml:space="preserve">0.649330</w:t>
            </w:r>
          </w:p>
        </w:tc>
        <w:tc>
          <w:tcPr/>
          <w:p>
            <w:pPr>
              <w:pStyle w:val="Compact"/>
              <w:jc w:val="right"/>
            </w:pPr>
            <w:r>
              <w:t xml:space="preserve">11.661</w:t>
            </w:r>
          </w:p>
        </w:tc>
        <w:tc>
          <w:tcPr/>
          <w:p>
            <w:pPr>
              <w:pStyle w:val="Compact"/>
              <w:jc w:val="right"/>
            </w:pPr>
            <w:r>
              <w:t xml:space="preserve">11.633</w:t>
            </w:r>
          </w:p>
        </w:tc>
        <w:tc>
          <w:tcPr/>
          <w:p>
            <w:pPr>
              <w:pStyle w:val="Compact"/>
              <w:jc w:val="right"/>
            </w:pPr>
            <w:r>
              <w:t xml:space="preserve">+0.24</w:t>
            </w:r>
          </w:p>
        </w:tc>
      </w:tr>
      <w:tr>
        <w:tc>
          <w:tcPr/>
          <w:p>
            <w:pPr>
              <w:pStyle w:val="Compact"/>
              <w:jc w:val="right"/>
            </w:pPr>
            <w:r>
              <w:t xml:space="preserve">50</w:t>
            </w:r>
          </w:p>
        </w:tc>
        <w:tc>
          <w:tcPr/>
          <w:p>
            <w:pPr>
              <w:pStyle w:val="Compact"/>
              <w:jc w:val="right"/>
            </w:pPr>
            <w:r>
              <w:t xml:space="preserve">0.652710</w:t>
            </w:r>
          </w:p>
        </w:tc>
        <w:tc>
          <w:tcPr/>
          <w:p>
            <w:pPr>
              <w:pStyle w:val="Compact"/>
              <w:jc w:val="right"/>
            </w:pPr>
            <w:r>
              <w:t xml:space="preserve">3.080</w:t>
            </w:r>
          </w:p>
        </w:tc>
        <w:tc>
          <w:tcPr/>
          <w:p>
            <w:pPr>
              <w:pStyle w:val="Compact"/>
              <w:jc w:val="right"/>
            </w:pPr>
            <w:r>
              <w:t xml:space="preserve">3.110</w:t>
            </w:r>
          </w:p>
        </w:tc>
        <w:tc>
          <w:tcPr/>
          <w:p>
            <w:pPr>
              <w:pStyle w:val="Compact"/>
              <w:jc w:val="right"/>
            </w:pPr>
            <w:r>
              <w:t xml:space="preserve">−0.97</w:t>
            </w:r>
          </w:p>
        </w:tc>
      </w:tr>
      <w:tr>
        <w:tc>
          <w:tcPr/>
          <w:p>
            <w:pPr>
              <w:pStyle w:val="Compact"/>
              <w:jc w:val="right"/>
            </w:pPr>
            <w:r>
              <w:t xml:space="preserve">80</w:t>
            </w:r>
          </w:p>
        </w:tc>
        <w:tc>
          <w:tcPr/>
          <w:p>
            <w:pPr>
              <w:pStyle w:val="Compact"/>
              <w:jc w:val="right"/>
            </w:pPr>
            <w:r>
              <w:t xml:space="preserve">0.649280</w:t>
            </w:r>
          </w:p>
        </w:tc>
        <w:tc>
          <w:tcPr/>
          <w:p>
            <w:pPr>
              <w:pStyle w:val="Compact"/>
              <w:jc w:val="right"/>
            </w:pPr>
            <w:r>
              <w:t xml:space="preserve">4.045</w:t>
            </w:r>
          </w:p>
        </w:tc>
        <w:tc>
          <w:tcPr/>
          <w:p>
            <w:pPr>
              <w:pStyle w:val="Compact"/>
              <w:jc w:val="right"/>
            </w:pPr>
            <w:r>
              <w:t xml:space="preserve">4.035</w:t>
            </w:r>
          </w:p>
        </w:tc>
        <w:tc>
          <w:tcPr/>
          <w:p>
            <w:pPr>
              <w:pStyle w:val="Compact"/>
              <w:jc w:val="right"/>
            </w:pPr>
            <w:r>
              <w:t xml:space="preserve">+0.26</w:t>
            </w:r>
          </w:p>
        </w:tc>
      </w:tr>
      <w:tr>
        <w:tc>
          <w:tcPr/>
          <w:p>
            <w:pPr>
              <w:pStyle w:val="Compact"/>
              <w:jc w:val="right"/>
            </w:pPr>
            <w:r>
              <w:t xml:space="preserve">100</w:t>
            </w:r>
          </w:p>
        </w:tc>
        <w:tc>
          <w:tcPr/>
          <w:p>
            <w:pPr>
              <w:pStyle w:val="Compact"/>
              <w:jc w:val="right"/>
            </w:pPr>
            <w:r>
              <w:t xml:space="preserve">0.649630</w:t>
            </w:r>
          </w:p>
        </w:tc>
        <w:tc>
          <w:tcPr/>
          <w:p>
            <w:pPr>
              <w:pStyle w:val="Compact"/>
              <w:jc w:val="right"/>
            </w:pPr>
            <w:r>
              <w:t xml:space="preserve">2.328</w:t>
            </w:r>
          </w:p>
        </w:tc>
        <w:tc>
          <w:tcPr/>
          <w:p>
            <w:pPr>
              <w:pStyle w:val="Compact"/>
              <w:jc w:val="right"/>
            </w:pPr>
            <w:r>
              <w:t xml:space="preserve">2.325</w:t>
            </w:r>
          </w:p>
        </w:tc>
        <w:tc>
          <w:tcPr/>
          <w:p>
            <w:pPr>
              <w:pStyle w:val="Compact"/>
              <w:jc w:val="right"/>
            </w:pPr>
            <w:r>
              <w:t xml:space="preserve">+0.13</w:t>
            </w:r>
          </w:p>
        </w:tc>
      </w:tr>
      <w:tr>
        <w:tc>
          <w:tcPr/>
          <w:p>
            <w:pPr>
              <w:pStyle w:val="Compact"/>
              <w:jc w:val="right"/>
            </w:pPr>
            <w:r>
              <w:t xml:space="preserve">150</w:t>
            </w:r>
          </w:p>
        </w:tc>
        <w:tc>
          <w:tcPr/>
          <w:p>
            <w:pPr>
              <w:pStyle w:val="Compact"/>
              <w:jc w:val="right"/>
            </w:pPr>
            <w:r>
              <w:t xml:space="preserve">0.649800</w:t>
            </w:r>
          </w:p>
        </w:tc>
        <w:tc>
          <w:tcPr/>
          <w:p>
            <w:pPr>
              <w:pStyle w:val="Compact"/>
              <w:jc w:val="right"/>
            </w:pPr>
            <w:r>
              <w:t xml:space="preserve">0.873</w:t>
            </w:r>
          </w:p>
        </w:tc>
        <w:tc>
          <w:tcPr/>
          <w:p>
            <w:pPr>
              <w:pStyle w:val="Compact"/>
              <w:jc w:val="right"/>
            </w:pPr>
            <w:r>
              <w:t xml:space="preserve">0.8725</w:t>
            </w:r>
          </w:p>
        </w:tc>
        <w:tc>
          <w:tcPr/>
          <w:p>
            <w:pPr>
              <w:pStyle w:val="Compact"/>
              <w:jc w:val="right"/>
            </w:pPr>
            <w:r>
              <w:t xml:space="preserve">+0.07</w:t>
            </w:r>
          </w:p>
        </w:tc>
      </w:tr>
      <w:tr>
        <w:tc>
          <w:tcPr/>
          <w:p>
            <w:pPr>
              <w:pStyle w:val="Compact"/>
              <w:jc w:val="right"/>
            </w:pPr>
            <w:r>
              <w:t xml:space="preserve">356</w:t>
            </w:r>
          </w:p>
        </w:tc>
        <w:tc>
          <w:tcPr/>
          <w:p>
            <w:pPr>
              <w:pStyle w:val="Compact"/>
              <w:jc w:val="right"/>
            </w:pPr>
            <w:r>
              <w:t xml:space="preserve">0.652660</w:t>
            </w:r>
          </w:p>
        </w:tc>
        <w:tc>
          <w:tcPr/>
          <w:p>
            <w:pPr>
              <w:pStyle w:val="Compact"/>
              <w:jc w:val="right"/>
            </w:pPr>
            <w:r>
              <w:t xml:space="preserve">0.173</w:t>
            </w:r>
          </w:p>
        </w:tc>
        <w:tc>
          <w:tcPr/>
          <w:p>
            <w:pPr>
              <w:pStyle w:val="Compact"/>
              <w:jc w:val="right"/>
            </w:pPr>
            <w:r>
              <w:t xml:space="preserve">0.1746</w:t>
            </w:r>
          </w:p>
        </w:tc>
        <w:tc>
          <w:tcPr/>
          <w:p>
            <w:pPr>
              <w:pStyle w:val="Compact"/>
              <w:jc w:val="right"/>
            </w:pPr>
            <w:r>
              <w:t xml:space="preserve">−0.95</w:t>
            </w:r>
          </w:p>
        </w:tc>
      </w:tr>
      <w:tr>
        <w:tc>
          <w:tcPr/>
          <w:p>
            <w:pPr>
              <w:pStyle w:val="Compact"/>
              <w:jc w:val="right"/>
            </w:pPr>
            <w:r>
              <w:t xml:space="preserve">511</w:t>
            </w:r>
          </w:p>
        </w:tc>
        <w:tc>
          <w:tcPr/>
          <w:p>
            <w:pPr>
              <w:pStyle w:val="Compact"/>
              <w:jc w:val="right"/>
            </w:pPr>
            <w:r>
              <w:t xml:space="preserve">0.650760</w:t>
            </w:r>
          </w:p>
        </w:tc>
        <w:tc>
          <w:tcPr/>
          <w:p>
            <w:pPr>
              <w:pStyle w:val="Compact"/>
              <w:jc w:val="right"/>
            </w:pPr>
            <w:r>
              <w:t xml:space="preserve">0.1146</w:t>
            </w:r>
          </w:p>
        </w:tc>
        <w:tc>
          <w:tcPr/>
          <w:p>
            <w:pPr>
              <w:pStyle w:val="Compact"/>
              <w:jc w:val="right"/>
            </w:pPr>
            <w:r>
              <w:t xml:space="preserve">0.1149</w:t>
            </w:r>
          </w:p>
        </w:tc>
        <w:tc>
          <w:tcPr/>
          <w:p>
            <w:pPr>
              <w:pStyle w:val="Compact"/>
              <w:jc w:val="right"/>
            </w:pPr>
            <w:r>
              <w:t xml:space="preserve">−0.27</w:t>
            </w:r>
          </w:p>
        </w:tc>
      </w:tr>
      <w:tr>
        <w:tc>
          <w:tcPr/>
          <w:p>
            <w:pPr>
              <w:pStyle w:val="Compact"/>
              <w:jc w:val="right"/>
            </w:pPr>
            <w:r>
              <w:t xml:space="preserve">662</w:t>
            </w:r>
          </w:p>
        </w:tc>
        <w:tc>
          <w:tcPr/>
          <w:p>
            <w:pPr>
              <w:pStyle w:val="Compact"/>
              <w:jc w:val="right"/>
            </w:pPr>
            <w:r>
              <w:t xml:space="preserve">0.651250</w:t>
            </w:r>
          </w:p>
        </w:tc>
        <w:tc>
          <w:tcPr/>
          <w:p>
            <w:pPr>
              <w:pStyle w:val="Compact"/>
              <w:jc w:val="right"/>
            </w:pPr>
            <w:r>
              <w:t xml:space="preserve">0.09147</w:t>
            </w:r>
          </w:p>
        </w:tc>
        <w:tc>
          <w:tcPr/>
          <w:p>
            <w:pPr>
              <w:pStyle w:val="Compact"/>
              <w:jc w:val="right"/>
            </w:pPr>
            <w:r>
              <w:t xml:space="preserve">0.09188</w:t>
            </w:r>
          </w:p>
        </w:tc>
        <w:tc>
          <w:tcPr/>
          <w:p>
            <w:pPr>
              <w:pStyle w:val="Compact"/>
              <w:jc w:val="right"/>
            </w:pPr>
            <w:r>
              <w:t xml:space="preserve">−0.45</w:t>
            </w:r>
          </w:p>
        </w:tc>
      </w:tr>
      <w:tr>
        <w:tc>
          <w:tcPr/>
          <w:p>
            <w:pPr>
              <w:pStyle w:val="Compact"/>
              <w:jc w:val="right"/>
            </w:pPr>
            <w:r>
              <w:t xml:space="preserve">1173</w:t>
            </w:r>
          </w:p>
        </w:tc>
        <w:tc>
          <w:tcPr/>
          <w:p>
            <w:pPr>
              <w:pStyle w:val="Compact"/>
              <w:jc w:val="right"/>
            </w:pPr>
            <w:r>
              <w:t xml:space="preserve">0.651100</w:t>
            </w:r>
          </w:p>
        </w:tc>
        <w:tc>
          <w:tcPr/>
          <w:p>
            <w:pPr>
              <w:pStyle w:val="Compact"/>
              <w:jc w:val="right"/>
            </w:pPr>
            <w:r>
              <w:t xml:space="preserve">0.06143</w:t>
            </w:r>
          </w:p>
        </w:tc>
        <w:tc>
          <w:tcPr/>
          <w:p>
            <w:pPr>
              <w:pStyle w:val="Compact"/>
              <w:jc w:val="right"/>
            </w:pPr>
            <w:r>
              <w:t xml:space="preserve">0.06167</w:t>
            </w:r>
          </w:p>
        </w:tc>
        <w:tc>
          <w:tcPr/>
          <w:p>
            <w:pPr>
              <w:pStyle w:val="Compact"/>
              <w:jc w:val="right"/>
            </w:pPr>
            <w:r>
              <w:t xml:space="preserve">−0.39</w:t>
            </w:r>
          </w:p>
        </w:tc>
      </w:tr>
      <w:tr>
        <w:tc>
          <w:tcPr/>
          <w:p>
            <w:pPr>
              <w:pStyle w:val="Compact"/>
              <w:jc w:val="right"/>
            </w:pPr>
            <w:r>
              <w:t xml:space="preserve">1332</w:t>
            </w:r>
          </w:p>
        </w:tc>
        <w:tc>
          <w:tcPr/>
          <w:p>
            <w:pPr>
              <w:pStyle w:val="Compact"/>
              <w:jc w:val="right"/>
            </w:pPr>
            <w:r>
              <w:t xml:space="preserve">0.651500</w:t>
            </w:r>
          </w:p>
        </w:tc>
        <w:tc>
          <w:tcPr/>
          <w:p>
            <w:pPr>
              <w:pStyle w:val="Compact"/>
              <w:jc w:val="right"/>
            </w:pPr>
            <w:r>
              <w:t xml:space="preserve">0.05690</w:t>
            </w:r>
          </w:p>
        </w:tc>
        <w:tc>
          <w:tcPr/>
          <w:p>
            <w:pPr>
              <w:pStyle w:val="Compact"/>
              <w:jc w:val="right"/>
            </w:pPr>
            <w:r>
              <w:t xml:space="preserve">0.05720</w:t>
            </w:r>
          </w:p>
        </w:tc>
        <w:tc>
          <w:tcPr/>
          <w:p>
            <w:pPr>
              <w:pStyle w:val="Compact"/>
              <w:jc w:val="right"/>
            </w:pPr>
            <w:r>
              <w:t xml:space="preserve">−0.53</w:t>
            </w:r>
          </w:p>
        </w:tc>
      </w:tr>
    </w:tbl>
    <w:bookmarkEnd w:id="62"/>
    <w:bookmarkStart w:id="63" w:name="a.3-hdpebawo₄-φ0.189"/>
    <w:p>
      <w:pPr>
        <w:pStyle w:val="Heading3"/>
      </w:pPr>
      <w:r>
        <w:t xml:space="preserve">A.3 HDPE/BaWO₄ φ=0.189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w:r>
              <w:t xml:space="preserve">Δ (%)</w:t>
            </w:r>
          </w:p>
        </w:tc>
      </w:tr>
      <w:tr>
        <w:tc>
          <w:tcPr/>
          <w:p>
            <w:pPr>
              <w:pStyle w:val="Compact"/>
              <w:jc w:val="right"/>
            </w:pPr>
            <w:r>
              <w:t xml:space="preserve">30</w:t>
            </w:r>
          </w:p>
        </w:tc>
        <w:tc>
          <w:tcPr/>
          <w:p>
            <w:pPr>
              <w:pStyle w:val="Compact"/>
              <w:jc w:val="right"/>
            </w:pPr>
            <w:r>
              <w:t xml:space="preserve">0.651490</w:t>
            </w:r>
          </w:p>
        </w:tc>
        <w:tc>
          <w:tcPr/>
          <w:p>
            <w:pPr>
              <w:pStyle w:val="Compact"/>
              <w:jc w:val="right"/>
            </w:pPr>
            <w:r>
              <w:t xml:space="preserve">8.730</w:t>
            </w:r>
          </w:p>
        </w:tc>
        <w:tc>
          <w:tcPr/>
          <w:p>
            <w:pPr>
              <w:pStyle w:val="Compact"/>
              <w:jc w:val="right"/>
            </w:pPr>
            <w:r>
              <w:t xml:space="preserve">8.777</w:t>
            </w:r>
          </w:p>
        </w:tc>
        <w:tc>
          <w:tcPr/>
          <w:p>
            <w:pPr>
              <w:pStyle w:val="Compact"/>
              <w:jc w:val="right"/>
            </w:pPr>
            <w:r>
              <w:t xml:space="preserve">−0.532</w:t>
            </w:r>
          </w:p>
        </w:tc>
      </w:tr>
      <w:tr>
        <w:tc>
          <w:tcPr/>
          <w:p>
            <w:pPr>
              <w:pStyle w:val="Compact"/>
              <w:jc w:val="right"/>
            </w:pPr>
            <w:r>
              <w:t xml:space="preserve">50</w:t>
            </w:r>
          </w:p>
        </w:tc>
        <w:tc>
          <w:tcPr/>
          <w:p>
            <w:pPr>
              <w:pStyle w:val="Compact"/>
              <w:jc w:val="right"/>
            </w:pPr>
            <w:r>
              <w:t xml:space="preserve">0.650337</w:t>
            </w:r>
          </w:p>
        </w:tc>
        <w:tc>
          <w:tcPr/>
          <w:p>
            <w:pPr>
              <w:pStyle w:val="Compact"/>
              <w:jc w:val="right"/>
            </w:pPr>
            <w:r>
              <w:t xml:space="preserve">4.754</w:t>
            </w:r>
          </w:p>
        </w:tc>
        <w:tc>
          <w:tcPr/>
          <w:p>
            <w:pPr>
              <w:pStyle w:val="Compact"/>
              <w:jc w:val="right"/>
            </w:pPr>
            <w:r>
              <w:t xml:space="preserve">4.760</w:t>
            </w:r>
          </w:p>
        </w:tc>
        <w:tc>
          <w:tcPr/>
          <w:p>
            <w:pPr>
              <w:pStyle w:val="Compact"/>
              <w:jc w:val="right"/>
            </w:pPr>
            <w:r>
              <w:t xml:space="preserve">−0.120</w:t>
            </w:r>
          </w:p>
        </w:tc>
      </w:tr>
      <w:tr>
        <w:tc>
          <w:tcPr/>
          <w:p>
            <w:pPr>
              <w:pStyle w:val="Compact"/>
              <w:jc w:val="right"/>
            </w:pPr>
            <w:r>
              <w:t xml:space="preserve">80</w:t>
            </w:r>
          </w:p>
        </w:tc>
        <w:tc>
          <w:tcPr/>
          <w:p>
            <w:pPr>
              <w:pStyle w:val="Compact"/>
              <w:jc w:val="right"/>
            </w:pPr>
            <w:r>
              <w:t xml:space="preserve">0.649338</w:t>
            </w:r>
          </w:p>
        </w:tc>
        <w:tc>
          <w:tcPr/>
          <w:p>
            <w:pPr>
              <w:pStyle w:val="Compact"/>
              <w:jc w:val="right"/>
            </w:pPr>
            <w:r>
              <w:t xml:space="preserve">3.183</w:t>
            </w:r>
          </w:p>
        </w:tc>
        <w:tc>
          <w:tcPr/>
          <w:p>
            <w:pPr>
              <w:pStyle w:val="Compact"/>
              <w:jc w:val="right"/>
            </w:pPr>
            <w:r>
              <w:t xml:space="preserve">3.175</w:t>
            </w:r>
          </w:p>
        </w:tc>
        <w:tc>
          <w:tcPr/>
          <w:p>
            <w:pPr>
              <w:pStyle w:val="Compact"/>
              <w:jc w:val="right"/>
            </w:pPr>
            <w:r>
              <w:t xml:space="preserve">+0.237</w:t>
            </w:r>
          </w:p>
        </w:tc>
      </w:tr>
      <w:tr>
        <w:tc>
          <w:tcPr/>
          <w:p>
            <w:pPr>
              <w:pStyle w:val="Compact"/>
              <w:jc w:val="right"/>
            </w:pPr>
            <w:r>
              <w:t xml:space="preserve">100</w:t>
            </w:r>
          </w:p>
        </w:tc>
        <w:tc>
          <w:tcPr/>
          <w:p>
            <w:pPr>
              <w:pStyle w:val="Compact"/>
              <w:jc w:val="right"/>
            </w:pPr>
            <w:r>
              <w:t xml:space="preserve">0.649725</w:t>
            </w:r>
          </w:p>
        </w:tc>
        <w:tc>
          <w:tcPr/>
          <w:p>
            <w:pPr>
              <w:pStyle w:val="Compact"/>
              <w:jc w:val="right"/>
            </w:pPr>
            <w:r>
              <w:t xml:space="preserve">1.827</w:t>
            </w:r>
          </w:p>
        </w:tc>
        <w:tc>
          <w:tcPr/>
          <w:p>
            <w:pPr>
              <w:pStyle w:val="Compact"/>
              <w:jc w:val="right"/>
            </w:pPr>
            <w:r>
              <w:t xml:space="preserve">1.826</w:t>
            </w:r>
          </w:p>
        </w:tc>
        <w:tc>
          <w:tcPr/>
          <w:p>
            <w:pPr>
              <w:pStyle w:val="Compact"/>
              <w:jc w:val="right"/>
            </w:pPr>
            <w:r>
              <w:t xml:space="preserve">+0.098</w:t>
            </w:r>
          </w:p>
        </w:tc>
      </w:tr>
      <w:tr>
        <w:tc>
          <w:tcPr/>
          <w:p>
            <w:pPr>
              <w:pStyle w:val="Compact"/>
              <w:jc w:val="right"/>
            </w:pPr>
            <w:r>
              <w:t xml:space="preserve">150</w:t>
            </w:r>
          </w:p>
        </w:tc>
        <w:tc>
          <w:tcPr/>
          <w:p>
            <w:pPr>
              <w:pStyle w:val="Compact"/>
              <w:jc w:val="right"/>
            </w:pPr>
            <w:r>
              <w:t xml:space="preserve">0.649401</w:t>
            </w:r>
          </w:p>
        </w:tc>
        <w:tc>
          <w:tcPr/>
          <w:p>
            <w:pPr>
              <w:pStyle w:val="Compact"/>
              <w:jc w:val="right"/>
            </w:pPr>
            <w:r>
              <w:t xml:space="preserve">0.697</w:t>
            </w:r>
          </w:p>
        </w:tc>
        <w:tc>
          <w:tcPr/>
          <w:p>
            <w:pPr>
              <w:pStyle w:val="Compact"/>
              <w:jc w:val="right"/>
            </w:pPr>
            <w:r>
              <w:t xml:space="preserve">0.695</w:t>
            </w:r>
          </w:p>
        </w:tc>
        <w:tc>
          <w:tcPr/>
          <w:p>
            <w:pPr>
              <w:pStyle w:val="Compact"/>
              <w:jc w:val="right"/>
            </w:pPr>
            <w:r>
              <w:t xml:space="preserve">+0.214</w:t>
            </w:r>
          </w:p>
        </w:tc>
      </w:tr>
      <w:tr>
        <w:tc>
          <w:tcPr/>
          <w:p>
            <w:pPr>
              <w:pStyle w:val="Compact"/>
              <w:jc w:val="right"/>
            </w:pPr>
            <w:r>
              <w:t xml:space="preserve">356</w:t>
            </w:r>
          </w:p>
        </w:tc>
        <w:tc>
          <w:tcPr/>
          <w:p>
            <w:pPr>
              <w:pStyle w:val="Compact"/>
              <w:jc w:val="right"/>
            </w:pPr>
            <w:r>
              <w:t xml:space="preserve">0.652837</w:t>
            </w:r>
          </w:p>
        </w:tc>
        <w:tc>
          <w:tcPr/>
          <w:p>
            <w:pPr>
              <w:pStyle w:val="Compact"/>
              <w:jc w:val="right"/>
            </w:pPr>
            <w:r>
              <w:t xml:space="preserve">0.154</w:t>
            </w:r>
          </w:p>
        </w:tc>
        <w:tc>
          <w:tcPr/>
          <w:p>
            <w:pPr>
              <w:pStyle w:val="Compact"/>
              <w:jc w:val="right"/>
            </w:pPr>
            <w:r>
              <w:t xml:space="preserve">0.155</w:t>
            </w:r>
          </w:p>
        </w:tc>
        <w:tc>
          <w:tcPr/>
          <w:p>
            <w:pPr>
              <w:pStyle w:val="Compact"/>
              <w:jc w:val="right"/>
            </w:pPr>
            <w:r>
              <w:t xml:space="preserve">−1.011</w:t>
            </w:r>
          </w:p>
        </w:tc>
      </w:tr>
      <w:tr>
        <w:tc>
          <w:tcPr/>
          <w:p>
            <w:pPr>
              <w:pStyle w:val="Compact"/>
              <w:jc w:val="right"/>
            </w:pPr>
            <w:r>
              <w:t xml:space="preserve">511</w:t>
            </w:r>
          </w:p>
        </w:tc>
        <w:tc>
          <w:tcPr/>
          <w:p>
            <w:pPr>
              <w:pStyle w:val="Compact"/>
              <w:jc w:val="right"/>
            </w:pPr>
            <w:r>
              <w:t xml:space="preserve">0.650650</w:t>
            </w:r>
          </w:p>
        </w:tc>
        <w:tc>
          <w:tcPr/>
          <w:p>
            <w:pPr>
              <w:pStyle w:val="Compact"/>
              <w:jc w:val="right"/>
            </w:pPr>
            <w:r>
              <w:t xml:space="preserve">0.107</w:t>
            </w:r>
          </w:p>
        </w:tc>
        <w:tc>
          <w:tcPr/>
          <w:p>
            <w:pPr>
              <w:pStyle w:val="Compact"/>
              <w:jc w:val="right"/>
            </w:pPr>
            <w:r>
              <w:t xml:space="preserve">0.107</w:t>
            </w:r>
          </w:p>
        </w:tc>
        <w:tc>
          <w:tcPr/>
          <w:p>
            <w:pPr>
              <w:pStyle w:val="Compact"/>
              <w:jc w:val="right"/>
            </w:pPr>
            <w:r>
              <w:t xml:space="preserve">−0.232</w:t>
            </w:r>
          </w:p>
        </w:tc>
      </w:tr>
      <w:tr>
        <w:tc>
          <w:tcPr/>
          <w:p>
            <w:pPr>
              <w:pStyle w:val="Compact"/>
              <w:jc w:val="right"/>
            </w:pPr>
            <w:r>
              <w:t xml:space="preserve">662</w:t>
            </w:r>
          </w:p>
        </w:tc>
        <w:tc>
          <w:tcPr/>
          <w:p>
            <w:pPr>
              <w:pStyle w:val="Compact"/>
              <w:jc w:val="right"/>
            </w:pPr>
            <w:r>
              <w:t xml:space="preserve">0.651028</w:t>
            </w:r>
          </w:p>
        </w:tc>
        <w:tc>
          <w:tcPr/>
          <w:p>
            <w:pPr>
              <w:pStyle w:val="Compact"/>
              <w:jc w:val="right"/>
            </w:pPr>
            <w:r>
              <w:t xml:space="preserve">0.087</w:t>
            </w:r>
          </w:p>
        </w:tc>
        <w:tc>
          <w:tcPr/>
          <w:p>
            <w:pPr>
              <w:pStyle w:val="Compact"/>
              <w:jc w:val="right"/>
            </w:pPr>
            <w:r>
              <w:t xml:space="preserve">0.088</w:t>
            </w:r>
          </w:p>
        </w:tc>
        <w:tc>
          <w:tcPr/>
          <w:p>
            <w:pPr>
              <w:pStyle w:val="Compact"/>
              <w:jc w:val="right"/>
            </w:pPr>
            <w:r>
              <w:t xml:space="preserve">−0.367</w:t>
            </w:r>
          </w:p>
        </w:tc>
      </w:tr>
      <w:tr>
        <w:tc>
          <w:tcPr/>
          <w:p>
            <w:pPr>
              <w:pStyle w:val="Compact"/>
              <w:jc w:val="right"/>
            </w:pPr>
            <w:r>
              <w:t xml:space="preserve">1173</w:t>
            </w:r>
          </w:p>
        </w:tc>
        <w:tc>
          <w:tcPr/>
          <w:p>
            <w:pPr>
              <w:pStyle w:val="Compact"/>
              <w:jc w:val="right"/>
            </w:pPr>
            <w:r>
              <w:t xml:space="preserve">0.650962</w:t>
            </w:r>
          </w:p>
        </w:tc>
        <w:tc>
          <w:tcPr/>
          <w:p>
            <w:pPr>
              <w:pStyle w:val="Compact"/>
              <w:jc w:val="right"/>
            </w:pPr>
            <w:r>
              <w:t xml:space="preserve">0.060</w:t>
            </w:r>
          </w:p>
        </w:tc>
        <w:tc>
          <w:tcPr/>
          <w:p>
            <w:pPr>
              <w:pStyle w:val="Compact"/>
              <w:jc w:val="right"/>
            </w:pPr>
            <w:r>
              <w:t xml:space="preserve">0.061</w:t>
            </w:r>
          </w:p>
        </w:tc>
        <w:tc>
          <w:tcPr/>
          <w:p>
            <w:pPr>
              <w:pStyle w:val="Compact"/>
              <w:jc w:val="right"/>
            </w:pPr>
            <w:r>
              <w:t xml:space="preserve">−0.344</w:t>
            </w:r>
          </w:p>
        </w:tc>
      </w:tr>
      <w:tr>
        <w:tc>
          <w:tcPr/>
          <w:p>
            <w:pPr>
              <w:pStyle w:val="Compact"/>
              <w:jc w:val="right"/>
            </w:pPr>
            <w:r>
              <w:t xml:space="preserve">1332</w:t>
            </w:r>
          </w:p>
        </w:tc>
        <w:tc>
          <w:tcPr/>
          <w:p>
            <w:pPr>
              <w:pStyle w:val="Compact"/>
              <w:jc w:val="right"/>
            </w:pPr>
            <w:r>
              <w:t xml:space="preserve">0.650663</w:t>
            </w:r>
          </w:p>
        </w:tc>
        <w:tc>
          <w:tcPr/>
          <w:p>
            <w:pPr>
              <w:pStyle w:val="Compact"/>
              <w:jc w:val="right"/>
            </w:pPr>
            <w:r>
              <w:t xml:space="preserve">0.056</w:t>
            </w:r>
          </w:p>
        </w:tc>
        <w:tc>
          <w:tcPr/>
          <w:p>
            <w:pPr>
              <w:pStyle w:val="Compact"/>
              <w:jc w:val="right"/>
            </w:pPr>
            <w:r>
              <w:t xml:space="preserve">0.056</w:t>
            </w:r>
          </w:p>
        </w:tc>
        <w:tc>
          <w:tcPr/>
          <w:p>
            <w:pPr>
              <w:pStyle w:val="Compact"/>
              <w:jc w:val="right"/>
            </w:pPr>
            <w:r>
              <w:t xml:space="preserve">−0.237</w:t>
            </w:r>
          </w:p>
        </w:tc>
      </w:tr>
    </w:tbl>
    <w:bookmarkEnd w:id="63"/>
    <w:bookmarkStart w:id="64" w:name="a.4-hdpebi₂o₃wo₃-ternary"/>
    <w:p>
      <w:pPr>
        <w:pStyle w:val="Heading3"/>
      </w:pPr>
      <w:r>
        <w:t xml:space="preserve">A.4 HDPE/Bi₂O₃/WO₃ ternary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w:r>
              <w:t xml:space="preserve">Δ (%)</w:t>
            </w:r>
          </w:p>
        </w:tc>
      </w:tr>
      <w:tr>
        <w:tc>
          <w:tcPr/>
          <w:p>
            <w:pPr>
              <w:pStyle w:val="Compact"/>
              <w:jc w:val="right"/>
            </w:pPr>
            <w:r>
              <w:t xml:space="preserve">30</w:t>
            </w:r>
          </w:p>
        </w:tc>
        <w:tc>
          <w:tcPr/>
          <w:p>
            <w:pPr>
              <w:pStyle w:val="Compact"/>
              <w:jc w:val="right"/>
            </w:pPr>
            <w:r>
              <w:t xml:space="preserve">0.649456</w:t>
            </w:r>
          </w:p>
        </w:tc>
        <w:tc>
          <w:tcPr/>
          <w:p>
            <w:pPr>
              <w:pStyle w:val="Compact"/>
              <w:jc w:val="right"/>
            </w:pPr>
            <w:r>
              <w:t xml:space="preserve">16.247</w:t>
            </w:r>
          </w:p>
        </w:tc>
        <w:tc>
          <w:tcPr/>
          <w:p>
            <w:pPr>
              <w:pStyle w:val="Compact"/>
              <w:jc w:val="right"/>
            </w:pPr>
            <w:r>
              <w:t xml:space="preserve">16.215</w:t>
            </w:r>
          </w:p>
        </w:tc>
        <w:tc>
          <w:tcPr/>
          <w:p>
            <w:pPr>
              <w:pStyle w:val="Compact"/>
              <w:jc w:val="right"/>
            </w:pPr>
            <w:r>
              <w:t xml:space="preserve">+0.194</w:t>
            </w:r>
          </w:p>
        </w:tc>
      </w:tr>
      <w:tr>
        <w:tc>
          <w:tcPr/>
          <w:p>
            <w:pPr>
              <w:pStyle w:val="Compact"/>
              <w:jc w:val="right"/>
            </w:pPr>
            <w:r>
              <w:t xml:space="preserve">50</w:t>
            </w:r>
          </w:p>
        </w:tc>
        <w:tc>
          <w:tcPr/>
          <w:p>
            <w:pPr>
              <w:pStyle w:val="Compact"/>
              <w:jc w:val="right"/>
            </w:pPr>
            <w:r>
              <w:t xml:space="preserve">0.651407</w:t>
            </w:r>
          </w:p>
        </w:tc>
        <w:tc>
          <w:tcPr/>
          <w:p>
            <w:pPr>
              <w:pStyle w:val="Compact"/>
              <w:jc w:val="right"/>
            </w:pPr>
            <w:r>
              <w:t xml:space="preserve">4.322</w:t>
            </w:r>
          </w:p>
        </w:tc>
        <w:tc>
          <w:tcPr/>
          <w:p>
            <w:pPr>
              <w:pStyle w:val="Compact"/>
              <w:jc w:val="right"/>
            </w:pPr>
            <w:r>
              <w:t xml:space="preserve">4.343</w:t>
            </w:r>
          </w:p>
        </w:tc>
        <w:tc>
          <w:tcPr/>
          <w:p>
            <w:pPr>
              <w:pStyle w:val="Compact"/>
              <w:jc w:val="right"/>
            </w:pPr>
            <w:r>
              <w:t xml:space="preserve">−0.502</w:t>
            </w:r>
          </w:p>
        </w:tc>
      </w:tr>
      <w:tr>
        <w:tc>
          <w:tcPr/>
          <w:p>
            <w:pPr>
              <w:pStyle w:val="Compact"/>
              <w:jc w:val="right"/>
            </w:pPr>
            <w:r>
              <w:t xml:space="preserve">80</w:t>
            </w:r>
          </w:p>
        </w:tc>
        <w:tc>
          <w:tcPr/>
          <w:p>
            <w:pPr>
              <w:pStyle w:val="Compact"/>
              <w:jc w:val="right"/>
            </w:pPr>
            <w:r>
              <w:t xml:space="preserve">0.651996</w:t>
            </w:r>
          </w:p>
        </w:tc>
        <w:tc>
          <w:tcPr/>
          <w:p>
            <w:pPr>
              <w:pStyle w:val="Compact"/>
              <w:jc w:val="right"/>
            </w:pPr>
            <w:r>
              <w:t xml:space="preserve">2.781</w:t>
            </w:r>
          </w:p>
        </w:tc>
        <w:tc>
          <w:tcPr/>
          <w:p>
            <w:pPr>
              <w:pStyle w:val="Compact"/>
              <w:jc w:val="right"/>
            </w:pPr>
            <w:r>
              <w:t xml:space="preserve">2.801</w:t>
            </w:r>
          </w:p>
        </w:tc>
        <w:tc>
          <w:tcPr/>
          <w:p>
            <w:pPr>
              <w:pStyle w:val="Compact"/>
              <w:jc w:val="right"/>
            </w:pPr>
            <w:r>
              <w:t xml:space="preserve">−0.712</w:t>
            </w:r>
          </w:p>
        </w:tc>
      </w:tr>
      <w:tr>
        <w:tc>
          <w:tcPr/>
          <w:p>
            <w:pPr>
              <w:pStyle w:val="Compact"/>
              <w:jc w:val="right"/>
            </w:pPr>
            <w:r>
              <w:t xml:space="preserve">100</w:t>
            </w:r>
          </w:p>
        </w:tc>
        <w:tc>
          <w:tcPr/>
          <w:p>
            <w:pPr>
              <w:pStyle w:val="Compact"/>
              <w:jc w:val="right"/>
            </w:pPr>
            <w:r>
              <w:t xml:space="preserve">0.651373</w:t>
            </w:r>
          </w:p>
        </w:tc>
        <w:tc>
          <w:tcPr/>
          <w:p>
            <w:pPr>
              <w:pStyle w:val="Compact"/>
              <w:jc w:val="right"/>
            </w:pPr>
            <w:r>
              <w:t xml:space="preserve">3.057</w:t>
            </w:r>
          </w:p>
        </w:tc>
        <w:tc>
          <w:tcPr/>
          <w:p>
            <w:pPr>
              <w:pStyle w:val="Compact"/>
              <w:jc w:val="right"/>
            </w:pPr>
            <w:r>
              <w:t xml:space="preserve">3.072</w:t>
            </w:r>
          </w:p>
        </w:tc>
        <w:tc>
          <w:tcPr/>
          <w:p>
            <w:pPr>
              <w:pStyle w:val="Compact"/>
              <w:jc w:val="right"/>
            </w:pPr>
            <w:r>
              <w:t xml:space="preserve">−0.490</w:t>
            </w:r>
          </w:p>
        </w:tc>
      </w:tr>
      <w:tr>
        <w:tc>
          <w:tcPr/>
          <w:p>
            <w:pPr>
              <w:pStyle w:val="Compact"/>
              <w:jc w:val="right"/>
            </w:pPr>
            <w:r>
              <w:t xml:space="preserve">150</w:t>
            </w:r>
          </w:p>
        </w:tc>
        <w:tc>
          <w:tcPr/>
          <w:p>
            <w:pPr>
              <w:pStyle w:val="Compact"/>
              <w:jc w:val="right"/>
            </w:pPr>
            <w:r>
              <w:t xml:space="preserve">0.650220</w:t>
            </w:r>
          </w:p>
        </w:tc>
        <w:tc>
          <w:tcPr/>
          <w:p>
            <w:pPr>
              <w:pStyle w:val="Compact"/>
              <w:jc w:val="right"/>
            </w:pPr>
            <w:r>
              <w:t xml:space="preserve">1.144</w:t>
            </w:r>
          </w:p>
        </w:tc>
        <w:tc>
          <w:tcPr/>
          <w:p>
            <w:pPr>
              <w:pStyle w:val="Compact"/>
              <w:jc w:val="right"/>
            </w:pPr>
            <w:r>
              <w:t xml:space="preserve">1.145</w:t>
            </w:r>
          </w:p>
        </w:tc>
        <w:tc>
          <w:tcPr/>
          <w:p>
            <w:pPr>
              <w:pStyle w:val="Compact"/>
              <w:jc w:val="right"/>
            </w:pPr>
            <w:r>
              <w:t xml:space="preserve">−0.078</w:t>
            </w:r>
          </w:p>
        </w:tc>
      </w:tr>
      <w:tr>
        <w:tc>
          <w:tcPr/>
          <w:p>
            <w:pPr>
              <w:pStyle w:val="Compact"/>
              <w:jc w:val="right"/>
            </w:pPr>
            <w:r>
              <w:t xml:space="preserve">356</w:t>
            </w:r>
          </w:p>
        </w:tc>
        <w:tc>
          <w:tcPr/>
          <w:p>
            <w:pPr>
              <w:pStyle w:val="Compact"/>
              <w:jc w:val="right"/>
            </w:pPr>
            <w:r>
              <w:t xml:space="preserve">0.652769</w:t>
            </w:r>
          </w:p>
        </w:tc>
        <w:tc>
          <w:tcPr/>
          <w:p>
            <w:pPr>
              <w:pStyle w:val="Compact"/>
              <w:jc w:val="right"/>
            </w:pPr>
            <w:r>
              <w:t xml:space="preserve">0.203</w:t>
            </w:r>
          </w:p>
        </w:tc>
        <w:tc>
          <w:tcPr/>
          <w:p>
            <w:pPr>
              <w:pStyle w:val="Compact"/>
              <w:jc w:val="right"/>
            </w:pPr>
            <w:r>
              <w:t xml:space="preserve">0.205</w:t>
            </w:r>
          </w:p>
        </w:tc>
        <w:tc>
          <w:tcPr/>
          <w:p>
            <w:pPr>
              <w:pStyle w:val="Compact"/>
              <w:jc w:val="right"/>
            </w:pPr>
            <w:r>
              <w:t xml:space="preserve">−0.987</w:t>
            </w:r>
          </w:p>
        </w:tc>
      </w:tr>
      <w:tr>
        <w:tc>
          <w:tcPr/>
          <w:p>
            <w:pPr>
              <w:pStyle w:val="Compact"/>
              <w:jc w:val="right"/>
            </w:pPr>
            <w:r>
              <w:t xml:space="preserve">511</w:t>
            </w:r>
          </w:p>
        </w:tc>
        <w:tc>
          <w:tcPr/>
          <w:p>
            <w:pPr>
              <w:pStyle w:val="Compact"/>
              <w:jc w:val="right"/>
            </w:pPr>
            <w:r>
              <w:t xml:space="preserve">0.650295</w:t>
            </w:r>
          </w:p>
        </w:tc>
        <w:tc>
          <w:tcPr/>
          <w:p>
            <w:pPr>
              <w:pStyle w:val="Compact"/>
              <w:jc w:val="right"/>
            </w:pPr>
            <w:r>
              <w:t xml:space="preserve">0.127</w:t>
            </w:r>
          </w:p>
        </w:tc>
        <w:tc>
          <w:tcPr/>
          <w:p>
            <w:pPr>
              <w:pStyle w:val="Compact"/>
              <w:jc w:val="right"/>
            </w:pPr>
            <w:r>
              <w:t xml:space="preserve">0.127</w:t>
            </w:r>
          </w:p>
        </w:tc>
        <w:tc>
          <w:tcPr/>
          <w:p>
            <w:pPr>
              <w:pStyle w:val="Compact"/>
              <w:jc w:val="right"/>
            </w:pPr>
            <w:r>
              <w:t xml:space="preserve">−0.105</w:t>
            </w:r>
          </w:p>
        </w:tc>
      </w:tr>
      <w:tr>
        <w:tc>
          <w:tcPr/>
          <w:p>
            <w:pPr>
              <w:pStyle w:val="Compact"/>
              <w:jc w:val="right"/>
            </w:pPr>
            <w:r>
              <w:t xml:space="preserve">662</w:t>
            </w:r>
          </w:p>
        </w:tc>
        <w:tc>
          <w:tcPr/>
          <w:p>
            <w:pPr>
              <w:pStyle w:val="Compact"/>
              <w:jc w:val="right"/>
            </w:pPr>
            <w:r>
              <w:t xml:space="preserve">0.652484</w:t>
            </w:r>
          </w:p>
        </w:tc>
        <w:tc>
          <w:tcPr/>
          <w:p>
            <w:pPr>
              <w:pStyle w:val="Compact"/>
              <w:jc w:val="right"/>
            </w:pPr>
            <w:r>
              <w:t xml:space="preserve">0.097</w:t>
            </w:r>
          </w:p>
        </w:tc>
        <w:tc>
          <w:tcPr/>
          <w:p>
            <w:pPr>
              <w:pStyle w:val="Compact"/>
              <w:jc w:val="right"/>
            </w:pPr>
            <w:r>
              <w:t xml:space="preserve">0.098</w:t>
            </w:r>
          </w:p>
        </w:tc>
        <w:tc>
          <w:tcPr/>
          <w:p>
            <w:pPr>
              <w:pStyle w:val="Compact"/>
              <w:jc w:val="right"/>
            </w:pPr>
            <w:r>
              <w:t xml:space="preserve">−0.886</w:t>
            </w:r>
          </w:p>
        </w:tc>
      </w:tr>
      <w:tr>
        <w:tc>
          <w:tcPr/>
          <w:p>
            <w:pPr>
              <w:pStyle w:val="Compact"/>
              <w:jc w:val="right"/>
            </w:pPr>
            <w:r>
              <w:t xml:space="preserve">1173</w:t>
            </w:r>
          </w:p>
        </w:tc>
        <w:tc>
          <w:tcPr/>
          <w:p>
            <w:pPr>
              <w:pStyle w:val="Compact"/>
              <w:jc w:val="right"/>
            </w:pPr>
            <w:r>
              <w:t xml:space="preserve">0.651227</w:t>
            </w:r>
          </w:p>
        </w:tc>
        <w:tc>
          <w:tcPr/>
          <w:p>
            <w:pPr>
              <w:pStyle w:val="Compact"/>
              <w:jc w:val="right"/>
            </w:pPr>
            <w:r>
              <w:t xml:space="preserve">0.062</w:t>
            </w:r>
          </w:p>
        </w:tc>
        <w:tc>
          <w:tcPr/>
          <w:p>
            <w:pPr>
              <w:pStyle w:val="Compact"/>
              <w:jc w:val="right"/>
            </w:pPr>
            <w:r>
              <w:t xml:space="preserve">0.063</w:t>
            </w:r>
          </w:p>
        </w:tc>
        <w:tc>
          <w:tcPr/>
          <w:p>
            <w:pPr>
              <w:pStyle w:val="Compact"/>
              <w:jc w:val="right"/>
            </w:pPr>
            <w:r>
              <w:t xml:space="preserve">−0.438</w:t>
            </w:r>
          </w:p>
        </w:tc>
      </w:tr>
      <w:tr>
        <w:tc>
          <w:tcPr/>
          <w:p>
            <w:pPr>
              <w:pStyle w:val="Compact"/>
              <w:jc w:val="right"/>
            </w:pPr>
            <w:r>
              <w:t xml:space="preserve">1332</w:t>
            </w:r>
          </w:p>
        </w:tc>
        <w:tc>
          <w:tcPr/>
          <w:p>
            <w:pPr>
              <w:pStyle w:val="Compact"/>
              <w:jc w:val="right"/>
            </w:pPr>
            <w:r>
              <w:t xml:space="preserve">0.651655</w:t>
            </w:r>
          </w:p>
        </w:tc>
        <w:tc>
          <w:tcPr/>
          <w:p>
            <w:pPr>
              <w:pStyle w:val="Compact"/>
              <w:jc w:val="right"/>
            </w:pPr>
            <w:r>
              <w:t xml:space="preserve">0.058</w:t>
            </w:r>
          </w:p>
        </w:tc>
        <w:tc>
          <w:tcPr/>
          <w:p>
            <w:pPr>
              <w:pStyle w:val="Compact"/>
              <w:jc w:val="right"/>
            </w:pPr>
            <w:r>
              <w:t xml:space="preserve">0.058</w:t>
            </w:r>
          </w:p>
        </w:tc>
        <w:tc>
          <w:tcPr/>
          <w:p>
            <w:pPr>
              <w:pStyle w:val="Compact"/>
              <w:jc w:val="right"/>
            </w:pPr>
            <w:r>
              <w:t xml:space="preserve">−0.591</w:t>
            </w:r>
          </w:p>
        </w:tc>
      </w:tr>
    </w:tbl>
    <w:bookmarkEnd w:id="64"/>
    <w:bookmarkStart w:id="65" w:name="a.5-hdpegd₂o₃-φ0.189"/>
    <w:p>
      <w:pPr>
        <w:pStyle w:val="Heading3"/>
      </w:pPr>
      <w:r>
        <w:t xml:space="preserve">A.5 HDPE/Gd₂O₃ φ=0.189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w:r>
              <w:t xml:space="preserve">Δ (%)</w:t>
            </w:r>
          </w:p>
        </w:tc>
      </w:tr>
      <w:tr>
        <w:tc>
          <w:tcPr/>
          <w:p>
            <w:pPr>
              <w:pStyle w:val="Compact"/>
              <w:jc w:val="right"/>
            </w:pPr>
            <w:r>
              <w:t xml:space="preserve">30</w:t>
            </w:r>
          </w:p>
        </w:tc>
        <w:tc>
          <w:tcPr/>
          <w:p>
            <w:pPr>
              <w:pStyle w:val="Compact"/>
              <w:jc w:val="right"/>
            </w:pPr>
            <w:r>
              <w:t xml:space="preserve">0.651514</w:t>
            </w:r>
          </w:p>
        </w:tc>
        <w:tc>
          <w:tcPr/>
          <w:p>
            <w:pPr>
              <w:pStyle w:val="Compact"/>
              <w:jc w:val="right"/>
            </w:pPr>
            <w:r>
              <w:t xml:space="preserve">8.251</w:t>
            </w:r>
          </w:p>
        </w:tc>
        <w:tc>
          <w:tcPr/>
          <w:p>
            <w:pPr>
              <w:pStyle w:val="Compact"/>
              <w:jc w:val="right"/>
            </w:pPr>
            <w:r>
              <w:t xml:space="preserve">8.296</w:t>
            </w:r>
          </w:p>
        </w:tc>
        <w:tc>
          <w:tcPr/>
          <w:p>
            <w:pPr>
              <w:pStyle w:val="Compact"/>
              <w:jc w:val="right"/>
            </w:pPr>
            <w:r>
              <w:t xml:space="preserve">−0.540</w:t>
            </w:r>
          </w:p>
        </w:tc>
      </w:tr>
      <w:tr>
        <w:tc>
          <w:tcPr/>
          <w:p>
            <w:pPr>
              <w:pStyle w:val="Compact"/>
              <w:jc w:val="right"/>
            </w:pPr>
            <w:r>
              <w:t xml:space="preserve">50</w:t>
            </w:r>
          </w:p>
        </w:tc>
        <w:tc>
          <w:tcPr/>
          <w:p>
            <w:pPr>
              <w:pStyle w:val="Compact"/>
              <w:jc w:val="right"/>
            </w:pPr>
            <w:r>
              <w:t xml:space="preserve">0.658265</w:t>
            </w:r>
          </w:p>
        </w:tc>
        <w:tc>
          <w:tcPr/>
          <w:p>
            <w:pPr>
              <w:pStyle w:val="Compact"/>
              <w:jc w:val="right"/>
            </w:pPr>
            <w:r>
              <w:t xml:space="preserve">2.152</w:t>
            </w:r>
          </w:p>
        </w:tc>
        <w:tc>
          <w:tcPr/>
          <w:p>
            <w:pPr>
              <w:pStyle w:val="Compact"/>
              <w:jc w:val="right"/>
            </w:pPr>
            <w:r>
              <w:t xml:space="preserve">2.217</w:t>
            </w:r>
          </w:p>
        </w:tc>
        <w:tc>
          <w:tcPr/>
          <w:p>
            <w:pPr>
              <w:pStyle w:val="Compact"/>
              <w:jc w:val="right"/>
            </w:pPr>
            <w:r>
              <w:t xml:space="preserve">−2.933</w:t>
            </w:r>
          </w:p>
        </w:tc>
      </w:tr>
      <w:tr>
        <w:tc>
          <w:tcPr/>
          <w:p>
            <w:pPr>
              <w:pStyle w:val="Compact"/>
              <w:jc w:val="right"/>
            </w:pPr>
            <w:r>
              <w:t xml:space="preserve">80</w:t>
            </w:r>
          </w:p>
        </w:tc>
        <w:tc>
          <w:tcPr/>
          <w:p>
            <w:pPr>
              <w:pStyle w:val="Compact"/>
              <w:jc w:val="right"/>
            </w:pPr>
            <w:r>
              <w:t xml:space="preserve">0.651055</w:t>
            </w:r>
          </w:p>
        </w:tc>
        <w:tc>
          <w:tcPr/>
          <w:p>
            <w:pPr>
              <w:pStyle w:val="Compact"/>
              <w:jc w:val="right"/>
            </w:pPr>
            <w:r>
              <w:t xml:space="preserve">3.135</w:t>
            </w:r>
          </w:p>
        </w:tc>
        <w:tc>
          <w:tcPr/>
          <w:p>
            <w:pPr>
              <w:pStyle w:val="Compact"/>
              <w:jc w:val="right"/>
            </w:pPr>
            <w:r>
              <w:t xml:space="preserve">3.147</w:t>
            </w:r>
          </w:p>
        </w:tc>
        <w:tc>
          <w:tcPr/>
          <w:p>
            <w:pPr>
              <w:pStyle w:val="Compact"/>
              <w:jc w:val="right"/>
            </w:pPr>
            <w:r>
              <w:t xml:space="preserve">−0.377</w:t>
            </w:r>
          </w:p>
        </w:tc>
      </w:tr>
      <w:tr>
        <w:tc>
          <w:tcPr/>
          <w:p>
            <w:pPr>
              <w:pStyle w:val="Compact"/>
              <w:jc w:val="right"/>
            </w:pPr>
            <w:r>
              <w:t xml:space="preserve">100</w:t>
            </w:r>
          </w:p>
        </w:tc>
        <w:tc>
          <w:tcPr/>
          <w:p>
            <w:pPr>
              <w:pStyle w:val="Compact"/>
              <w:jc w:val="right"/>
            </w:pPr>
            <w:r>
              <w:t xml:space="preserve">0.650146</w:t>
            </w:r>
          </w:p>
        </w:tc>
        <w:tc>
          <w:tcPr/>
          <w:p>
            <w:pPr>
              <w:pStyle w:val="Compact"/>
              <w:jc w:val="right"/>
            </w:pPr>
            <w:r>
              <w:t xml:space="preserve">1.786</w:t>
            </w:r>
          </w:p>
        </w:tc>
        <w:tc>
          <w:tcPr/>
          <w:p>
            <w:pPr>
              <w:pStyle w:val="Compact"/>
              <w:jc w:val="right"/>
            </w:pPr>
            <w:r>
              <w:t xml:space="preserve">1.787</w:t>
            </w:r>
          </w:p>
        </w:tc>
        <w:tc>
          <w:tcPr/>
          <w:p>
            <w:pPr>
              <w:pStyle w:val="Compact"/>
              <w:jc w:val="right"/>
            </w:pPr>
            <w:r>
              <w:t xml:space="preserve">−0.052</w:t>
            </w:r>
          </w:p>
        </w:tc>
      </w:tr>
      <w:tr>
        <w:tc>
          <w:tcPr/>
          <w:p>
            <w:pPr>
              <w:pStyle w:val="Compact"/>
              <w:jc w:val="right"/>
            </w:pPr>
            <w:r>
              <w:t xml:space="preserve">150</w:t>
            </w:r>
          </w:p>
        </w:tc>
        <w:tc>
          <w:tcPr/>
          <w:p>
            <w:pPr>
              <w:pStyle w:val="Compact"/>
              <w:jc w:val="right"/>
            </w:pPr>
            <w:r>
              <w:t xml:space="preserve">0.647455</w:t>
            </w:r>
          </w:p>
        </w:tc>
        <w:tc>
          <w:tcPr/>
          <w:p>
            <w:pPr>
              <w:pStyle w:val="Compact"/>
              <w:jc w:val="right"/>
            </w:pPr>
            <w:r>
              <w:t xml:space="preserve">0.679</w:t>
            </w:r>
          </w:p>
        </w:tc>
        <w:tc>
          <w:tcPr/>
          <w:p>
            <w:pPr>
              <w:pStyle w:val="Compact"/>
              <w:jc w:val="right"/>
            </w:pPr>
            <w:r>
              <w:t xml:space="preserve">0.673</w:t>
            </w:r>
          </w:p>
        </w:tc>
        <w:tc>
          <w:tcPr/>
          <w:p>
            <w:pPr>
              <w:pStyle w:val="Compact"/>
              <w:jc w:val="right"/>
            </w:pPr>
            <w:r>
              <w:t xml:space="preserve">+0.911</w:t>
            </w:r>
          </w:p>
        </w:tc>
      </w:tr>
      <w:tr>
        <w:tc>
          <w:tcPr/>
          <w:p>
            <w:pPr>
              <w:pStyle w:val="Compact"/>
              <w:jc w:val="right"/>
            </w:pPr>
            <w:r>
              <w:t xml:space="preserve">356</w:t>
            </w:r>
          </w:p>
        </w:tc>
        <w:tc>
          <w:tcPr/>
          <w:p>
            <w:pPr>
              <w:pStyle w:val="Compact"/>
              <w:jc w:val="right"/>
            </w:pPr>
            <w:r>
              <w:t xml:space="preserve">0.653293</w:t>
            </w:r>
          </w:p>
        </w:tc>
        <w:tc>
          <w:tcPr/>
          <w:p>
            <w:pPr>
              <w:pStyle w:val="Compact"/>
              <w:jc w:val="right"/>
            </w:pPr>
            <w:r>
              <w:t xml:space="preserve">0.149</w:t>
            </w:r>
          </w:p>
        </w:tc>
        <w:tc>
          <w:tcPr/>
          <w:p>
            <w:pPr>
              <w:pStyle w:val="Compact"/>
              <w:jc w:val="right"/>
            </w:pPr>
            <w:r>
              <w:t xml:space="preserve">0.151</w:t>
            </w:r>
          </w:p>
        </w:tc>
        <w:tc>
          <w:tcPr/>
          <w:p>
            <w:pPr>
              <w:pStyle w:val="Compact"/>
              <w:jc w:val="right"/>
            </w:pPr>
            <w:r>
              <w:t xml:space="preserve">−1.173</w:t>
            </w:r>
          </w:p>
        </w:tc>
      </w:tr>
      <w:tr>
        <w:tc>
          <w:tcPr/>
          <w:p>
            <w:pPr>
              <w:pStyle w:val="Compact"/>
              <w:jc w:val="right"/>
            </w:pPr>
            <w:r>
              <w:t xml:space="preserve">511</w:t>
            </w:r>
          </w:p>
        </w:tc>
        <w:tc>
          <w:tcPr/>
          <w:p>
            <w:pPr>
              <w:pStyle w:val="Compact"/>
              <w:jc w:val="right"/>
            </w:pPr>
            <w:r>
              <w:t xml:space="preserve">0.650264</w:t>
            </w:r>
          </w:p>
        </w:tc>
        <w:tc>
          <w:tcPr/>
          <w:p>
            <w:pPr>
              <w:pStyle w:val="Compact"/>
              <w:jc w:val="right"/>
            </w:pPr>
            <w:r>
              <w:t xml:space="preserve">0.104</w:t>
            </w:r>
          </w:p>
        </w:tc>
        <w:tc>
          <w:tcPr/>
          <w:p>
            <w:pPr>
              <w:pStyle w:val="Compact"/>
              <w:jc w:val="right"/>
            </w:pPr>
            <w:r>
              <w:t xml:space="preserve">0.105</w:t>
            </w:r>
          </w:p>
        </w:tc>
        <w:tc>
          <w:tcPr/>
          <w:p>
            <w:pPr>
              <w:pStyle w:val="Compact"/>
              <w:jc w:val="right"/>
            </w:pPr>
            <w:r>
              <w:t xml:space="preserve">−0.094</w:t>
            </w:r>
          </w:p>
        </w:tc>
      </w:tr>
      <w:tr>
        <w:tc>
          <w:tcPr/>
          <w:p>
            <w:pPr>
              <w:pStyle w:val="Compact"/>
              <w:jc w:val="right"/>
            </w:pPr>
            <w:r>
              <w:t xml:space="preserve">662</w:t>
            </w:r>
          </w:p>
        </w:tc>
        <w:tc>
          <w:tcPr/>
          <w:p>
            <w:pPr>
              <w:pStyle w:val="Compact"/>
              <w:jc w:val="right"/>
            </w:pPr>
            <w:r>
              <w:t xml:space="preserve">0.651093</w:t>
            </w:r>
          </w:p>
        </w:tc>
        <w:tc>
          <w:tcPr/>
          <w:p>
            <w:pPr>
              <w:pStyle w:val="Compact"/>
              <w:jc w:val="right"/>
            </w:pPr>
            <w:r>
              <w:t xml:space="preserve">0.086</w:t>
            </w:r>
          </w:p>
        </w:tc>
        <w:tc>
          <w:tcPr/>
          <w:p>
            <w:pPr>
              <w:pStyle w:val="Compact"/>
              <w:jc w:val="right"/>
            </w:pPr>
            <w:r>
              <w:t xml:space="preserve">0.086</w:t>
            </w:r>
          </w:p>
        </w:tc>
        <w:tc>
          <w:tcPr/>
          <w:p>
            <w:pPr>
              <w:pStyle w:val="Compact"/>
              <w:jc w:val="right"/>
            </w:pPr>
            <w:r>
              <w:t xml:space="preserve">−0.390</w:t>
            </w:r>
          </w:p>
        </w:tc>
      </w:tr>
      <w:tr>
        <w:tc>
          <w:tcPr/>
          <w:p>
            <w:pPr>
              <w:pStyle w:val="Compact"/>
              <w:jc w:val="right"/>
            </w:pPr>
            <w:r>
              <w:t xml:space="preserve">1173</w:t>
            </w:r>
          </w:p>
        </w:tc>
        <w:tc>
          <w:tcPr/>
          <w:p>
            <w:pPr>
              <w:pStyle w:val="Compact"/>
              <w:jc w:val="right"/>
            </w:pPr>
            <w:r>
              <w:t xml:space="preserve">0.652051</w:t>
            </w:r>
          </w:p>
        </w:tc>
        <w:tc>
          <w:tcPr/>
          <w:p>
            <w:pPr>
              <w:pStyle w:val="Compact"/>
              <w:jc w:val="right"/>
            </w:pPr>
            <w:r>
              <w:t xml:space="preserve">0.059</w:t>
            </w:r>
          </w:p>
        </w:tc>
        <w:tc>
          <w:tcPr/>
          <w:p>
            <w:pPr>
              <w:pStyle w:val="Compact"/>
              <w:jc w:val="right"/>
            </w:pPr>
            <w:r>
              <w:t xml:space="preserve">0.060</w:t>
            </w:r>
          </w:p>
        </w:tc>
        <w:tc>
          <w:tcPr/>
          <w:p>
            <w:pPr>
              <w:pStyle w:val="Compact"/>
              <w:jc w:val="right"/>
            </w:pPr>
            <w:r>
              <w:t xml:space="preserve">−0.731</w:t>
            </w:r>
          </w:p>
        </w:tc>
      </w:tr>
      <w:tr>
        <w:tc>
          <w:tcPr/>
          <w:p>
            <w:pPr>
              <w:pStyle w:val="Compact"/>
              <w:jc w:val="right"/>
            </w:pPr>
            <w:r>
              <w:t xml:space="preserve">1332</w:t>
            </w:r>
          </w:p>
        </w:tc>
        <w:tc>
          <w:tcPr/>
          <w:p>
            <w:pPr>
              <w:pStyle w:val="Compact"/>
              <w:jc w:val="right"/>
            </w:pPr>
            <w:r>
              <w:t xml:space="preserve">0.652036</w:t>
            </w:r>
          </w:p>
        </w:tc>
        <w:tc>
          <w:tcPr/>
          <w:p>
            <w:pPr>
              <w:pStyle w:val="Compact"/>
              <w:jc w:val="right"/>
            </w:pPr>
            <w:r>
              <w:t xml:space="preserve">0.055</w:t>
            </w:r>
          </w:p>
        </w:tc>
        <w:tc>
          <w:tcPr/>
          <w:p>
            <w:pPr>
              <w:pStyle w:val="Compact"/>
              <w:jc w:val="right"/>
            </w:pPr>
            <w:r>
              <w:t xml:space="preserve">0.056</w:t>
            </w:r>
          </w:p>
        </w:tc>
        <w:tc>
          <w:tcPr/>
          <w:p>
            <w:pPr>
              <w:pStyle w:val="Compact"/>
              <w:jc w:val="right"/>
            </w:pPr>
            <w:r>
              <w:t xml:space="preserve">−0.726</w:t>
            </w:r>
          </w:p>
        </w:tc>
      </w:tr>
    </w:tbl>
    <w:bookmarkEnd w:id="65"/>
    <w:bookmarkStart w:id="66" w:name="a.6-hdpepbwo₄-φ0.189"/>
    <w:p>
      <w:pPr>
        <w:pStyle w:val="Heading3"/>
      </w:pPr>
      <w:r>
        <w:t xml:space="preserve">A.6 HDPE/PbWO₄ φ=0.189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w:r>
              <w:t xml:space="preserve">Δ (%)</w:t>
            </w:r>
          </w:p>
        </w:tc>
      </w:tr>
      <w:tr>
        <w:tc>
          <w:tcPr/>
          <w:p>
            <w:pPr>
              <w:pStyle w:val="Compact"/>
              <w:jc w:val="right"/>
            </w:pPr>
            <w:r>
              <w:t xml:space="preserve">30</w:t>
            </w:r>
          </w:p>
        </w:tc>
        <w:tc>
          <w:tcPr/>
          <w:p>
            <w:pPr>
              <w:pStyle w:val="Compact"/>
              <w:jc w:val="right"/>
            </w:pPr>
            <w:r>
              <w:t xml:space="preserve">0.650187</w:t>
            </w:r>
          </w:p>
        </w:tc>
        <w:tc>
          <w:tcPr/>
          <w:p>
            <w:pPr>
              <w:pStyle w:val="Compact"/>
              <w:jc w:val="right"/>
            </w:pPr>
            <w:r>
              <w:t xml:space="preserve">15.629</w:t>
            </w:r>
          </w:p>
        </w:tc>
        <w:tc>
          <w:tcPr/>
          <w:p>
            <w:pPr>
              <w:pStyle w:val="Compact"/>
              <w:jc w:val="right"/>
            </w:pPr>
            <w:r>
              <w:t xml:space="preserve">15.639</w:t>
            </w:r>
          </w:p>
        </w:tc>
        <w:tc>
          <w:tcPr/>
          <w:p>
            <w:pPr>
              <w:pStyle w:val="Compact"/>
              <w:jc w:val="right"/>
            </w:pPr>
            <w:r>
              <w:t xml:space="preserve">−0.067</w:t>
            </w:r>
          </w:p>
        </w:tc>
      </w:tr>
      <w:tr>
        <w:tc>
          <w:tcPr/>
          <w:p>
            <w:pPr>
              <w:pStyle w:val="Compact"/>
              <w:jc w:val="right"/>
            </w:pPr>
            <w:r>
              <w:t xml:space="preserve">50</w:t>
            </w:r>
          </w:p>
        </w:tc>
        <w:tc>
          <w:tcPr/>
          <w:p>
            <w:pPr>
              <w:pStyle w:val="Compact"/>
              <w:jc w:val="right"/>
            </w:pPr>
            <w:r>
              <w:t xml:space="preserve">0.651081</w:t>
            </w:r>
          </w:p>
        </w:tc>
        <w:tc>
          <w:tcPr/>
          <w:p>
            <w:pPr>
              <w:pStyle w:val="Compact"/>
              <w:jc w:val="right"/>
            </w:pPr>
            <w:r>
              <w:t xml:space="preserve">4.165</w:t>
            </w:r>
          </w:p>
        </w:tc>
        <w:tc>
          <w:tcPr/>
          <w:p>
            <w:pPr>
              <w:pStyle w:val="Compact"/>
              <w:jc w:val="right"/>
            </w:pPr>
            <w:r>
              <w:t xml:space="preserve">4.181</w:t>
            </w:r>
          </w:p>
        </w:tc>
        <w:tc>
          <w:tcPr/>
          <w:p>
            <w:pPr>
              <w:pStyle w:val="Compact"/>
              <w:jc w:val="right"/>
            </w:pPr>
            <w:r>
              <w:t xml:space="preserve">−0.386</w:t>
            </w:r>
          </w:p>
        </w:tc>
      </w:tr>
      <w:tr>
        <w:tc>
          <w:tcPr/>
          <w:p>
            <w:pPr>
              <w:pStyle w:val="Compact"/>
              <w:jc w:val="right"/>
            </w:pPr>
            <w:r>
              <w:t xml:space="preserve">80</w:t>
            </w:r>
          </w:p>
        </w:tc>
        <w:tc>
          <w:tcPr/>
          <w:p>
            <w:pPr>
              <w:pStyle w:val="Compact"/>
              <w:jc w:val="right"/>
            </w:pPr>
            <w:r>
              <w:t xml:space="preserve">0.651959</w:t>
            </w:r>
          </w:p>
        </w:tc>
        <w:tc>
          <w:tcPr/>
          <w:p>
            <w:pPr>
              <w:pStyle w:val="Compact"/>
              <w:jc w:val="right"/>
            </w:pPr>
            <w:r>
              <w:t xml:space="preserve">2.928</w:t>
            </w:r>
          </w:p>
        </w:tc>
        <w:tc>
          <w:tcPr/>
          <w:p>
            <w:pPr>
              <w:pStyle w:val="Compact"/>
              <w:jc w:val="right"/>
            </w:pPr>
            <w:r>
              <w:t xml:space="preserve">2.948</w:t>
            </w:r>
          </w:p>
        </w:tc>
        <w:tc>
          <w:tcPr/>
          <w:p>
            <w:pPr>
              <w:pStyle w:val="Compact"/>
              <w:jc w:val="right"/>
            </w:pPr>
            <w:r>
              <w:t xml:space="preserve">−0.699</w:t>
            </w:r>
          </w:p>
        </w:tc>
      </w:tr>
      <w:tr>
        <w:tc>
          <w:tcPr/>
          <w:p>
            <w:pPr>
              <w:pStyle w:val="Compact"/>
              <w:jc w:val="right"/>
            </w:pPr>
            <w:r>
              <w:t xml:space="preserve">100</w:t>
            </w:r>
          </w:p>
        </w:tc>
        <w:tc>
          <w:tcPr/>
          <w:p>
            <w:pPr>
              <w:pStyle w:val="Compact"/>
              <w:jc w:val="right"/>
            </w:pPr>
            <w:r>
              <w:t xml:space="preserve">0.650701</w:t>
            </w:r>
          </w:p>
        </w:tc>
        <w:tc>
          <w:tcPr/>
          <w:p>
            <w:pPr>
              <w:pStyle w:val="Compact"/>
              <w:jc w:val="right"/>
            </w:pPr>
            <w:r>
              <w:t xml:space="preserve">2.979</w:t>
            </w:r>
          </w:p>
        </w:tc>
        <w:tc>
          <w:tcPr/>
          <w:p>
            <w:pPr>
              <w:pStyle w:val="Compact"/>
              <w:jc w:val="right"/>
            </w:pPr>
            <w:r>
              <w:t xml:space="preserve">2.986</w:t>
            </w:r>
          </w:p>
        </w:tc>
        <w:tc>
          <w:tcPr/>
          <w:p>
            <w:pPr>
              <w:pStyle w:val="Compact"/>
              <w:jc w:val="right"/>
            </w:pPr>
            <w:r>
              <w:t xml:space="preserve">−0.250</w:t>
            </w:r>
          </w:p>
        </w:tc>
      </w:tr>
      <w:tr>
        <w:tc>
          <w:tcPr/>
          <w:p>
            <w:pPr>
              <w:pStyle w:val="Compact"/>
              <w:jc w:val="right"/>
            </w:pPr>
            <w:r>
              <w:t xml:space="preserve">150</w:t>
            </w:r>
          </w:p>
        </w:tc>
        <w:tc>
          <w:tcPr/>
          <w:p>
            <w:pPr>
              <w:pStyle w:val="Compact"/>
              <w:jc w:val="right"/>
            </w:pPr>
            <w:r>
              <w:t xml:space="preserve">0.649516</w:t>
            </w:r>
          </w:p>
        </w:tc>
        <w:tc>
          <w:tcPr/>
          <w:p>
            <w:pPr>
              <w:pStyle w:val="Compact"/>
              <w:jc w:val="right"/>
            </w:pPr>
            <w:r>
              <w:t xml:space="preserve">1.115</w:t>
            </w:r>
          </w:p>
        </w:tc>
        <w:tc>
          <w:tcPr/>
          <w:p>
            <w:pPr>
              <w:pStyle w:val="Compact"/>
              <w:jc w:val="right"/>
            </w:pPr>
            <w:r>
              <w:t xml:space="preserve">1.113</w:t>
            </w:r>
          </w:p>
        </w:tc>
        <w:tc>
          <w:tcPr/>
          <w:p>
            <w:pPr>
              <w:pStyle w:val="Compact"/>
              <w:jc w:val="right"/>
            </w:pPr>
            <w:r>
              <w:t xml:space="preserve">+0.173</w:t>
            </w:r>
          </w:p>
        </w:tc>
      </w:tr>
      <w:tr>
        <w:tc>
          <w:tcPr/>
          <w:p>
            <w:pPr>
              <w:pStyle w:val="Compact"/>
              <w:jc w:val="right"/>
            </w:pPr>
            <w:r>
              <w:t xml:space="preserve">356</w:t>
            </w:r>
          </w:p>
        </w:tc>
        <w:tc>
          <w:tcPr/>
          <w:p>
            <w:pPr>
              <w:pStyle w:val="Compact"/>
              <w:jc w:val="right"/>
            </w:pPr>
            <w:r>
              <w:t xml:space="preserve">0.652840</w:t>
            </w:r>
          </w:p>
        </w:tc>
        <w:tc>
          <w:tcPr/>
          <w:p>
            <w:pPr>
              <w:pStyle w:val="Compact"/>
              <w:jc w:val="right"/>
            </w:pPr>
            <w:r>
              <w:t xml:space="preserve">0.199</w:t>
            </w:r>
          </w:p>
        </w:tc>
        <w:tc>
          <w:tcPr/>
          <w:p>
            <w:pPr>
              <w:pStyle w:val="Compact"/>
              <w:jc w:val="right"/>
            </w:pPr>
            <w:r>
              <w:t xml:space="preserve">0.201</w:t>
            </w:r>
          </w:p>
        </w:tc>
        <w:tc>
          <w:tcPr/>
          <w:p>
            <w:pPr>
              <w:pStyle w:val="Compact"/>
              <w:jc w:val="right"/>
            </w:pPr>
            <w:r>
              <w:t xml:space="preserve">−1.012</w:t>
            </w:r>
          </w:p>
        </w:tc>
      </w:tr>
      <w:tr>
        <w:tc>
          <w:tcPr/>
          <w:p>
            <w:pPr>
              <w:pStyle w:val="Compact"/>
              <w:jc w:val="right"/>
            </w:pPr>
            <w:r>
              <w:t xml:space="preserve">511</w:t>
            </w:r>
          </w:p>
        </w:tc>
        <w:tc>
          <w:tcPr/>
          <w:p>
            <w:pPr>
              <w:pStyle w:val="Compact"/>
              <w:jc w:val="right"/>
            </w:pPr>
            <w:r>
              <w:t xml:space="preserve">0.651781</w:t>
            </w:r>
          </w:p>
        </w:tc>
        <w:tc>
          <w:tcPr/>
          <w:p>
            <w:pPr>
              <w:pStyle w:val="Compact"/>
              <w:jc w:val="right"/>
            </w:pPr>
            <w:r>
              <w:t xml:space="preserve">0.124</w:t>
            </w:r>
          </w:p>
        </w:tc>
        <w:tc>
          <w:tcPr/>
          <w:p>
            <w:pPr>
              <w:pStyle w:val="Compact"/>
              <w:jc w:val="right"/>
            </w:pPr>
            <w:r>
              <w:t xml:space="preserve">0.125</w:t>
            </w:r>
          </w:p>
        </w:tc>
        <w:tc>
          <w:tcPr/>
          <w:p>
            <w:pPr>
              <w:pStyle w:val="Compact"/>
              <w:jc w:val="right"/>
            </w:pPr>
            <w:r>
              <w:t xml:space="preserve">−0.635</w:t>
            </w:r>
          </w:p>
        </w:tc>
      </w:tr>
      <w:tr>
        <w:tc>
          <w:tcPr/>
          <w:p>
            <w:pPr>
              <w:pStyle w:val="Compact"/>
              <w:jc w:val="right"/>
            </w:pPr>
            <w:r>
              <w:t xml:space="preserve">662</w:t>
            </w:r>
          </w:p>
        </w:tc>
        <w:tc>
          <w:tcPr/>
          <w:p>
            <w:pPr>
              <w:pStyle w:val="Compact"/>
              <w:jc w:val="right"/>
            </w:pPr>
            <w:r>
              <w:t xml:space="preserve">0.652389</w:t>
            </w:r>
          </w:p>
        </w:tc>
        <w:tc>
          <w:tcPr/>
          <w:p>
            <w:pPr>
              <w:pStyle w:val="Compact"/>
              <w:jc w:val="right"/>
            </w:pPr>
            <w:r>
              <w:t xml:space="preserve">0.096</w:t>
            </w:r>
          </w:p>
        </w:tc>
        <w:tc>
          <w:tcPr/>
          <w:p>
            <w:pPr>
              <w:pStyle w:val="Compact"/>
              <w:jc w:val="right"/>
            </w:pPr>
            <w:r>
              <w:t xml:space="preserve">0.097</w:t>
            </w:r>
          </w:p>
        </w:tc>
        <w:tc>
          <w:tcPr/>
          <w:p>
            <w:pPr>
              <w:pStyle w:val="Compact"/>
              <w:jc w:val="right"/>
            </w:pPr>
            <w:r>
              <w:t xml:space="preserve">−0.852</w:t>
            </w:r>
          </w:p>
        </w:tc>
      </w:tr>
      <w:tr>
        <w:tc>
          <w:tcPr/>
          <w:p>
            <w:pPr>
              <w:pStyle w:val="Compact"/>
              <w:jc w:val="right"/>
            </w:pPr>
            <w:r>
              <w:t xml:space="preserve">1173</w:t>
            </w:r>
          </w:p>
        </w:tc>
        <w:tc>
          <w:tcPr/>
          <w:p>
            <w:pPr>
              <w:pStyle w:val="Compact"/>
              <w:jc w:val="right"/>
            </w:pPr>
            <w:r>
              <w:t xml:space="preserve">0.651323</w:t>
            </w:r>
          </w:p>
        </w:tc>
        <w:tc>
          <w:tcPr/>
          <w:p>
            <w:pPr>
              <w:pStyle w:val="Compact"/>
              <w:jc w:val="right"/>
            </w:pPr>
            <w:r>
              <w:t xml:space="preserve">0.062</w:t>
            </w:r>
          </w:p>
        </w:tc>
        <w:tc>
          <w:tcPr/>
          <w:p>
            <w:pPr>
              <w:pStyle w:val="Compact"/>
              <w:jc w:val="right"/>
            </w:pPr>
            <w:r>
              <w:t xml:space="preserve">0.062</w:t>
            </w:r>
          </w:p>
        </w:tc>
        <w:tc>
          <w:tcPr/>
          <w:p>
            <w:pPr>
              <w:pStyle w:val="Compact"/>
              <w:jc w:val="right"/>
            </w:pPr>
            <w:r>
              <w:t xml:space="preserve">−0.472</w:t>
            </w:r>
          </w:p>
        </w:tc>
      </w:tr>
      <w:tr>
        <w:tc>
          <w:tcPr/>
          <w:p>
            <w:pPr>
              <w:pStyle w:val="Compact"/>
              <w:jc w:val="right"/>
            </w:pPr>
            <w:r>
              <w:t xml:space="preserve">1332</w:t>
            </w:r>
          </w:p>
        </w:tc>
        <w:tc>
          <w:tcPr/>
          <w:p>
            <w:pPr>
              <w:pStyle w:val="Compact"/>
              <w:jc w:val="right"/>
            </w:pPr>
            <w:r>
              <w:t xml:space="preserve">0.651589</w:t>
            </w:r>
          </w:p>
        </w:tc>
        <w:tc>
          <w:tcPr/>
          <w:p>
            <w:pPr>
              <w:pStyle w:val="Compact"/>
              <w:jc w:val="right"/>
            </w:pPr>
            <w:r>
              <w:t xml:space="preserve">0.057</w:t>
            </w:r>
          </w:p>
        </w:tc>
        <w:tc>
          <w:tcPr/>
          <w:p>
            <w:pPr>
              <w:pStyle w:val="Compact"/>
              <w:jc w:val="right"/>
            </w:pPr>
            <w:r>
              <w:t xml:space="preserve">0.058</w:t>
            </w:r>
          </w:p>
        </w:tc>
        <w:tc>
          <w:tcPr/>
          <w:p>
            <w:pPr>
              <w:pStyle w:val="Compact"/>
              <w:jc w:val="right"/>
            </w:pPr>
            <w:r>
              <w:t xml:space="preserve">−0.567</w:t>
            </w:r>
          </w:p>
        </w:tc>
      </w:tr>
    </w:tbl>
    <w:p>
      <w:r>
        <w:pict>
          <v:rect style="width:0;height:1.5pt" o:hralign="center" o:hrstd="t" o:hr="t"/>
        </w:pict>
      </w:r>
    </w:p>
    <w:bookmarkEnd w:id="66"/>
    <w:bookmarkEnd w:id="67"/>
    <w:bookmarkStart w:id="74" w:name="X3c274357f74f1044d5af4e66bd00247f1427b90"/>
    <w:p>
      <w:pPr>
        <w:pStyle w:val="Heading2"/>
      </w:pPr>
      <w:r>
        <w:t xml:space="preserve">Appendix B. Regime-B Explicit-RVE Numerical Results</w:t>
      </w:r>
    </w:p>
    <w:p>
      <w:pPr>
        <w:pStyle w:val="FirstParagraph"/>
      </w:pPr>
      <w:r>
        <w:t xml:space="preserve">Each table reports the 1 µm</w:t>
      </w:r>
      <w:r>
        <w:t xml:space="preserve"> </w:t>
      </w:r>
      <w:r>
        <w:rPr>
          <w:rStyle w:val="VerbatimChar"/>
        </w:rPr>
        <w:t xml:space="preserve">G4PVParameterised</w:t>
      </w:r>
      <w:r>
        <w:t xml:space="preserve"> </w:t>
      </w:r>
      <w:r>
        <w:t xml:space="preserve">RVE result with</w:t>
      </w:r>
      <w:r>
        <w:t xml:space="preserve"> </w:t>
      </w:r>
      <m:oMath>
        <m:sSup>
          <m:e>
            <m:r>
              <m:t>10</m:t>
            </m:r>
          </m:e>
          <m:sup>
            <m:r>
              <m:t>7</m:t>
            </m:r>
          </m:sup>
        </m:sSup>
      </m:oMath>
      <w:r>
        <w:t xml:space="preserve"> </w:t>
      </w:r>
      <w:r>
        <w:t xml:space="preserve">histories per energy.</w:t>
      </w:r>
    </w:p>
    <w:bookmarkStart w:id="68" w:name="b.1-hdpebi₂o₃"/>
    <w:p>
      <w:pPr>
        <w:pStyle w:val="Heading3"/>
      </w:pPr>
      <w:r>
        <w:t xml:space="preserve">B.1 HDPE/Bi₂O₃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0.995310</w:t>
            </w:r>
          </w:p>
        </w:tc>
        <w:tc>
          <w:tcPr/>
          <w:p>
            <w:pPr>
              <w:pStyle w:val="Compact"/>
              <w:jc w:val="right"/>
            </w:pPr>
            <w:r>
              <w:t xml:space="preserve">19.190</w:t>
            </w:r>
          </w:p>
        </w:tc>
        <w:tc>
          <w:tcPr/>
          <w:p>
            <w:pPr>
              <w:pStyle w:val="Compact"/>
              <w:jc w:val="right"/>
            </w:pPr>
            <w:r>
              <w:t xml:space="preserve">46,899</w:t>
            </w:r>
          </w:p>
        </w:tc>
      </w:tr>
      <w:tr>
        <w:tc>
          <w:tcPr/>
          <w:p>
            <w:pPr>
              <w:pStyle w:val="Compact"/>
              <w:jc w:val="right"/>
            </w:pPr>
            <w:r>
              <w:t xml:space="preserve">50</w:t>
            </w:r>
          </w:p>
        </w:tc>
        <w:tc>
          <w:tcPr/>
          <w:p>
            <w:pPr>
              <w:pStyle w:val="Compact"/>
              <w:jc w:val="right"/>
            </w:pPr>
            <w:r>
              <w:t xml:space="preserve">0.998753</w:t>
            </w:r>
          </w:p>
        </w:tc>
        <w:tc>
          <w:tcPr/>
          <w:p>
            <w:pPr>
              <w:pStyle w:val="Compact"/>
              <w:jc w:val="right"/>
            </w:pPr>
            <w:r>
              <w:t xml:space="preserve">5.095</w:t>
            </w:r>
          </w:p>
        </w:tc>
        <w:tc>
          <w:tcPr/>
          <w:p>
            <w:pPr>
              <w:pStyle w:val="Compact"/>
              <w:jc w:val="right"/>
            </w:pPr>
            <w:r>
              <w:t xml:space="preserve">12,475</w:t>
            </w:r>
          </w:p>
        </w:tc>
      </w:tr>
      <w:tr>
        <w:tc>
          <w:tcPr/>
          <w:p>
            <w:pPr>
              <w:pStyle w:val="Compact"/>
              <w:jc w:val="right"/>
            </w:pPr>
            <w:r>
              <w:t xml:space="preserve">80</w:t>
            </w:r>
          </w:p>
        </w:tc>
        <w:tc>
          <w:tcPr/>
          <w:p>
            <w:pPr>
              <w:pStyle w:val="Compact"/>
              <w:jc w:val="right"/>
            </w:pPr>
            <w:r>
              <w:t xml:space="preserve">0.999619</w:t>
            </w:r>
          </w:p>
        </w:tc>
        <w:tc>
          <w:tcPr/>
          <w:p>
            <w:pPr>
              <w:pStyle w:val="Compact"/>
              <w:jc w:val="right"/>
            </w:pPr>
            <w:r>
              <w:t xml:space="preserve">1.557</w:t>
            </w:r>
          </w:p>
        </w:tc>
        <w:tc>
          <w:tcPr/>
          <w:p>
            <w:pPr>
              <w:pStyle w:val="Compact"/>
              <w:jc w:val="right"/>
            </w:pPr>
            <w:r>
              <w:t xml:space="preserve">3,813</w:t>
            </w:r>
          </w:p>
        </w:tc>
      </w:tr>
      <w:tr>
        <w:tc>
          <w:tcPr/>
          <w:p>
            <w:pPr>
              <w:pStyle w:val="Compact"/>
              <w:jc w:val="right"/>
            </w:pPr>
            <w:r>
              <w:t xml:space="preserve">100</w:t>
            </w:r>
          </w:p>
        </w:tc>
        <w:tc>
          <w:tcPr/>
          <w:p>
            <w:pPr>
              <w:pStyle w:val="Compact"/>
              <w:jc w:val="right"/>
            </w:pPr>
            <w:r>
              <w:t xml:space="preserve">0.999140</w:t>
            </w:r>
          </w:p>
        </w:tc>
        <w:tc>
          <w:tcPr/>
          <w:p>
            <w:pPr>
              <w:pStyle w:val="Compact"/>
              <w:jc w:val="right"/>
            </w:pPr>
            <w:r>
              <w:t xml:space="preserve">3.512</w:t>
            </w:r>
          </w:p>
        </w:tc>
        <w:tc>
          <w:tcPr/>
          <w:p>
            <w:pPr>
              <w:pStyle w:val="Compact"/>
              <w:jc w:val="right"/>
            </w:pPr>
            <w:r>
              <w:t xml:space="preserve">8,601</w:t>
            </w:r>
          </w:p>
        </w:tc>
      </w:tr>
      <w:tr>
        <w:tc>
          <w:tcPr/>
          <w:p>
            <w:pPr>
              <w:pStyle w:val="Compact"/>
              <w:jc w:val="right"/>
            </w:pPr>
            <w:r>
              <w:t xml:space="preserve">150</w:t>
            </w:r>
          </w:p>
        </w:tc>
        <w:tc>
          <w:tcPr/>
          <w:p>
            <w:pPr>
              <w:pStyle w:val="Compact"/>
              <w:jc w:val="right"/>
            </w:pPr>
            <w:r>
              <w:t xml:space="preserve">0.999681</w:t>
            </w:r>
          </w:p>
        </w:tc>
        <w:tc>
          <w:tcPr/>
          <w:p>
            <w:pPr>
              <w:pStyle w:val="Compact"/>
              <w:jc w:val="right"/>
            </w:pPr>
            <w:r>
              <w:t xml:space="preserve">1.303</w:t>
            </w:r>
          </w:p>
        </w:tc>
        <w:tc>
          <w:tcPr/>
          <w:p>
            <w:pPr>
              <w:pStyle w:val="Compact"/>
              <w:jc w:val="right"/>
            </w:pPr>
            <w:r>
              <w:t xml:space="preserve">3,193</w:t>
            </w:r>
          </w:p>
        </w:tc>
      </w:tr>
      <w:tr>
        <w:tc>
          <w:tcPr/>
          <w:p>
            <w:pPr>
              <w:pStyle w:val="Compact"/>
              <w:jc w:val="right"/>
            </w:pPr>
            <w:r>
              <w:t xml:space="preserve">356</w:t>
            </w:r>
          </w:p>
        </w:tc>
        <w:tc>
          <w:tcPr/>
          <w:p>
            <w:pPr>
              <w:pStyle w:val="Compact"/>
              <w:jc w:val="right"/>
            </w:pPr>
            <w:r>
              <w:t xml:space="preserve">0.999949</w:t>
            </w:r>
          </w:p>
        </w:tc>
        <w:tc>
          <w:tcPr/>
          <w:p>
            <w:pPr>
              <w:pStyle w:val="Compact"/>
              <w:jc w:val="right"/>
            </w:pPr>
            <w:r>
              <w:t xml:space="preserve">0.2098</w:t>
            </w:r>
          </w:p>
        </w:tc>
        <w:tc>
          <w:tcPr/>
          <w:p>
            <w:pPr>
              <w:pStyle w:val="Compact"/>
              <w:jc w:val="right"/>
            </w:pPr>
            <w:r>
              <w:t xml:space="preserve">514</w:t>
            </w:r>
          </w:p>
        </w:tc>
      </w:tr>
      <w:tr>
        <w:tc>
          <w:tcPr/>
          <w:p>
            <w:pPr>
              <w:pStyle w:val="Compact"/>
              <w:jc w:val="right"/>
            </w:pPr>
            <w:r>
              <w:t xml:space="preserve">511</w:t>
            </w:r>
          </w:p>
        </w:tc>
        <w:tc>
          <w:tcPr/>
          <w:p>
            <w:pPr>
              <w:pStyle w:val="Compact"/>
              <w:jc w:val="right"/>
            </w:pPr>
            <w:r>
              <w:t xml:space="preserve">0.999971</w:t>
            </w:r>
          </w:p>
        </w:tc>
        <w:tc>
          <w:tcPr/>
          <w:p>
            <w:pPr>
              <w:pStyle w:val="Compact"/>
              <w:jc w:val="right"/>
            </w:pPr>
            <w:r>
              <w:t xml:space="preserve">0.1200</w:t>
            </w:r>
          </w:p>
        </w:tc>
        <w:tc>
          <w:tcPr/>
          <w:p>
            <w:pPr>
              <w:pStyle w:val="Compact"/>
              <w:jc w:val="right"/>
            </w:pPr>
            <w:r>
              <w:t xml:space="preserve">294</w:t>
            </w:r>
          </w:p>
        </w:tc>
      </w:tr>
      <w:tr>
        <w:tc>
          <w:tcPr/>
          <w:p>
            <w:pPr>
              <w:pStyle w:val="Compact"/>
              <w:jc w:val="right"/>
            </w:pPr>
            <w:r>
              <w:t xml:space="preserve">662</w:t>
            </w:r>
          </w:p>
        </w:tc>
        <w:tc>
          <w:tcPr/>
          <w:p>
            <w:pPr>
              <w:pStyle w:val="Compact"/>
              <w:jc w:val="right"/>
            </w:pPr>
            <w:r>
              <w:t xml:space="preserve">0.999975</w:t>
            </w:r>
          </w:p>
        </w:tc>
        <w:tc>
          <w:tcPr/>
          <w:p>
            <w:pPr>
              <w:pStyle w:val="Compact"/>
              <w:jc w:val="right"/>
            </w:pPr>
            <w:r>
              <w:t xml:space="preserve">0.1033</w:t>
            </w:r>
          </w:p>
        </w:tc>
        <w:tc>
          <w:tcPr/>
          <w:p>
            <w:pPr>
              <w:pStyle w:val="Compact"/>
              <w:jc w:val="right"/>
            </w:pPr>
            <w:r>
              <w:t xml:space="preserve">253</w:t>
            </w:r>
          </w:p>
        </w:tc>
      </w:tr>
      <w:tr>
        <w:tc>
          <w:tcPr/>
          <w:p>
            <w:pPr>
              <w:pStyle w:val="Compact"/>
              <w:jc w:val="right"/>
            </w:pPr>
            <w:r>
              <w:t xml:space="preserve">1173</w:t>
            </w:r>
          </w:p>
        </w:tc>
        <w:tc>
          <w:tcPr/>
          <w:p>
            <w:pPr>
              <w:pStyle w:val="Compact"/>
              <w:jc w:val="right"/>
            </w:pPr>
            <w:r>
              <w:t xml:space="preserve">0.999985</w:t>
            </w:r>
          </w:p>
        </w:tc>
        <w:tc>
          <w:tcPr/>
          <w:p>
            <w:pPr>
              <w:pStyle w:val="Compact"/>
              <w:jc w:val="right"/>
            </w:pPr>
            <w:r>
              <w:t xml:space="preserve">0.0608</w:t>
            </w:r>
          </w:p>
        </w:tc>
        <w:tc>
          <w:tcPr/>
          <w:p>
            <w:pPr>
              <w:pStyle w:val="Compact"/>
              <w:jc w:val="right"/>
            </w:pPr>
            <w:r>
              <w:t xml:space="preserve">149</w:t>
            </w:r>
          </w:p>
        </w:tc>
      </w:tr>
      <w:tr>
        <w:tc>
          <w:tcPr/>
          <w:p>
            <w:pPr>
              <w:pStyle w:val="Compact"/>
              <w:jc w:val="right"/>
            </w:pPr>
            <w:r>
              <w:t xml:space="preserve">1332</w:t>
            </w:r>
          </w:p>
        </w:tc>
        <w:tc>
          <w:tcPr/>
          <w:p>
            <w:pPr>
              <w:pStyle w:val="Compact"/>
              <w:jc w:val="right"/>
            </w:pPr>
            <w:r>
              <w:t xml:space="preserve">0.999988</w:t>
            </w:r>
          </w:p>
        </w:tc>
        <w:tc>
          <w:tcPr/>
          <w:p>
            <w:pPr>
              <w:pStyle w:val="Compact"/>
              <w:jc w:val="right"/>
            </w:pPr>
            <w:r>
              <w:t xml:space="preserve">0.0506</w:t>
            </w:r>
          </w:p>
        </w:tc>
        <w:tc>
          <w:tcPr/>
          <w:p>
            <w:pPr>
              <w:pStyle w:val="Compact"/>
              <w:jc w:val="right"/>
            </w:pPr>
            <w:r>
              <w:t xml:space="preserve">124</w:t>
            </w:r>
          </w:p>
        </w:tc>
      </w:tr>
    </w:tbl>
    <w:bookmarkEnd w:id="68"/>
    <w:bookmarkStart w:id="69" w:name="b.2-hdpewo₃"/>
    <w:p>
      <w:pPr>
        <w:pStyle w:val="Heading3"/>
      </w:pPr>
      <w:r>
        <w:t xml:space="preserve">B.2 HDPE/WO₃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0.997526</w:t>
            </w:r>
          </w:p>
        </w:tc>
        <w:tc>
          <w:tcPr/>
          <w:p>
            <w:pPr>
              <w:pStyle w:val="Compact"/>
              <w:jc w:val="right"/>
            </w:pPr>
            <w:r>
              <w:t xml:space="preserve">11.660</w:t>
            </w:r>
          </w:p>
        </w:tc>
        <w:tc>
          <w:tcPr/>
          <w:p>
            <w:pPr>
              <w:pStyle w:val="Compact"/>
              <w:jc w:val="right"/>
            </w:pPr>
            <w:r>
              <w:t xml:space="preserve">24,740</w:t>
            </w:r>
          </w:p>
        </w:tc>
      </w:tr>
      <w:tr>
        <w:tc>
          <w:tcPr/>
          <w:p>
            <w:pPr>
              <w:pStyle w:val="Compact"/>
              <w:jc w:val="right"/>
            </w:pPr>
            <w:r>
              <w:t xml:space="preserve">50</w:t>
            </w:r>
          </w:p>
        </w:tc>
        <w:tc>
          <w:tcPr/>
          <w:p>
            <w:pPr>
              <w:pStyle w:val="Compact"/>
              <w:jc w:val="right"/>
            </w:pPr>
            <w:r>
              <w:t xml:space="preserve">0.999348</w:t>
            </w:r>
          </w:p>
        </w:tc>
        <w:tc>
          <w:tcPr/>
          <w:p>
            <w:pPr>
              <w:pStyle w:val="Compact"/>
              <w:jc w:val="right"/>
            </w:pPr>
            <w:r>
              <w:t xml:space="preserve">3.071</w:t>
            </w:r>
          </w:p>
        </w:tc>
        <w:tc>
          <w:tcPr/>
          <w:p>
            <w:pPr>
              <w:pStyle w:val="Compact"/>
              <w:jc w:val="right"/>
            </w:pPr>
            <w:r>
              <w:t xml:space="preserve">6,520</w:t>
            </w:r>
          </w:p>
        </w:tc>
      </w:tr>
      <w:tr>
        <w:tc>
          <w:tcPr/>
          <w:p>
            <w:pPr>
              <w:pStyle w:val="Compact"/>
              <w:jc w:val="right"/>
            </w:pPr>
            <w:r>
              <w:t xml:space="preserve">80</w:t>
            </w:r>
          </w:p>
        </w:tc>
        <w:tc>
          <w:tcPr/>
          <w:p>
            <w:pPr>
              <w:pStyle w:val="Compact"/>
              <w:jc w:val="right"/>
            </w:pPr>
            <w:r>
              <w:t xml:space="preserve">0.999152</w:t>
            </w:r>
          </w:p>
        </w:tc>
        <w:tc>
          <w:tcPr/>
          <w:p>
            <w:pPr>
              <w:pStyle w:val="Compact"/>
              <w:jc w:val="right"/>
            </w:pPr>
            <w:r>
              <w:t xml:space="preserve">3.996</w:t>
            </w:r>
          </w:p>
        </w:tc>
        <w:tc>
          <w:tcPr/>
          <w:p>
            <w:pPr>
              <w:pStyle w:val="Compact"/>
              <w:jc w:val="right"/>
            </w:pPr>
            <w:r>
              <w:t xml:space="preserve">8,480</w:t>
            </w:r>
          </w:p>
        </w:tc>
      </w:tr>
      <w:tr>
        <w:tc>
          <w:tcPr/>
          <w:p>
            <w:pPr>
              <w:pStyle w:val="Compact"/>
              <w:jc w:val="right"/>
            </w:pPr>
            <w:r>
              <w:t xml:space="preserve">100</w:t>
            </w:r>
          </w:p>
        </w:tc>
        <w:tc>
          <w:tcPr/>
          <w:p>
            <w:pPr>
              <w:pStyle w:val="Compact"/>
              <w:jc w:val="right"/>
            </w:pPr>
            <w:r>
              <w:t xml:space="preserve">0.999494</w:t>
            </w:r>
          </w:p>
        </w:tc>
        <w:tc>
          <w:tcPr/>
          <w:p>
            <w:pPr>
              <w:pStyle w:val="Compact"/>
              <w:jc w:val="right"/>
            </w:pPr>
            <w:r>
              <w:t xml:space="preserve">2.381</w:t>
            </w:r>
          </w:p>
        </w:tc>
        <w:tc>
          <w:tcPr/>
          <w:p>
            <w:pPr>
              <w:pStyle w:val="Compact"/>
              <w:jc w:val="right"/>
            </w:pPr>
            <w:r>
              <w:t xml:space="preserve">5,060</w:t>
            </w:r>
          </w:p>
        </w:tc>
      </w:tr>
      <w:tr>
        <w:tc>
          <w:tcPr/>
          <w:p>
            <w:pPr>
              <w:pStyle w:val="Compact"/>
              <w:jc w:val="right"/>
            </w:pPr>
            <w:r>
              <w:t xml:space="preserve">150</w:t>
            </w:r>
          </w:p>
        </w:tc>
        <w:tc>
          <w:tcPr/>
          <w:p>
            <w:pPr>
              <w:pStyle w:val="Compact"/>
              <w:jc w:val="right"/>
            </w:pPr>
            <w:r>
              <w:t xml:space="preserve">0.999815</w:t>
            </w:r>
          </w:p>
        </w:tc>
        <w:tc>
          <w:tcPr/>
          <w:p>
            <w:pPr>
              <w:pStyle w:val="Compact"/>
              <w:jc w:val="right"/>
            </w:pPr>
            <w:r>
              <w:t xml:space="preserve">0.870</w:t>
            </w:r>
          </w:p>
        </w:tc>
        <w:tc>
          <w:tcPr/>
          <w:p>
            <w:pPr>
              <w:pStyle w:val="Compact"/>
              <w:jc w:val="right"/>
            </w:pPr>
            <w:r>
              <w:t xml:space="preserve">1,850</w:t>
            </w:r>
          </w:p>
        </w:tc>
      </w:tr>
      <w:tr>
        <w:tc>
          <w:tcPr/>
          <w:p>
            <w:pPr>
              <w:pStyle w:val="Compact"/>
              <w:jc w:val="right"/>
            </w:pPr>
            <w:r>
              <w:t xml:space="preserve">356</w:t>
            </w:r>
          </w:p>
        </w:tc>
        <w:tc>
          <w:tcPr/>
          <w:p>
            <w:pPr>
              <w:pStyle w:val="Compact"/>
              <w:jc w:val="right"/>
            </w:pPr>
            <w:r>
              <w:t xml:space="preserve">0.999962</w:t>
            </w:r>
          </w:p>
        </w:tc>
        <w:tc>
          <w:tcPr/>
          <w:p>
            <w:pPr>
              <w:pStyle w:val="Compact"/>
              <w:jc w:val="right"/>
            </w:pPr>
            <w:r>
              <w:t xml:space="preserve">0.179</w:t>
            </w:r>
          </w:p>
        </w:tc>
        <w:tc>
          <w:tcPr/>
          <w:p>
            <w:pPr>
              <w:pStyle w:val="Compact"/>
              <w:jc w:val="right"/>
            </w:pPr>
            <w:r>
              <w:t xml:space="preserve">381</w:t>
            </w:r>
          </w:p>
        </w:tc>
      </w:tr>
      <w:tr>
        <w:tc>
          <w:tcPr/>
          <w:p>
            <w:pPr>
              <w:pStyle w:val="Compact"/>
              <w:jc w:val="right"/>
            </w:pPr>
            <w:r>
              <w:t xml:space="preserve">511</w:t>
            </w:r>
          </w:p>
        </w:tc>
        <w:tc>
          <w:tcPr/>
          <w:p>
            <w:pPr>
              <w:pStyle w:val="Compact"/>
              <w:jc w:val="right"/>
            </w:pPr>
            <w:r>
              <w:t xml:space="preserve">0.999976</w:t>
            </w:r>
          </w:p>
        </w:tc>
        <w:tc>
          <w:tcPr/>
          <w:p>
            <w:pPr>
              <w:pStyle w:val="Compact"/>
              <w:jc w:val="right"/>
            </w:pPr>
            <w:r>
              <w:t xml:space="preserve">0.112</w:t>
            </w:r>
          </w:p>
        </w:tc>
        <w:tc>
          <w:tcPr/>
          <w:p>
            <w:pPr>
              <w:pStyle w:val="Compact"/>
              <w:jc w:val="right"/>
            </w:pPr>
            <w:r>
              <w:t xml:space="preserve">237</w:t>
            </w:r>
          </w:p>
        </w:tc>
      </w:tr>
      <w:tr>
        <w:tc>
          <w:tcPr/>
          <w:p>
            <w:pPr>
              <w:pStyle w:val="Compact"/>
              <w:jc w:val="right"/>
            </w:pPr>
            <w:r>
              <w:t xml:space="preserve">662</w:t>
            </w:r>
          </w:p>
        </w:tc>
        <w:tc>
          <w:tcPr/>
          <w:p>
            <w:pPr>
              <w:pStyle w:val="Compact"/>
              <w:jc w:val="right"/>
            </w:pPr>
            <w:r>
              <w:t xml:space="preserve">0.999981</w:t>
            </w:r>
          </w:p>
        </w:tc>
        <w:tc>
          <w:tcPr/>
          <w:p>
            <w:pPr>
              <w:pStyle w:val="Compact"/>
              <w:jc w:val="right"/>
            </w:pPr>
            <w:r>
              <w:t xml:space="preserve">0.087</w:t>
            </w:r>
          </w:p>
        </w:tc>
        <w:tc>
          <w:tcPr/>
          <w:p>
            <w:pPr>
              <w:pStyle w:val="Compact"/>
              <w:jc w:val="right"/>
            </w:pPr>
            <w:r>
              <w:t xml:space="preserve">185</w:t>
            </w:r>
          </w:p>
        </w:tc>
      </w:tr>
      <w:tr>
        <w:tc>
          <w:tcPr/>
          <w:p>
            <w:pPr>
              <w:pStyle w:val="Compact"/>
              <w:jc w:val="right"/>
            </w:pPr>
            <w:r>
              <w:t xml:space="preserve">1173</w:t>
            </w:r>
          </w:p>
        </w:tc>
        <w:tc>
          <w:tcPr/>
          <w:p>
            <w:pPr>
              <w:pStyle w:val="Compact"/>
              <w:jc w:val="right"/>
            </w:pPr>
            <w:r>
              <w:t xml:space="preserve">0.999986</w:t>
            </w:r>
          </w:p>
        </w:tc>
        <w:tc>
          <w:tcPr/>
          <w:p>
            <w:pPr>
              <w:pStyle w:val="Compact"/>
              <w:jc w:val="right"/>
            </w:pPr>
            <w:r>
              <w:t xml:space="preserve">0.064</w:t>
            </w:r>
          </w:p>
        </w:tc>
        <w:tc>
          <w:tcPr/>
          <w:p>
            <w:pPr>
              <w:pStyle w:val="Compact"/>
              <w:jc w:val="right"/>
            </w:pPr>
            <w:r>
              <w:t xml:space="preserve">136</w:t>
            </w:r>
          </w:p>
        </w:tc>
      </w:tr>
      <w:tr>
        <w:tc>
          <w:tcPr/>
          <w:p>
            <w:pPr>
              <w:pStyle w:val="Compact"/>
              <w:jc w:val="right"/>
            </w:pPr>
            <w:r>
              <w:t xml:space="preserve">1332</w:t>
            </w:r>
          </w:p>
        </w:tc>
        <w:tc>
          <w:tcPr/>
          <w:p>
            <w:pPr>
              <w:pStyle w:val="Compact"/>
              <w:jc w:val="right"/>
            </w:pPr>
            <w:r>
              <w:t xml:space="preserve">0.999987</w:t>
            </w:r>
          </w:p>
        </w:tc>
        <w:tc>
          <w:tcPr/>
          <w:p>
            <w:pPr>
              <w:pStyle w:val="Compact"/>
              <w:jc w:val="right"/>
            </w:pPr>
            <w:r>
              <w:t xml:space="preserve">0.061</w:t>
            </w:r>
          </w:p>
        </w:tc>
        <w:tc>
          <w:tcPr/>
          <w:p>
            <w:pPr>
              <w:pStyle w:val="Compact"/>
              <w:jc w:val="right"/>
            </w:pPr>
            <w:r>
              <w:t xml:space="preserve">130</w:t>
            </w:r>
          </w:p>
        </w:tc>
      </w:tr>
    </w:tbl>
    <w:bookmarkEnd w:id="69"/>
    <w:bookmarkStart w:id="70" w:name="b.3-hdpebawo₄"/>
    <w:p>
      <w:pPr>
        <w:pStyle w:val="Heading3"/>
      </w:pPr>
      <w:r>
        <w:t xml:space="preserve">B.3 HDPE/BaWO₄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0.998325</w:t>
            </w:r>
          </w:p>
        </w:tc>
        <w:tc>
          <w:tcPr/>
          <w:p>
            <w:pPr>
              <w:pStyle w:val="Compact"/>
              <w:jc w:val="right"/>
            </w:pPr>
            <w:r>
              <w:t xml:space="preserve">8.697</w:t>
            </w:r>
          </w:p>
        </w:tc>
        <w:tc>
          <w:tcPr/>
          <w:p>
            <w:pPr>
              <w:pStyle w:val="Compact"/>
              <w:jc w:val="right"/>
            </w:pPr>
            <w:r>
              <w:t xml:space="preserve">16,750</w:t>
            </w:r>
          </w:p>
        </w:tc>
      </w:tr>
      <w:tr>
        <w:tc>
          <w:tcPr/>
          <w:p>
            <w:pPr>
              <w:pStyle w:val="Compact"/>
              <w:jc w:val="right"/>
            </w:pPr>
            <w:r>
              <w:t xml:space="preserve">50</w:t>
            </w:r>
          </w:p>
        </w:tc>
        <w:tc>
          <w:tcPr/>
          <w:p>
            <w:pPr>
              <w:pStyle w:val="Compact"/>
              <w:jc w:val="right"/>
            </w:pPr>
            <w:r>
              <w:t xml:space="preserve">0.999076</w:t>
            </w:r>
          </w:p>
        </w:tc>
        <w:tc>
          <w:tcPr/>
          <w:p>
            <w:pPr>
              <w:pStyle w:val="Compact"/>
              <w:jc w:val="right"/>
            </w:pPr>
            <w:r>
              <w:t xml:space="preserve">4.800</w:t>
            </w:r>
          </w:p>
        </w:tc>
        <w:tc>
          <w:tcPr/>
          <w:p>
            <w:pPr>
              <w:pStyle w:val="Compact"/>
              <w:jc w:val="right"/>
            </w:pPr>
            <w:r>
              <w:t xml:space="preserve">9,240</w:t>
            </w:r>
          </w:p>
        </w:tc>
      </w:tr>
      <w:tr>
        <w:tc>
          <w:tcPr/>
          <w:p>
            <w:pPr>
              <w:pStyle w:val="Compact"/>
              <w:jc w:val="right"/>
            </w:pPr>
            <w:r>
              <w:t xml:space="preserve">80</w:t>
            </w:r>
          </w:p>
        </w:tc>
        <w:tc>
          <w:tcPr/>
          <w:p>
            <w:pPr>
              <w:pStyle w:val="Compact"/>
              <w:jc w:val="right"/>
            </w:pPr>
            <w:r>
              <w:t xml:space="preserve">0.999392</w:t>
            </w:r>
          </w:p>
        </w:tc>
        <w:tc>
          <w:tcPr/>
          <w:p>
            <w:pPr>
              <w:pStyle w:val="Compact"/>
              <w:jc w:val="right"/>
            </w:pPr>
            <w:r>
              <w:t xml:space="preserve">3.157</w:t>
            </w:r>
          </w:p>
        </w:tc>
        <w:tc>
          <w:tcPr/>
          <w:p>
            <w:pPr>
              <w:pStyle w:val="Compact"/>
              <w:jc w:val="right"/>
            </w:pPr>
            <w:r>
              <w:t xml:space="preserve">6,080</w:t>
            </w:r>
          </w:p>
        </w:tc>
      </w:tr>
      <w:tr>
        <w:tc>
          <w:tcPr/>
          <w:p>
            <w:pPr>
              <w:pStyle w:val="Compact"/>
              <w:jc w:val="right"/>
            </w:pPr>
            <w:r>
              <w:t xml:space="preserve">100</w:t>
            </w:r>
          </w:p>
        </w:tc>
        <w:tc>
          <w:tcPr/>
          <w:p>
            <w:pPr>
              <w:pStyle w:val="Compact"/>
              <w:jc w:val="right"/>
            </w:pPr>
            <w:r>
              <w:t xml:space="preserve">0.999645</w:t>
            </w:r>
          </w:p>
        </w:tc>
        <w:tc>
          <w:tcPr/>
          <w:p>
            <w:pPr>
              <w:pStyle w:val="Compact"/>
              <w:jc w:val="right"/>
            </w:pPr>
            <w:r>
              <w:t xml:space="preserve">1.841</w:t>
            </w:r>
          </w:p>
        </w:tc>
        <w:tc>
          <w:tcPr/>
          <w:p>
            <w:pPr>
              <w:pStyle w:val="Compact"/>
              <w:jc w:val="right"/>
            </w:pPr>
            <w:r>
              <w:t xml:space="preserve">3,550</w:t>
            </w:r>
          </w:p>
        </w:tc>
      </w:tr>
      <w:tr>
        <w:tc>
          <w:tcPr/>
          <w:p>
            <w:pPr>
              <w:pStyle w:val="Compact"/>
              <w:jc w:val="right"/>
            </w:pPr>
            <w:r>
              <w:t xml:space="preserve">150</w:t>
            </w:r>
          </w:p>
        </w:tc>
        <w:tc>
          <w:tcPr/>
          <w:p>
            <w:pPr>
              <w:pStyle w:val="Compact"/>
              <w:jc w:val="right"/>
            </w:pPr>
            <w:r>
              <w:t xml:space="preserve">0.999865</w:t>
            </w:r>
          </w:p>
        </w:tc>
        <w:tc>
          <w:tcPr/>
          <w:p>
            <w:pPr>
              <w:pStyle w:val="Compact"/>
              <w:jc w:val="right"/>
            </w:pPr>
            <w:r>
              <w:t xml:space="preserve">0.699</w:t>
            </w:r>
          </w:p>
        </w:tc>
        <w:tc>
          <w:tcPr/>
          <w:p>
            <w:pPr>
              <w:pStyle w:val="Compact"/>
              <w:jc w:val="right"/>
            </w:pPr>
            <w:r>
              <w:t xml:space="preserve">1,350</w:t>
            </w:r>
          </w:p>
        </w:tc>
      </w:tr>
      <w:tr>
        <w:tc>
          <w:tcPr/>
          <w:p>
            <w:pPr>
              <w:pStyle w:val="Compact"/>
              <w:jc w:val="right"/>
            </w:pPr>
            <w:r>
              <w:t xml:space="preserve">356</w:t>
            </w:r>
          </w:p>
        </w:tc>
        <w:tc>
          <w:tcPr/>
          <w:p>
            <w:pPr>
              <w:pStyle w:val="Compact"/>
              <w:jc w:val="right"/>
            </w:pPr>
            <w:r>
              <w:t xml:space="preserve">0.999973</w:t>
            </w:r>
          </w:p>
        </w:tc>
        <w:tc>
          <w:tcPr/>
          <w:p>
            <w:pPr>
              <w:pStyle w:val="Compact"/>
              <w:jc w:val="right"/>
            </w:pPr>
            <w:r>
              <w:t xml:space="preserve">0.141</w:t>
            </w:r>
          </w:p>
        </w:tc>
        <w:tc>
          <w:tcPr/>
          <w:p>
            <w:pPr>
              <w:pStyle w:val="Compact"/>
              <w:jc w:val="right"/>
            </w:pPr>
            <w:r>
              <w:t xml:space="preserve">271</w:t>
            </w:r>
          </w:p>
        </w:tc>
      </w:tr>
      <w:tr>
        <w:tc>
          <w:tcPr/>
          <w:p>
            <w:pPr>
              <w:pStyle w:val="Compact"/>
              <w:jc w:val="right"/>
            </w:pPr>
            <w:r>
              <w:t xml:space="preserve">511</w:t>
            </w:r>
          </w:p>
        </w:tc>
        <w:tc>
          <w:tcPr/>
          <w:p>
            <w:pPr>
              <w:pStyle w:val="Compact"/>
              <w:jc w:val="right"/>
            </w:pPr>
            <w:r>
              <w:t xml:space="preserve">0.999978</w:t>
            </w:r>
          </w:p>
        </w:tc>
        <w:tc>
          <w:tcPr/>
          <w:p>
            <w:pPr>
              <w:pStyle w:val="Compact"/>
              <w:jc w:val="right"/>
            </w:pPr>
            <w:r>
              <w:t xml:space="preserve">0.116</w:t>
            </w:r>
          </w:p>
        </w:tc>
        <w:tc>
          <w:tcPr/>
          <w:p>
            <w:pPr>
              <w:pStyle w:val="Compact"/>
              <w:jc w:val="right"/>
            </w:pPr>
            <w:r>
              <w:t xml:space="preserve">224</w:t>
            </w:r>
          </w:p>
        </w:tc>
      </w:tr>
      <w:tr>
        <w:tc>
          <w:tcPr/>
          <w:p>
            <w:pPr>
              <w:pStyle w:val="Compact"/>
              <w:jc w:val="right"/>
            </w:pPr>
            <w:r>
              <w:t xml:space="preserve">662</w:t>
            </w:r>
          </w:p>
        </w:tc>
        <w:tc>
          <w:tcPr/>
          <w:p>
            <w:pPr>
              <w:pStyle w:val="Compact"/>
              <w:jc w:val="right"/>
            </w:pPr>
            <w:r>
              <w:t xml:space="preserve">0.999981</w:t>
            </w:r>
          </w:p>
        </w:tc>
        <w:tc>
          <w:tcPr/>
          <w:p>
            <w:pPr>
              <w:pStyle w:val="Compact"/>
              <w:jc w:val="right"/>
            </w:pPr>
            <w:r>
              <w:t xml:space="preserve">0.099</w:t>
            </w:r>
          </w:p>
        </w:tc>
        <w:tc>
          <w:tcPr/>
          <w:p>
            <w:pPr>
              <w:pStyle w:val="Compact"/>
              <w:jc w:val="right"/>
            </w:pPr>
            <w:r>
              <w:t xml:space="preserve">191</w:t>
            </w:r>
          </w:p>
        </w:tc>
      </w:tr>
      <w:tr>
        <w:tc>
          <w:tcPr/>
          <w:p>
            <w:pPr>
              <w:pStyle w:val="Compact"/>
              <w:jc w:val="right"/>
            </w:pPr>
            <w:r>
              <w:t xml:space="preserve">1173</w:t>
            </w:r>
          </w:p>
        </w:tc>
        <w:tc>
          <w:tcPr/>
          <w:p>
            <w:pPr>
              <w:pStyle w:val="Compact"/>
              <w:jc w:val="right"/>
            </w:pPr>
            <w:r>
              <w:t xml:space="preserve">0.999988</w:t>
            </w:r>
          </w:p>
        </w:tc>
        <w:tc>
          <w:tcPr/>
          <w:p>
            <w:pPr>
              <w:pStyle w:val="Compact"/>
              <w:jc w:val="right"/>
            </w:pPr>
            <w:r>
              <w:t xml:space="preserve">0.061</w:t>
            </w:r>
          </w:p>
        </w:tc>
        <w:tc>
          <w:tcPr/>
          <w:p>
            <w:pPr>
              <w:pStyle w:val="Compact"/>
              <w:jc w:val="right"/>
            </w:pPr>
            <w:r>
              <w:t xml:space="preserve">118</w:t>
            </w:r>
          </w:p>
        </w:tc>
      </w:tr>
      <w:tr>
        <w:tc>
          <w:tcPr/>
          <w:p>
            <w:pPr>
              <w:pStyle w:val="Compact"/>
              <w:jc w:val="right"/>
            </w:pPr>
            <w:r>
              <w:t xml:space="preserve">1332</w:t>
            </w:r>
          </w:p>
        </w:tc>
        <w:tc>
          <w:tcPr/>
          <w:p>
            <w:pPr>
              <w:pStyle w:val="Compact"/>
              <w:jc w:val="right"/>
            </w:pPr>
            <w:r>
              <w:t xml:space="preserve">0.999988</w:t>
            </w:r>
          </w:p>
        </w:tc>
        <w:tc>
          <w:tcPr/>
          <w:p>
            <w:pPr>
              <w:pStyle w:val="Compact"/>
              <w:jc w:val="right"/>
            </w:pPr>
            <w:r>
              <w:t xml:space="preserve">0.060</w:t>
            </w:r>
          </w:p>
        </w:tc>
        <w:tc>
          <w:tcPr/>
          <w:p>
            <w:pPr>
              <w:pStyle w:val="Compact"/>
              <w:jc w:val="right"/>
            </w:pPr>
            <w:r>
              <w:t xml:space="preserve">116</w:t>
            </w:r>
          </w:p>
        </w:tc>
      </w:tr>
    </w:tbl>
    <w:bookmarkEnd w:id="70"/>
    <w:bookmarkStart w:id="71" w:name="b.4-hdpebi₂o₃wo₃-ternary"/>
    <w:p>
      <w:pPr>
        <w:pStyle w:val="Heading3"/>
      </w:pPr>
      <w:r>
        <w:t xml:space="preserve">B.4 HDPE/Bi₂O₃/WO₃ ternary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0.997455</w:t>
            </w:r>
          </w:p>
        </w:tc>
        <w:tc>
          <w:tcPr/>
          <w:p>
            <w:pPr>
              <w:pStyle w:val="Compact"/>
              <w:jc w:val="right"/>
            </w:pPr>
            <w:r>
              <w:t xml:space="preserve">10.769</w:t>
            </w:r>
          </w:p>
        </w:tc>
        <w:tc>
          <w:tcPr/>
          <w:p>
            <w:pPr>
              <w:pStyle w:val="Compact"/>
              <w:jc w:val="right"/>
            </w:pPr>
            <w:r>
              <w:t xml:space="preserve">25,477</w:t>
            </w:r>
          </w:p>
        </w:tc>
      </w:tr>
      <w:tr>
        <w:tc>
          <w:tcPr/>
          <w:p>
            <w:pPr>
              <w:pStyle w:val="Compact"/>
              <w:jc w:val="right"/>
            </w:pPr>
            <w:r>
              <w:t xml:space="preserve">50</w:t>
            </w:r>
          </w:p>
        </w:tc>
        <w:tc>
          <w:tcPr/>
          <w:p>
            <w:pPr>
              <w:pStyle w:val="Compact"/>
              <w:jc w:val="right"/>
            </w:pPr>
            <w:r>
              <w:t xml:space="preserve">0.999306</w:t>
            </w:r>
          </w:p>
        </w:tc>
        <w:tc>
          <w:tcPr/>
          <w:p>
            <w:pPr>
              <w:pStyle w:val="Compact"/>
              <w:jc w:val="right"/>
            </w:pPr>
            <w:r>
              <w:t xml:space="preserve">2.936</w:t>
            </w:r>
          </w:p>
        </w:tc>
        <w:tc>
          <w:tcPr/>
          <w:p>
            <w:pPr>
              <w:pStyle w:val="Compact"/>
              <w:jc w:val="right"/>
            </w:pPr>
            <w:r>
              <w:t xml:space="preserve">6,942</w:t>
            </w:r>
          </w:p>
        </w:tc>
      </w:tr>
      <w:tr>
        <w:tc>
          <w:tcPr/>
          <w:p>
            <w:pPr>
              <w:pStyle w:val="Compact"/>
              <w:jc w:val="right"/>
            </w:pPr>
            <w:r>
              <w:t xml:space="preserve">80</w:t>
            </w:r>
          </w:p>
        </w:tc>
        <w:tc>
          <w:tcPr/>
          <w:p>
            <w:pPr>
              <w:pStyle w:val="Compact"/>
              <w:jc w:val="right"/>
            </w:pPr>
            <w:r>
              <w:t xml:space="preserve">0.999786</w:t>
            </w:r>
          </w:p>
        </w:tc>
        <w:tc>
          <w:tcPr/>
          <w:p>
            <w:pPr>
              <w:pStyle w:val="Compact"/>
              <w:jc w:val="right"/>
            </w:pPr>
            <w:r>
              <w:t xml:space="preserve">0.904</w:t>
            </w:r>
          </w:p>
        </w:tc>
        <w:tc>
          <w:tcPr/>
          <w:p>
            <w:pPr>
              <w:pStyle w:val="Compact"/>
              <w:jc w:val="right"/>
            </w:pPr>
            <w:r>
              <w:t xml:space="preserve">2,140</w:t>
            </w:r>
          </w:p>
        </w:tc>
      </w:tr>
      <w:tr>
        <w:tc>
          <w:tcPr/>
          <w:p>
            <w:pPr>
              <w:pStyle w:val="Compact"/>
              <w:jc w:val="right"/>
            </w:pPr>
            <w:r>
              <w:t xml:space="preserve">100</w:t>
            </w:r>
          </w:p>
        </w:tc>
        <w:tc>
          <w:tcPr/>
          <w:p>
            <w:pPr>
              <w:pStyle w:val="Compact"/>
              <w:jc w:val="right"/>
            </w:pPr>
            <w:r>
              <w:t xml:space="preserve">0.999516</w:t>
            </w:r>
          </w:p>
        </w:tc>
        <w:tc>
          <w:tcPr/>
          <w:p>
            <w:pPr>
              <w:pStyle w:val="Compact"/>
              <w:jc w:val="right"/>
            </w:pPr>
            <w:r>
              <w:t xml:space="preserve">2.047</w:t>
            </w:r>
          </w:p>
        </w:tc>
        <w:tc>
          <w:tcPr/>
          <w:p>
            <w:pPr>
              <w:pStyle w:val="Compact"/>
              <w:jc w:val="right"/>
            </w:pPr>
            <w:r>
              <w:t xml:space="preserve">4,843</w:t>
            </w:r>
          </w:p>
        </w:tc>
      </w:tr>
      <w:tr>
        <w:tc>
          <w:tcPr/>
          <w:p>
            <w:pPr>
              <w:pStyle w:val="Compact"/>
              <w:jc w:val="right"/>
            </w:pPr>
            <w:r>
              <w:t xml:space="preserve">150</w:t>
            </w:r>
          </w:p>
        </w:tc>
        <w:tc>
          <w:tcPr/>
          <w:p>
            <w:pPr>
              <w:pStyle w:val="Compact"/>
              <w:jc w:val="right"/>
            </w:pPr>
            <w:r>
              <w:t xml:space="preserve">0.999820</w:t>
            </w:r>
          </w:p>
        </w:tc>
        <w:tc>
          <w:tcPr/>
          <w:p>
            <w:pPr>
              <w:pStyle w:val="Compact"/>
              <w:jc w:val="right"/>
            </w:pPr>
            <w:r>
              <w:t xml:space="preserve">0.760</w:t>
            </w:r>
          </w:p>
        </w:tc>
        <w:tc>
          <w:tcPr/>
          <w:p>
            <w:pPr>
              <w:pStyle w:val="Compact"/>
              <w:jc w:val="right"/>
            </w:pPr>
            <w:r>
              <w:t xml:space="preserve">1,797</w:t>
            </w:r>
          </w:p>
        </w:tc>
      </w:tr>
      <w:tr>
        <w:tc>
          <w:tcPr/>
          <w:p>
            <w:pPr>
              <w:pStyle w:val="Compact"/>
              <w:jc w:val="right"/>
            </w:pPr>
            <w:r>
              <w:t xml:space="preserve">356</w:t>
            </w:r>
          </w:p>
        </w:tc>
        <w:tc>
          <w:tcPr/>
          <w:p>
            <w:pPr>
              <w:pStyle w:val="Compact"/>
              <w:jc w:val="right"/>
            </w:pPr>
            <w:r>
              <w:t xml:space="preserve">0.999968</w:t>
            </w:r>
          </w:p>
        </w:tc>
        <w:tc>
          <w:tcPr/>
          <w:p>
            <w:pPr>
              <w:pStyle w:val="Compact"/>
              <w:jc w:val="right"/>
            </w:pPr>
            <w:r>
              <w:t xml:space="preserve">0.136</w:t>
            </w:r>
          </w:p>
        </w:tc>
        <w:tc>
          <w:tcPr/>
          <w:p>
            <w:pPr>
              <w:pStyle w:val="Compact"/>
              <w:jc w:val="right"/>
            </w:pPr>
            <w:r>
              <w:t xml:space="preserve">322</w:t>
            </w:r>
          </w:p>
        </w:tc>
      </w:tr>
      <w:tr>
        <w:tc>
          <w:tcPr/>
          <w:p>
            <w:pPr>
              <w:pStyle w:val="Compact"/>
              <w:jc w:val="right"/>
            </w:pPr>
            <w:r>
              <w:t xml:space="preserve">511</w:t>
            </w:r>
          </w:p>
        </w:tc>
        <w:tc>
          <w:tcPr/>
          <w:p>
            <w:pPr>
              <w:pStyle w:val="Compact"/>
              <w:jc w:val="right"/>
            </w:pPr>
            <w:r>
              <w:t xml:space="preserve">0.999979</w:t>
            </w:r>
          </w:p>
        </w:tc>
        <w:tc>
          <w:tcPr/>
          <w:p>
            <w:pPr>
              <w:pStyle w:val="Compact"/>
              <w:jc w:val="right"/>
            </w:pPr>
            <w:r>
              <w:t xml:space="preserve">0.089</w:t>
            </w:r>
          </w:p>
        </w:tc>
        <w:tc>
          <w:tcPr/>
          <w:p>
            <w:pPr>
              <w:pStyle w:val="Compact"/>
              <w:jc w:val="right"/>
            </w:pPr>
            <w:r>
              <w:t xml:space="preserve">210</w:t>
            </w:r>
          </w:p>
        </w:tc>
      </w:tr>
      <w:tr>
        <w:tc>
          <w:tcPr/>
          <w:p>
            <w:pPr>
              <w:pStyle w:val="Compact"/>
              <w:jc w:val="right"/>
            </w:pPr>
            <w:r>
              <w:t xml:space="preserve">662</w:t>
            </w:r>
          </w:p>
        </w:tc>
        <w:tc>
          <w:tcPr/>
          <w:p>
            <w:pPr>
              <w:pStyle w:val="Compact"/>
              <w:jc w:val="right"/>
            </w:pPr>
            <w:r>
              <w:t xml:space="preserve">0.999982</w:t>
            </w:r>
          </w:p>
        </w:tc>
        <w:tc>
          <w:tcPr/>
          <w:p>
            <w:pPr>
              <w:pStyle w:val="Compact"/>
              <w:jc w:val="right"/>
            </w:pPr>
            <w:r>
              <w:t xml:space="preserve">0.075</w:t>
            </w:r>
          </w:p>
        </w:tc>
        <w:tc>
          <w:tcPr/>
          <w:p>
            <w:pPr>
              <w:pStyle w:val="Compact"/>
              <w:jc w:val="right"/>
            </w:pPr>
            <w:r>
              <w:t xml:space="preserve">177</w:t>
            </w:r>
          </w:p>
        </w:tc>
      </w:tr>
      <w:tr>
        <w:tc>
          <w:tcPr/>
          <w:p>
            <w:pPr>
              <w:pStyle w:val="Compact"/>
              <w:jc w:val="right"/>
            </w:pPr>
            <w:r>
              <w:t xml:space="preserve">1173</w:t>
            </w:r>
          </w:p>
        </w:tc>
        <w:tc>
          <w:tcPr/>
          <w:p>
            <w:pPr>
              <w:pStyle w:val="Compact"/>
              <w:jc w:val="right"/>
            </w:pPr>
            <w:r>
              <w:t xml:space="preserve">0.999987</w:t>
            </w:r>
          </w:p>
        </w:tc>
        <w:tc>
          <w:tcPr/>
          <w:p>
            <w:pPr>
              <w:pStyle w:val="Compact"/>
              <w:jc w:val="right"/>
            </w:pPr>
            <w:r>
              <w:t xml:space="preserve">0.054</w:t>
            </w:r>
          </w:p>
        </w:tc>
        <w:tc>
          <w:tcPr/>
          <w:p>
            <w:pPr>
              <w:pStyle w:val="Compact"/>
              <w:jc w:val="right"/>
            </w:pPr>
            <w:r>
              <w:t xml:space="preserve">127</w:t>
            </w:r>
          </w:p>
        </w:tc>
      </w:tr>
      <w:tr>
        <w:tc>
          <w:tcPr/>
          <w:p>
            <w:pPr>
              <w:pStyle w:val="Compact"/>
              <w:jc w:val="right"/>
            </w:pPr>
            <w:r>
              <w:t xml:space="preserve">1332</w:t>
            </w:r>
          </w:p>
        </w:tc>
        <w:tc>
          <w:tcPr/>
          <w:p>
            <w:pPr>
              <w:pStyle w:val="Compact"/>
              <w:jc w:val="right"/>
            </w:pPr>
            <w:r>
              <w:t xml:space="preserve">0.999989</w:t>
            </w:r>
          </w:p>
        </w:tc>
        <w:tc>
          <w:tcPr/>
          <w:p>
            <w:pPr>
              <w:pStyle w:val="Compact"/>
              <w:jc w:val="right"/>
            </w:pPr>
            <w:r>
              <w:t xml:space="preserve">0.044</w:t>
            </w:r>
          </w:p>
        </w:tc>
        <w:tc>
          <w:tcPr/>
          <w:p>
            <w:pPr>
              <w:pStyle w:val="Compact"/>
              <w:jc w:val="right"/>
            </w:pPr>
            <w:r>
              <w:t xml:space="preserve">105</w:t>
            </w:r>
          </w:p>
        </w:tc>
      </w:tr>
    </w:tbl>
    <w:bookmarkEnd w:id="71"/>
    <w:bookmarkStart w:id="72" w:name="b.5-hdpegd₂o₃"/>
    <w:p>
      <w:pPr>
        <w:pStyle w:val="Heading3"/>
      </w:pPr>
      <w:r>
        <w:t xml:space="preserve">B.5 HDPE/Gd₂O₃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0.998250</w:t>
            </w:r>
          </w:p>
        </w:tc>
        <w:tc>
          <w:tcPr/>
          <w:p>
            <w:pPr>
              <w:pStyle w:val="Compact"/>
              <w:jc w:val="right"/>
            </w:pPr>
            <w:r>
              <w:t xml:space="preserve">8.312</w:t>
            </w:r>
          </w:p>
        </w:tc>
        <w:tc>
          <w:tcPr/>
          <w:p>
            <w:pPr>
              <w:pStyle w:val="Compact"/>
              <w:jc w:val="right"/>
            </w:pPr>
            <w:r>
              <w:t xml:space="preserve">17,513</w:t>
            </w:r>
          </w:p>
        </w:tc>
      </w:tr>
      <w:tr>
        <w:tc>
          <w:tcPr/>
          <w:p>
            <w:pPr>
              <w:pStyle w:val="Compact"/>
              <w:jc w:val="right"/>
            </w:pPr>
            <w:r>
              <w:t xml:space="preserve">50</w:t>
            </w:r>
          </w:p>
        </w:tc>
        <w:tc>
          <w:tcPr/>
          <w:p>
            <w:pPr>
              <w:pStyle w:val="Compact"/>
              <w:jc w:val="right"/>
            </w:pPr>
            <w:r>
              <w:t xml:space="preserve">0.999547</w:t>
            </w:r>
          </w:p>
        </w:tc>
        <w:tc>
          <w:tcPr/>
          <w:p>
            <w:pPr>
              <w:pStyle w:val="Compact"/>
              <w:jc w:val="right"/>
            </w:pPr>
            <w:r>
              <w:t xml:space="preserve">2.150</w:t>
            </w:r>
          </w:p>
        </w:tc>
        <w:tc>
          <w:tcPr/>
          <w:p>
            <w:pPr>
              <w:pStyle w:val="Compact"/>
              <w:jc w:val="right"/>
            </w:pPr>
            <w:r>
              <w:t xml:space="preserve">4,531</w:t>
            </w:r>
          </w:p>
        </w:tc>
      </w:tr>
      <w:tr>
        <w:tc>
          <w:tcPr/>
          <w:p>
            <w:pPr>
              <w:pStyle w:val="Compact"/>
              <w:jc w:val="right"/>
            </w:pPr>
            <w:r>
              <w:t xml:space="preserve">80</w:t>
            </w:r>
          </w:p>
        </w:tc>
        <w:tc>
          <w:tcPr/>
          <w:p>
            <w:pPr>
              <w:pStyle w:val="Compact"/>
              <w:jc w:val="right"/>
            </w:pPr>
            <w:r>
              <w:t xml:space="preserve">0.999335</w:t>
            </w:r>
          </w:p>
        </w:tc>
        <w:tc>
          <w:tcPr/>
          <w:p>
            <w:pPr>
              <w:pStyle w:val="Compact"/>
              <w:jc w:val="right"/>
            </w:pPr>
            <w:r>
              <w:t xml:space="preserve">3.157</w:t>
            </w:r>
          </w:p>
        </w:tc>
        <w:tc>
          <w:tcPr/>
          <w:p>
            <w:pPr>
              <w:pStyle w:val="Compact"/>
              <w:jc w:val="right"/>
            </w:pPr>
            <w:r>
              <w:t xml:space="preserve">6,651</w:t>
            </w:r>
          </w:p>
        </w:tc>
      </w:tr>
      <w:tr>
        <w:tc>
          <w:tcPr/>
          <w:p>
            <w:pPr>
              <w:pStyle w:val="Compact"/>
              <w:jc w:val="right"/>
            </w:pPr>
            <w:r>
              <w:t xml:space="preserve">100</w:t>
            </w:r>
          </w:p>
        </w:tc>
        <w:tc>
          <w:tcPr/>
          <w:p>
            <w:pPr>
              <w:pStyle w:val="Compact"/>
              <w:jc w:val="right"/>
            </w:pPr>
            <w:r>
              <w:t xml:space="preserve">0.999624</w:t>
            </w:r>
          </w:p>
        </w:tc>
        <w:tc>
          <w:tcPr/>
          <w:p>
            <w:pPr>
              <w:pStyle w:val="Compact"/>
              <w:jc w:val="right"/>
            </w:pPr>
            <w:r>
              <w:t xml:space="preserve">1.785</w:t>
            </w:r>
          </w:p>
        </w:tc>
        <w:tc>
          <w:tcPr/>
          <w:p>
            <w:pPr>
              <w:pStyle w:val="Compact"/>
              <w:jc w:val="right"/>
            </w:pPr>
            <w:r>
              <w:t xml:space="preserve">3,761</w:t>
            </w:r>
          </w:p>
        </w:tc>
      </w:tr>
      <w:tr>
        <w:tc>
          <w:tcPr/>
          <w:p>
            <w:pPr>
              <w:pStyle w:val="Compact"/>
              <w:jc w:val="right"/>
            </w:pPr>
            <w:r>
              <w:t xml:space="preserve">150</w:t>
            </w:r>
          </w:p>
        </w:tc>
        <w:tc>
          <w:tcPr/>
          <w:p>
            <w:pPr>
              <w:pStyle w:val="Compact"/>
              <w:jc w:val="right"/>
            </w:pPr>
            <w:r>
              <w:t xml:space="preserve">0.999855</w:t>
            </w:r>
          </w:p>
        </w:tc>
        <w:tc>
          <w:tcPr/>
          <w:p>
            <w:pPr>
              <w:pStyle w:val="Compact"/>
              <w:jc w:val="right"/>
            </w:pPr>
            <w:r>
              <w:t xml:space="preserve">0.687</w:t>
            </w:r>
          </w:p>
        </w:tc>
        <w:tc>
          <w:tcPr/>
          <w:p>
            <w:pPr>
              <w:pStyle w:val="Compact"/>
              <w:jc w:val="right"/>
            </w:pPr>
            <w:r>
              <w:t xml:space="preserve">1,447</w:t>
            </w:r>
          </w:p>
        </w:tc>
      </w:tr>
      <w:tr>
        <w:tc>
          <w:tcPr/>
          <w:p>
            <w:pPr>
              <w:pStyle w:val="Compact"/>
              <w:jc w:val="right"/>
            </w:pPr>
            <w:r>
              <w:t xml:space="preserve">356</w:t>
            </w:r>
          </w:p>
        </w:tc>
        <w:tc>
          <w:tcPr/>
          <w:p>
            <w:pPr>
              <w:pStyle w:val="Compact"/>
              <w:jc w:val="right"/>
            </w:pPr>
            <w:r>
              <w:t xml:space="preserve">0.999967</w:t>
            </w:r>
          </w:p>
        </w:tc>
        <w:tc>
          <w:tcPr/>
          <w:p>
            <w:pPr>
              <w:pStyle w:val="Compact"/>
              <w:jc w:val="right"/>
            </w:pPr>
            <w:r>
              <w:t xml:space="preserve">0.157</w:t>
            </w:r>
          </w:p>
        </w:tc>
        <w:tc>
          <w:tcPr/>
          <w:p>
            <w:pPr>
              <w:pStyle w:val="Compact"/>
              <w:jc w:val="right"/>
            </w:pPr>
            <w:r>
              <w:t xml:space="preserve">330</w:t>
            </w:r>
          </w:p>
        </w:tc>
      </w:tr>
      <w:tr>
        <w:tc>
          <w:tcPr/>
          <w:p>
            <w:pPr>
              <w:pStyle w:val="Compact"/>
              <w:jc w:val="right"/>
            </w:pPr>
            <w:r>
              <w:t xml:space="preserve">511</w:t>
            </w:r>
          </w:p>
        </w:tc>
        <w:tc>
          <w:tcPr/>
          <w:p>
            <w:pPr>
              <w:pStyle w:val="Compact"/>
              <w:jc w:val="right"/>
            </w:pPr>
            <w:r>
              <w:t xml:space="preserve">0.999977</w:t>
            </w:r>
          </w:p>
        </w:tc>
        <w:tc>
          <w:tcPr/>
          <w:p>
            <w:pPr>
              <w:pStyle w:val="Compact"/>
              <w:jc w:val="right"/>
            </w:pPr>
            <w:r>
              <w:t xml:space="preserve">0.108</w:t>
            </w:r>
          </w:p>
        </w:tc>
        <w:tc>
          <w:tcPr/>
          <w:p>
            <w:pPr>
              <w:pStyle w:val="Compact"/>
              <w:jc w:val="right"/>
            </w:pPr>
            <w:r>
              <w:t xml:space="preserve">227</w:t>
            </w:r>
          </w:p>
        </w:tc>
      </w:tr>
      <w:tr>
        <w:tc>
          <w:tcPr/>
          <w:p>
            <w:pPr>
              <w:pStyle w:val="Compact"/>
              <w:jc w:val="right"/>
            </w:pPr>
            <w:r>
              <w:t xml:space="preserve">662</w:t>
            </w:r>
          </w:p>
        </w:tc>
        <w:tc>
          <w:tcPr/>
          <w:p>
            <w:pPr>
              <w:pStyle w:val="Compact"/>
              <w:jc w:val="right"/>
            </w:pPr>
            <w:r>
              <w:t xml:space="preserve">0.999983</w:t>
            </w:r>
          </w:p>
        </w:tc>
        <w:tc>
          <w:tcPr/>
          <w:p>
            <w:pPr>
              <w:pStyle w:val="Compact"/>
              <w:jc w:val="right"/>
            </w:pPr>
            <w:r>
              <w:t xml:space="preserve">0.079</w:t>
            </w:r>
          </w:p>
        </w:tc>
        <w:tc>
          <w:tcPr/>
          <w:p>
            <w:pPr>
              <w:pStyle w:val="Compact"/>
              <w:jc w:val="right"/>
            </w:pPr>
            <w:r>
              <w:t xml:space="preserve">167</w:t>
            </w:r>
          </w:p>
        </w:tc>
      </w:tr>
      <w:tr>
        <w:tc>
          <w:tcPr/>
          <w:p>
            <w:pPr>
              <w:pStyle w:val="Compact"/>
              <w:jc w:val="right"/>
            </w:pPr>
            <w:r>
              <w:t xml:space="preserve">1173</w:t>
            </w:r>
          </w:p>
        </w:tc>
        <w:tc>
          <w:tcPr/>
          <w:p>
            <w:pPr>
              <w:pStyle w:val="Compact"/>
              <w:jc w:val="right"/>
            </w:pPr>
            <w:r>
              <w:t xml:space="preserve">0.999988</w:t>
            </w:r>
          </w:p>
        </w:tc>
        <w:tc>
          <w:tcPr/>
          <w:p>
            <w:pPr>
              <w:pStyle w:val="Compact"/>
              <w:jc w:val="right"/>
            </w:pPr>
            <w:r>
              <w:t xml:space="preserve">0.055</w:t>
            </w:r>
          </w:p>
        </w:tc>
        <w:tc>
          <w:tcPr/>
          <w:p>
            <w:pPr>
              <w:pStyle w:val="Compact"/>
              <w:jc w:val="right"/>
            </w:pPr>
            <w:r>
              <w:t xml:space="preserve">116</w:t>
            </w:r>
          </w:p>
        </w:tc>
      </w:tr>
      <w:tr>
        <w:tc>
          <w:tcPr/>
          <w:p>
            <w:pPr>
              <w:pStyle w:val="Compact"/>
              <w:jc w:val="right"/>
            </w:pPr>
            <w:r>
              <w:t xml:space="preserve">1332</w:t>
            </w:r>
          </w:p>
        </w:tc>
        <w:tc>
          <w:tcPr/>
          <w:p>
            <w:pPr>
              <w:pStyle w:val="Compact"/>
              <w:jc w:val="right"/>
            </w:pPr>
            <w:r>
              <w:t xml:space="preserve">0.999988</w:t>
            </w:r>
          </w:p>
        </w:tc>
        <w:tc>
          <w:tcPr/>
          <w:p>
            <w:pPr>
              <w:pStyle w:val="Compact"/>
              <w:jc w:val="right"/>
            </w:pPr>
            <w:r>
              <w:t xml:space="preserve">0.056</w:t>
            </w:r>
          </w:p>
        </w:tc>
        <w:tc>
          <w:tcPr/>
          <w:p>
            <w:pPr>
              <w:pStyle w:val="Compact"/>
              <w:jc w:val="right"/>
            </w:pPr>
            <w:r>
              <w:t xml:space="preserve">118</w:t>
            </w:r>
          </w:p>
        </w:tc>
      </w:tr>
    </w:tbl>
    <w:bookmarkEnd w:id="72"/>
    <w:bookmarkStart w:id="73" w:name="b.6-hdpepbwo₄"/>
    <w:p>
      <w:pPr>
        <w:pStyle w:val="Heading3"/>
      </w:pPr>
      <w:r>
        <w:t xml:space="preserve">B.6 HDPE/PbWO₄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0.996333</w:t>
            </w:r>
          </w:p>
        </w:tc>
        <w:tc>
          <w:tcPr/>
          <w:p>
            <w:pPr>
              <w:pStyle w:val="Compact"/>
              <w:jc w:val="right"/>
            </w:pPr>
            <w:r>
              <w:t xml:space="preserve">15.507</w:t>
            </w:r>
          </w:p>
        </w:tc>
        <w:tc>
          <w:tcPr/>
          <w:p>
            <w:pPr>
              <w:pStyle w:val="Compact"/>
              <w:jc w:val="right"/>
            </w:pPr>
            <w:r>
              <w:t xml:space="preserve">36,735</w:t>
            </w:r>
          </w:p>
        </w:tc>
      </w:tr>
      <w:tr>
        <w:tc>
          <w:tcPr/>
          <w:p>
            <w:pPr>
              <w:pStyle w:val="Compact"/>
              <w:jc w:val="right"/>
            </w:pPr>
            <w:r>
              <w:t xml:space="preserve">50</w:t>
            </w:r>
          </w:p>
        </w:tc>
        <w:tc>
          <w:tcPr/>
          <w:p>
            <w:pPr>
              <w:pStyle w:val="Compact"/>
              <w:jc w:val="right"/>
            </w:pPr>
            <w:r>
              <w:t xml:space="preserve">0.999030</w:t>
            </w:r>
          </w:p>
        </w:tc>
        <w:tc>
          <w:tcPr/>
          <w:p>
            <w:pPr>
              <w:pStyle w:val="Compact"/>
              <w:jc w:val="right"/>
            </w:pPr>
            <w:r>
              <w:t xml:space="preserve">4.096</w:t>
            </w:r>
          </w:p>
        </w:tc>
        <w:tc>
          <w:tcPr/>
          <w:p>
            <w:pPr>
              <w:pStyle w:val="Compact"/>
              <w:jc w:val="right"/>
            </w:pPr>
            <w:r>
              <w:t xml:space="preserve">9,704</w:t>
            </w:r>
          </w:p>
        </w:tc>
      </w:tr>
      <w:tr>
        <w:tc>
          <w:tcPr/>
          <w:p>
            <w:pPr>
              <w:pStyle w:val="Compact"/>
              <w:jc w:val="right"/>
            </w:pPr>
            <w:r>
              <w:t xml:space="preserve">80</w:t>
            </w:r>
          </w:p>
        </w:tc>
        <w:tc>
          <w:tcPr/>
          <w:p>
            <w:pPr>
              <w:pStyle w:val="Compact"/>
              <w:jc w:val="right"/>
            </w:pPr>
            <w:r>
              <w:t xml:space="preserve">0.999323</w:t>
            </w:r>
          </w:p>
        </w:tc>
        <w:tc>
          <w:tcPr/>
          <w:p>
            <w:pPr>
              <w:pStyle w:val="Compact"/>
              <w:jc w:val="right"/>
            </w:pPr>
            <w:r>
              <w:t xml:space="preserve">2.857</w:t>
            </w:r>
          </w:p>
        </w:tc>
        <w:tc>
          <w:tcPr/>
          <w:p>
            <w:pPr>
              <w:pStyle w:val="Compact"/>
              <w:jc w:val="right"/>
            </w:pPr>
            <w:r>
              <w:t xml:space="preserve">6,768</w:t>
            </w:r>
          </w:p>
        </w:tc>
      </w:tr>
      <w:tr>
        <w:tc>
          <w:tcPr/>
          <w:p>
            <w:pPr>
              <w:pStyle w:val="Compact"/>
              <w:jc w:val="right"/>
            </w:pPr>
            <w:r>
              <w:t xml:space="preserve">100</w:t>
            </w:r>
          </w:p>
        </w:tc>
        <w:tc>
          <w:tcPr/>
          <w:p>
            <w:pPr>
              <w:pStyle w:val="Compact"/>
              <w:jc w:val="right"/>
            </w:pPr>
            <w:r>
              <w:t xml:space="preserve">0.999297</w:t>
            </w:r>
          </w:p>
        </w:tc>
        <w:tc>
          <w:tcPr/>
          <w:p>
            <w:pPr>
              <w:pStyle w:val="Compact"/>
              <w:jc w:val="right"/>
            </w:pPr>
            <w:r>
              <w:t xml:space="preserve">2.970</w:t>
            </w:r>
          </w:p>
        </w:tc>
        <w:tc>
          <w:tcPr/>
          <w:p>
            <w:pPr>
              <w:pStyle w:val="Compact"/>
              <w:jc w:val="right"/>
            </w:pPr>
            <w:r>
              <w:t xml:space="preserve">7,036</w:t>
            </w:r>
          </w:p>
        </w:tc>
      </w:tr>
      <w:tr>
        <w:tc>
          <w:tcPr/>
          <w:p>
            <w:pPr>
              <w:pStyle w:val="Compact"/>
              <w:jc w:val="right"/>
            </w:pPr>
            <w:r>
              <w:t xml:space="preserve">150</w:t>
            </w:r>
          </w:p>
        </w:tc>
        <w:tc>
          <w:tcPr/>
          <w:p>
            <w:pPr>
              <w:pStyle w:val="Compact"/>
              <w:jc w:val="right"/>
            </w:pPr>
            <w:r>
              <w:t xml:space="preserve">0.999733</w:t>
            </w:r>
          </w:p>
        </w:tc>
        <w:tc>
          <w:tcPr/>
          <w:p>
            <w:pPr>
              <w:pStyle w:val="Compact"/>
              <w:jc w:val="right"/>
            </w:pPr>
            <w:r>
              <w:t xml:space="preserve">1.126</w:t>
            </w:r>
          </w:p>
        </w:tc>
        <w:tc>
          <w:tcPr/>
          <w:p>
            <w:pPr>
              <w:pStyle w:val="Compact"/>
              <w:jc w:val="right"/>
            </w:pPr>
            <w:r>
              <w:t xml:space="preserve">2,666</w:t>
            </w:r>
          </w:p>
        </w:tc>
      </w:tr>
      <w:tr>
        <w:tc>
          <w:tcPr/>
          <w:p>
            <w:pPr>
              <w:pStyle w:val="Compact"/>
              <w:jc w:val="right"/>
            </w:pPr>
            <w:r>
              <w:t xml:space="preserve">356</w:t>
            </w:r>
          </w:p>
        </w:tc>
        <w:tc>
          <w:tcPr/>
          <w:p>
            <w:pPr>
              <w:pStyle w:val="Compact"/>
              <w:jc w:val="right"/>
            </w:pPr>
            <w:r>
              <w:t xml:space="preserve">0.999954</w:t>
            </w:r>
          </w:p>
        </w:tc>
        <w:tc>
          <w:tcPr/>
          <w:p>
            <w:pPr>
              <w:pStyle w:val="Compact"/>
              <w:jc w:val="right"/>
            </w:pPr>
            <w:r>
              <w:t xml:space="preserve">0.196</w:t>
            </w:r>
          </w:p>
        </w:tc>
        <w:tc>
          <w:tcPr/>
          <w:p>
            <w:pPr>
              <w:pStyle w:val="Compact"/>
              <w:jc w:val="right"/>
            </w:pPr>
            <w:r>
              <w:t xml:space="preserve">464</w:t>
            </w:r>
          </w:p>
        </w:tc>
      </w:tr>
      <w:tr>
        <w:tc>
          <w:tcPr/>
          <w:p>
            <w:pPr>
              <w:pStyle w:val="Compact"/>
              <w:jc w:val="right"/>
            </w:pPr>
            <w:r>
              <w:t xml:space="preserve">511</w:t>
            </w:r>
          </w:p>
        </w:tc>
        <w:tc>
          <w:tcPr/>
          <w:p>
            <w:pPr>
              <w:pStyle w:val="Compact"/>
              <w:jc w:val="right"/>
            </w:pPr>
            <w:r>
              <w:t xml:space="preserve">0.999971</w:t>
            </w:r>
          </w:p>
        </w:tc>
        <w:tc>
          <w:tcPr/>
          <w:p>
            <w:pPr>
              <w:pStyle w:val="Compact"/>
              <w:jc w:val="right"/>
            </w:pPr>
            <w:r>
              <w:t xml:space="preserve">0.121</w:t>
            </w:r>
          </w:p>
        </w:tc>
        <w:tc>
          <w:tcPr/>
          <w:p>
            <w:pPr>
              <w:pStyle w:val="Compact"/>
              <w:jc w:val="right"/>
            </w:pPr>
            <w:r>
              <w:t xml:space="preserve">286</w:t>
            </w:r>
          </w:p>
        </w:tc>
      </w:tr>
      <w:tr>
        <w:tc>
          <w:tcPr/>
          <w:p>
            <w:pPr>
              <w:pStyle w:val="Compact"/>
              <w:jc w:val="right"/>
            </w:pPr>
            <w:r>
              <w:t xml:space="preserve">662</w:t>
            </w:r>
          </w:p>
        </w:tc>
        <w:tc>
          <w:tcPr/>
          <w:p>
            <w:pPr>
              <w:pStyle w:val="Compact"/>
              <w:jc w:val="right"/>
            </w:pPr>
            <w:r>
              <w:t xml:space="preserve">0.999979</w:t>
            </w:r>
          </w:p>
        </w:tc>
        <w:tc>
          <w:tcPr/>
          <w:p>
            <w:pPr>
              <w:pStyle w:val="Compact"/>
              <w:jc w:val="right"/>
            </w:pPr>
            <w:r>
              <w:t xml:space="preserve">0.090</w:t>
            </w:r>
          </w:p>
        </w:tc>
        <w:tc>
          <w:tcPr/>
          <w:p>
            <w:pPr>
              <w:pStyle w:val="Compact"/>
              <w:jc w:val="right"/>
            </w:pPr>
            <w:r>
              <w:t xml:space="preserve">213</w:t>
            </w:r>
          </w:p>
        </w:tc>
      </w:tr>
      <w:tr>
        <w:tc>
          <w:tcPr/>
          <w:p>
            <w:pPr>
              <w:pStyle w:val="Compact"/>
              <w:jc w:val="right"/>
            </w:pPr>
            <w:r>
              <w:t xml:space="preserve">1173</w:t>
            </w:r>
          </w:p>
        </w:tc>
        <w:tc>
          <w:tcPr/>
          <w:p>
            <w:pPr>
              <w:pStyle w:val="Compact"/>
              <w:jc w:val="right"/>
            </w:pPr>
            <w:r>
              <w:t xml:space="preserve">0.999985</w:t>
            </w:r>
          </w:p>
        </w:tc>
        <w:tc>
          <w:tcPr/>
          <w:p>
            <w:pPr>
              <w:pStyle w:val="Compact"/>
              <w:jc w:val="right"/>
            </w:pPr>
            <w:r>
              <w:t xml:space="preserve">0.062</w:t>
            </w:r>
          </w:p>
        </w:tc>
        <w:tc>
          <w:tcPr/>
          <w:p>
            <w:pPr>
              <w:pStyle w:val="Compact"/>
              <w:jc w:val="right"/>
            </w:pPr>
            <w:r>
              <w:t xml:space="preserve">146</w:t>
            </w:r>
          </w:p>
        </w:tc>
      </w:tr>
      <w:tr>
        <w:tc>
          <w:tcPr/>
          <w:p>
            <w:pPr>
              <w:pStyle w:val="Compact"/>
              <w:jc w:val="right"/>
            </w:pPr>
            <w:r>
              <w:t xml:space="preserve">1332</w:t>
            </w:r>
          </w:p>
        </w:tc>
        <w:tc>
          <w:tcPr/>
          <w:p>
            <w:pPr>
              <w:pStyle w:val="Compact"/>
              <w:jc w:val="right"/>
            </w:pPr>
            <w:r>
              <w:t xml:space="preserve">0.999987</w:t>
            </w:r>
          </w:p>
        </w:tc>
        <w:tc>
          <w:tcPr/>
          <w:p>
            <w:pPr>
              <w:pStyle w:val="Compact"/>
              <w:jc w:val="right"/>
            </w:pPr>
            <w:r>
              <w:t xml:space="preserve">0.053</w:t>
            </w:r>
          </w:p>
        </w:tc>
        <w:tc>
          <w:tcPr/>
          <w:p>
            <w:pPr>
              <w:pStyle w:val="Compact"/>
              <w:jc w:val="right"/>
            </w:pPr>
            <w:r>
              <w:t xml:space="preserve">126</w:t>
            </w:r>
          </w:p>
        </w:tc>
      </w:tr>
    </w:tbl>
    <w:p>
      <w:r>
        <w:pict>
          <v:rect style="width:0;height:1.5pt" o:hralign="center" o:hrstd="t" o:hr="t"/>
        </w:pict>
      </w:r>
    </w:p>
    <w:bookmarkEnd w:id="73"/>
    <w:bookmarkEnd w:id="74"/>
    <w:bookmarkStart w:id="81" w:name="X2154738d443b50c3478d7100239fea45a30e226"/>
    <w:p>
      <w:pPr>
        <w:pStyle w:val="Heading2"/>
      </w:pPr>
      <w:r>
        <w:t xml:space="preserve">Appendix C. Regime-C Multi-Union Numerical Results</w:t>
      </w:r>
    </w:p>
    <w:p>
      <w:pPr>
        <w:pStyle w:val="FirstParagraph"/>
      </w:pPr>
      <w:r>
        <w:t xml:space="preserve">Each table reports the 250 nm</w:t>
      </w:r>
      <w:r>
        <w:t xml:space="preserve"> </w:t>
      </w:r>
      <w:r>
        <w:rPr>
          <w:rStyle w:val="VerbatimChar"/>
        </w:rPr>
        <w:t xml:space="preserve">G4MultiUnion</w:t>
      </w:r>
      <w:r>
        <w:t xml:space="preserve"> </w:t>
      </w:r>
      <w:r>
        <w:t xml:space="preserve">RVE result with</w:t>
      </w:r>
      <w:r>
        <w:t xml:space="preserve"> </w:t>
      </w:r>
      <m:oMath>
        <m:sSup>
          <m:e>
            <m:r>
              <m:t>10</m:t>
            </m:r>
          </m:e>
          <m:sup>
            <m:r>
              <m:t>7</m:t>
            </m:r>
          </m:sup>
        </m:sSup>
      </m:oMath>
      <w:r>
        <w:t xml:space="preserve"> </w:t>
      </w:r>
      <w:r>
        <w:t xml:space="preserve">histories per energy.</w:t>
      </w:r>
    </w:p>
    <w:bookmarkStart w:id="75" w:name="c.1-hdpebi₂o₃"/>
    <w:p>
      <w:pPr>
        <w:pStyle w:val="Heading3"/>
      </w:pPr>
      <w:r>
        <w:t xml:space="preserve">C.1 HDPE/Bi₂O₃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0.998822</w:t>
            </w:r>
          </w:p>
        </w:tc>
        <w:tc>
          <w:tcPr/>
          <w:p>
            <w:pPr>
              <w:pStyle w:val="Compact"/>
              <w:jc w:val="right"/>
            </w:pPr>
            <w:r>
              <w:t xml:space="preserve">19.230</w:t>
            </w:r>
          </w:p>
        </w:tc>
        <w:tc>
          <w:tcPr/>
          <w:p>
            <w:pPr>
              <w:pStyle w:val="Compact"/>
              <w:jc w:val="right"/>
            </w:pPr>
            <w:r>
              <w:t xml:space="preserve">11,780</w:t>
            </w:r>
          </w:p>
        </w:tc>
      </w:tr>
      <w:tr>
        <w:tc>
          <w:tcPr/>
          <w:p>
            <w:pPr>
              <w:pStyle w:val="Compact"/>
              <w:jc w:val="right"/>
            </w:pPr>
            <w:r>
              <w:t xml:space="preserve">50</w:t>
            </w:r>
          </w:p>
        </w:tc>
        <w:tc>
          <w:tcPr/>
          <w:p>
            <w:pPr>
              <w:pStyle w:val="Compact"/>
              <w:jc w:val="right"/>
            </w:pPr>
            <w:r>
              <w:t xml:space="preserve">0.999675</w:t>
            </w:r>
          </w:p>
        </w:tc>
        <w:tc>
          <w:tcPr/>
          <w:p>
            <w:pPr>
              <w:pStyle w:val="Compact"/>
              <w:jc w:val="right"/>
            </w:pPr>
            <w:r>
              <w:t xml:space="preserve">5.301</w:t>
            </w:r>
          </w:p>
        </w:tc>
        <w:tc>
          <w:tcPr/>
          <w:p>
            <w:pPr>
              <w:pStyle w:val="Compact"/>
              <w:jc w:val="right"/>
            </w:pPr>
            <w:r>
              <w:t xml:space="preserve">3,250</w:t>
            </w:r>
          </w:p>
        </w:tc>
      </w:tr>
      <w:tr>
        <w:tc>
          <w:tcPr/>
          <w:p>
            <w:pPr>
              <w:pStyle w:val="Compact"/>
              <w:jc w:val="right"/>
            </w:pPr>
            <w:r>
              <w:t xml:space="preserve">80</w:t>
            </w:r>
          </w:p>
        </w:tc>
        <w:tc>
          <w:tcPr/>
          <w:p>
            <w:pPr>
              <w:pStyle w:val="Compact"/>
              <w:jc w:val="right"/>
            </w:pPr>
            <w:r>
              <w:t xml:space="preserve">0.999902</w:t>
            </w:r>
          </w:p>
        </w:tc>
        <w:tc>
          <w:tcPr/>
          <w:p>
            <w:pPr>
              <w:pStyle w:val="Compact"/>
              <w:jc w:val="right"/>
            </w:pPr>
            <w:r>
              <w:t xml:space="preserve">1.604</w:t>
            </w:r>
          </w:p>
        </w:tc>
        <w:tc>
          <w:tcPr/>
          <w:p>
            <w:pPr>
              <w:pStyle w:val="Compact"/>
              <w:jc w:val="right"/>
            </w:pPr>
            <w:r>
              <w:t xml:space="preserve">980</w:t>
            </w:r>
          </w:p>
        </w:tc>
      </w:tr>
      <w:tr>
        <w:tc>
          <w:tcPr/>
          <w:p>
            <w:pPr>
              <w:pStyle w:val="Compact"/>
              <w:jc w:val="right"/>
            </w:pPr>
            <w:r>
              <w:t xml:space="preserve">100</w:t>
            </w:r>
          </w:p>
        </w:tc>
        <w:tc>
          <w:tcPr/>
          <w:p>
            <w:pPr>
              <w:pStyle w:val="Compact"/>
              <w:jc w:val="right"/>
            </w:pPr>
            <w:r>
              <w:t xml:space="preserve">0.999785</w:t>
            </w:r>
          </w:p>
        </w:tc>
        <w:tc>
          <w:tcPr/>
          <w:p>
            <w:pPr>
              <w:pStyle w:val="Compact"/>
              <w:jc w:val="right"/>
            </w:pPr>
            <w:r>
              <w:t xml:space="preserve">3.514</w:t>
            </w:r>
          </w:p>
        </w:tc>
        <w:tc>
          <w:tcPr/>
          <w:p>
            <w:pPr>
              <w:pStyle w:val="Compact"/>
              <w:jc w:val="right"/>
            </w:pPr>
            <w:r>
              <w:t xml:space="preserve">2,150</w:t>
            </w:r>
          </w:p>
        </w:tc>
      </w:tr>
      <w:tr>
        <w:tc>
          <w:tcPr/>
          <w:p>
            <w:pPr>
              <w:pStyle w:val="Compact"/>
              <w:jc w:val="right"/>
            </w:pPr>
            <w:r>
              <w:t xml:space="preserve">150</w:t>
            </w:r>
          </w:p>
        </w:tc>
        <w:tc>
          <w:tcPr/>
          <w:p>
            <w:pPr>
              <w:pStyle w:val="Compact"/>
              <w:jc w:val="right"/>
            </w:pPr>
            <w:r>
              <w:t xml:space="preserve">0.999919</w:t>
            </w:r>
          </w:p>
        </w:tc>
        <w:tc>
          <w:tcPr/>
          <w:p>
            <w:pPr>
              <w:pStyle w:val="Compact"/>
              <w:jc w:val="right"/>
            </w:pPr>
            <w:r>
              <w:t xml:space="preserve">1.315</w:t>
            </w:r>
          </w:p>
        </w:tc>
        <w:tc>
          <w:tcPr/>
          <w:p>
            <w:pPr>
              <w:pStyle w:val="Compact"/>
              <w:jc w:val="right"/>
            </w:pPr>
            <w:r>
              <w:t xml:space="preserve">810</w:t>
            </w:r>
          </w:p>
        </w:tc>
      </w:tr>
      <w:tr>
        <w:tc>
          <w:tcPr/>
          <w:p>
            <w:pPr>
              <w:pStyle w:val="Compact"/>
              <w:jc w:val="right"/>
            </w:pPr>
            <w:r>
              <w:t xml:space="preserve">356</w:t>
            </w:r>
          </w:p>
        </w:tc>
        <w:tc>
          <w:tcPr/>
          <w:p>
            <w:pPr>
              <w:pStyle w:val="Compact"/>
              <w:jc w:val="right"/>
            </w:pPr>
            <w:r>
              <w:t xml:space="preserve">0.999987</w:t>
            </w:r>
          </w:p>
        </w:tc>
        <w:tc>
          <w:tcPr/>
          <w:p>
            <w:pPr>
              <w:pStyle w:val="Compact"/>
              <w:jc w:val="right"/>
            </w:pPr>
            <w:r>
              <w:t xml:space="preserve">0.2153</w:t>
            </w:r>
          </w:p>
        </w:tc>
        <w:tc>
          <w:tcPr/>
          <w:p>
            <w:pPr>
              <w:pStyle w:val="Compact"/>
              <w:jc w:val="right"/>
            </w:pPr>
            <w:r>
              <w:t xml:space="preserve">130</w:t>
            </w:r>
          </w:p>
        </w:tc>
      </w:tr>
      <w:tr>
        <w:tc>
          <w:tcPr/>
          <w:p>
            <w:pPr>
              <w:pStyle w:val="Compact"/>
              <w:jc w:val="right"/>
            </w:pPr>
            <w:r>
              <w:t xml:space="preserve">511</w:t>
            </w:r>
          </w:p>
        </w:tc>
        <w:tc>
          <w:tcPr/>
          <w:p>
            <w:pPr>
              <w:pStyle w:val="Compact"/>
              <w:jc w:val="right"/>
            </w:pPr>
            <w:r>
              <w:t xml:space="preserve">0.999991</w:t>
            </w:r>
          </w:p>
        </w:tc>
        <w:tc>
          <w:tcPr/>
          <w:p>
            <w:pPr>
              <w:pStyle w:val="Compact"/>
              <w:jc w:val="right"/>
            </w:pPr>
            <w:r>
              <w:t xml:space="preserve">0.1485</w:t>
            </w:r>
          </w:p>
        </w:tc>
        <w:tc>
          <w:tcPr/>
          <w:p>
            <w:pPr>
              <w:pStyle w:val="Compact"/>
              <w:jc w:val="right"/>
            </w:pPr>
            <w:r>
              <w:t xml:space="preserve">90</w:t>
            </w:r>
          </w:p>
        </w:tc>
      </w:tr>
      <w:tr>
        <w:tc>
          <w:tcPr/>
          <w:p>
            <w:pPr>
              <w:pStyle w:val="Compact"/>
              <w:jc w:val="right"/>
            </w:pPr>
            <w:r>
              <w:t xml:space="preserve">662</w:t>
            </w:r>
          </w:p>
        </w:tc>
        <w:tc>
          <w:tcPr/>
          <w:p>
            <w:pPr>
              <w:pStyle w:val="Compact"/>
              <w:jc w:val="right"/>
            </w:pPr>
            <w:r>
              <w:t xml:space="preserve">0.999994</w:t>
            </w:r>
          </w:p>
        </w:tc>
        <w:tc>
          <w:tcPr/>
          <w:p>
            <w:pPr>
              <w:pStyle w:val="Compact"/>
              <w:jc w:val="right"/>
            </w:pPr>
            <w:r>
              <w:t xml:space="preserve">0.1044</w:t>
            </w:r>
          </w:p>
        </w:tc>
        <w:tc>
          <w:tcPr/>
          <w:p>
            <w:pPr>
              <w:pStyle w:val="Compact"/>
              <w:jc w:val="right"/>
            </w:pPr>
            <w:r>
              <w:t xml:space="preserve">60</w:t>
            </w:r>
          </w:p>
        </w:tc>
      </w:tr>
      <w:tr>
        <w:tc>
          <w:tcPr/>
          <w:p>
            <w:pPr>
              <w:pStyle w:val="Compact"/>
              <w:jc w:val="right"/>
            </w:pPr>
            <w:r>
              <w:t xml:space="preserve">1173</w:t>
            </w:r>
          </w:p>
        </w:tc>
        <w:tc>
          <w:tcPr/>
          <w:p>
            <w:pPr>
              <w:pStyle w:val="Compact"/>
              <w:jc w:val="right"/>
            </w:pPr>
            <w:r>
              <w:t xml:space="preserve">0.999997</w:t>
            </w:r>
          </w:p>
        </w:tc>
        <w:tc>
          <w:tcPr/>
          <w:p>
            <w:pPr>
              <w:pStyle w:val="Compact"/>
              <w:jc w:val="right"/>
            </w:pPr>
            <w:r>
              <w:t xml:space="preserve">0.0489</w:t>
            </w:r>
          </w:p>
        </w:tc>
        <w:tc>
          <w:tcPr/>
          <w:p>
            <w:pPr>
              <w:pStyle w:val="Compact"/>
              <w:jc w:val="right"/>
            </w:pPr>
            <w:r>
              <w:t xml:space="preserve">30</w:t>
            </w:r>
          </w:p>
        </w:tc>
      </w:tr>
      <w:tr>
        <w:tc>
          <w:tcPr/>
          <w:p>
            <w:pPr>
              <w:pStyle w:val="Compact"/>
              <w:jc w:val="right"/>
            </w:pPr>
            <w:r>
              <w:t xml:space="preserve">1332</w:t>
            </w:r>
          </w:p>
        </w:tc>
        <w:tc>
          <w:tcPr/>
          <w:p>
            <w:pPr>
              <w:pStyle w:val="Compact"/>
              <w:jc w:val="right"/>
            </w:pPr>
            <w:r>
              <w:t xml:space="preserve">0.999996</w:t>
            </w:r>
          </w:p>
        </w:tc>
        <w:tc>
          <w:tcPr/>
          <w:p>
            <w:pPr>
              <w:pStyle w:val="Compact"/>
              <w:jc w:val="right"/>
            </w:pPr>
            <w:r>
              <w:t xml:space="preserve">0.0587</w:t>
            </w:r>
          </w:p>
        </w:tc>
        <w:tc>
          <w:tcPr/>
          <w:p>
            <w:pPr>
              <w:pStyle w:val="Compact"/>
              <w:jc w:val="right"/>
            </w:pPr>
            <w:r>
              <w:t xml:space="preserve">40</w:t>
            </w:r>
          </w:p>
        </w:tc>
      </w:tr>
    </w:tbl>
    <w:bookmarkEnd w:id="75"/>
    <w:bookmarkStart w:id="76" w:name="c.2-hdpewo₃"/>
    <w:p>
      <w:pPr>
        <w:pStyle w:val="Heading3"/>
      </w:pPr>
      <w:r>
        <w:t xml:space="preserve">C.2 HDPE/WO₃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0.999390</w:t>
            </w:r>
          </w:p>
        </w:tc>
        <w:tc>
          <w:tcPr/>
          <w:p>
            <w:pPr>
              <w:pStyle w:val="Compact"/>
              <w:jc w:val="right"/>
            </w:pPr>
            <w:r>
              <w:t xml:space="preserve">11.497</w:t>
            </w:r>
          </w:p>
        </w:tc>
        <w:tc>
          <w:tcPr/>
          <w:p>
            <w:pPr>
              <w:pStyle w:val="Compact"/>
              <w:jc w:val="right"/>
            </w:pPr>
            <w:r>
              <w:t xml:space="preserve">6,100</w:t>
            </w:r>
          </w:p>
        </w:tc>
      </w:tr>
      <w:tr>
        <w:tc>
          <w:tcPr/>
          <w:p>
            <w:pPr>
              <w:pStyle w:val="Compact"/>
              <w:jc w:val="right"/>
            </w:pPr>
            <w:r>
              <w:t xml:space="preserve">50</w:t>
            </w:r>
          </w:p>
        </w:tc>
        <w:tc>
          <w:tcPr/>
          <w:p>
            <w:pPr>
              <w:pStyle w:val="Compact"/>
              <w:jc w:val="right"/>
            </w:pPr>
            <w:r>
              <w:t xml:space="preserve">0.999839</w:t>
            </w:r>
          </w:p>
        </w:tc>
        <w:tc>
          <w:tcPr/>
          <w:p>
            <w:pPr>
              <w:pStyle w:val="Compact"/>
              <w:jc w:val="right"/>
            </w:pPr>
            <w:r>
              <w:t xml:space="preserve">3.038</w:t>
            </w:r>
          </w:p>
        </w:tc>
        <w:tc>
          <w:tcPr/>
          <w:p>
            <w:pPr>
              <w:pStyle w:val="Compact"/>
              <w:jc w:val="right"/>
            </w:pPr>
            <w:r>
              <w:t xml:space="preserve">1,610</w:t>
            </w:r>
          </w:p>
        </w:tc>
      </w:tr>
      <w:tr>
        <w:tc>
          <w:tcPr/>
          <w:p>
            <w:pPr>
              <w:pStyle w:val="Compact"/>
              <w:jc w:val="right"/>
            </w:pPr>
            <w:r>
              <w:t xml:space="preserve">80</w:t>
            </w:r>
          </w:p>
        </w:tc>
        <w:tc>
          <w:tcPr/>
          <w:p>
            <w:pPr>
              <w:pStyle w:val="Compact"/>
              <w:jc w:val="right"/>
            </w:pPr>
            <w:r>
              <w:t xml:space="preserve">0.999784</w:t>
            </w:r>
          </w:p>
        </w:tc>
        <w:tc>
          <w:tcPr/>
          <w:p>
            <w:pPr>
              <w:pStyle w:val="Compact"/>
              <w:jc w:val="right"/>
            </w:pPr>
            <w:r>
              <w:t xml:space="preserve">4.078</w:t>
            </w:r>
          </w:p>
        </w:tc>
        <w:tc>
          <w:tcPr/>
          <w:p>
            <w:pPr>
              <w:pStyle w:val="Compact"/>
              <w:jc w:val="right"/>
            </w:pPr>
            <w:r>
              <w:t xml:space="preserve">2,160</w:t>
            </w:r>
          </w:p>
        </w:tc>
      </w:tr>
      <w:tr>
        <w:tc>
          <w:tcPr/>
          <w:p>
            <w:pPr>
              <w:pStyle w:val="Compact"/>
              <w:jc w:val="right"/>
            </w:pPr>
            <w:r>
              <w:t xml:space="preserve">100</w:t>
            </w:r>
          </w:p>
        </w:tc>
        <w:tc>
          <w:tcPr/>
          <w:p>
            <w:pPr>
              <w:pStyle w:val="Compact"/>
              <w:jc w:val="right"/>
            </w:pPr>
            <w:r>
              <w:t xml:space="preserve">0.999878</w:t>
            </w:r>
          </w:p>
        </w:tc>
        <w:tc>
          <w:tcPr/>
          <w:p>
            <w:pPr>
              <w:pStyle w:val="Compact"/>
              <w:jc w:val="right"/>
            </w:pPr>
            <w:r>
              <w:t xml:space="preserve">2.296</w:t>
            </w:r>
          </w:p>
        </w:tc>
        <w:tc>
          <w:tcPr/>
          <w:p>
            <w:pPr>
              <w:pStyle w:val="Compact"/>
              <w:jc w:val="right"/>
            </w:pPr>
            <w:r>
              <w:t xml:space="preserve">1,220</w:t>
            </w:r>
          </w:p>
        </w:tc>
      </w:tr>
      <w:tr>
        <w:tc>
          <w:tcPr/>
          <w:p>
            <w:pPr>
              <w:pStyle w:val="Compact"/>
              <w:jc w:val="right"/>
            </w:pPr>
            <w:r>
              <w:t xml:space="preserve">150</w:t>
            </w:r>
          </w:p>
        </w:tc>
        <w:tc>
          <w:tcPr/>
          <w:p>
            <w:pPr>
              <w:pStyle w:val="Compact"/>
              <w:jc w:val="right"/>
            </w:pPr>
            <w:r>
              <w:t xml:space="preserve">0.999952</w:t>
            </w:r>
          </w:p>
        </w:tc>
        <w:tc>
          <w:tcPr/>
          <w:p>
            <w:pPr>
              <w:pStyle w:val="Compact"/>
              <w:jc w:val="right"/>
            </w:pPr>
            <w:r>
              <w:t xml:space="preserve">0.896</w:t>
            </w:r>
          </w:p>
        </w:tc>
        <w:tc>
          <w:tcPr/>
          <w:p>
            <w:pPr>
              <w:pStyle w:val="Compact"/>
              <w:jc w:val="right"/>
            </w:pPr>
            <w:r>
              <w:t xml:space="preserve">480</w:t>
            </w:r>
          </w:p>
        </w:tc>
      </w:tr>
      <w:tr>
        <w:tc>
          <w:tcPr/>
          <w:p>
            <w:pPr>
              <w:pStyle w:val="Compact"/>
              <w:jc w:val="right"/>
            </w:pPr>
            <w:r>
              <w:t xml:space="preserve">356</w:t>
            </w:r>
          </w:p>
        </w:tc>
        <w:tc>
          <w:tcPr/>
          <w:p>
            <w:pPr>
              <w:pStyle w:val="Compact"/>
              <w:jc w:val="right"/>
            </w:pPr>
            <w:r>
              <w:t xml:space="preserve">0.999992</w:t>
            </w:r>
          </w:p>
        </w:tc>
        <w:tc>
          <w:tcPr/>
          <w:p>
            <w:pPr>
              <w:pStyle w:val="Compact"/>
              <w:jc w:val="right"/>
            </w:pPr>
            <w:r>
              <w:t xml:space="preserve">0.156</w:t>
            </w:r>
          </w:p>
        </w:tc>
        <w:tc>
          <w:tcPr/>
          <w:p>
            <w:pPr>
              <w:pStyle w:val="Compact"/>
              <w:jc w:val="right"/>
            </w:pPr>
            <w:r>
              <w:t xml:space="preserve">80</w:t>
            </w:r>
          </w:p>
        </w:tc>
      </w:tr>
      <w:tr>
        <w:tc>
          <w:tcPr/>
          <w:p>
            <w:pPr>
              <w:pStyle w:val="Compact"/>
              <w:jc w:val="right"/>
            </w:pPr>
            <w:r>
              <w:t xml:space="preserve">511</w:t>
            </w:r>
          </w:p>
        </w:tc>
        <w:tc>
          <w:tcPr/>
          <w:p>
            <w:pPr>
              <w:pStyle w:val="Compact"/>
              <w:jc w:val="right"/>
            </w:pPr>
            <w:r>
              <w:t xml:space="preserve">0.999995</w:t>
            </w:r>
          </w:p>
        </w:tc>
        <w:tc>
          <w:tcPr/>
          <w:p>
            <w:pPr>
              <w:pStyle w:val="Compact"/>
              <w:jc w:val="right"/>
            </w:pPr>
            <w:r>
              <w:t xml:space="preserve">0.100</w:t>
            </w:r>
          </w:p>
        </w:tc>
        <w:tc>
          <w:tcPr/>
          <w:p>
            <w:pPr>
              <w:pStyle w:val="Compact"/>
              <w:jc w:val="right"/>
            </w:pPr>
            <w:r>
              <w:t xml:space="preserve">50</w:t>
            </w:r>
          </w:p>
        </w:tc>
      </w:tr>
      <w:tr>
        <w:tc>
          <w:tcPr/>
          <w:p>
            <w:pPr>
              <w:pStyle w:val="Compact"/>
              <w:jc w:val="right"/>
            </w:pPr>
            <w:r>
              <w:t xml:space="preserve">662</w:t>
            </w:r>
          </w:p>
        </w:tc>
        <w:tc>
          <w:tcPr/>
          <w:p>
            <w:pPr>
              <w:pStyle w:val="Compact"/>
              <w:jc w:val="right"/>
            </w:pPr>
            <w:r>
              <w:t xml:space="preserve">0.999995</w:t>
            </w:r>
          </w:p>
        </w:tc>
        <w:tc>
          <w:tcPr/>
          <w:p>
            <w:pPr>
              <w:pStyle w:val="Compact"/>
              <w:jc w:val="right"/>
            </w:pPr>
            <w:r>
              <w:t xml:space="preserve">0.094</w:t>
            </w:r>
          </w:p>
        </w:tc>
        <w:tc>
          <w:tcPr/>
          <w:p>
            <w:pPr>
              <w:pStyle w:val="Compact"/>
              <w:jc w:val="right"/>
            </w:pPr>
            <w:r>
              <w:t xml:space="preserve">50</w:t>
            </w:r>
          </w:p>
        </w:tc>
      </w:tr>
      <w:tr>
        <w:tc>
          <w:tcPr/>
          <w:p>
            <w:pPr>
              <w:pStyle w:val="Compact"/>
              <w:jc w:val="right"/>
            </w:pPr>
            <w:r>
              <w:t xml:space="preserve">1173</w:t>
            </w:r>
          </w:p>
        </w:tc>
        <w:tc>
          <w:tcPr/>
          <w:p>
            <w:pPr>
              <w:pStyle w:val="Compact"/>
              <w:jc w:val="right"/>
            </w:pPr>
            <w:r>
              <w:t xml:space="preserve">0.999997</w:t>
            </w:r>
          </w:p>
        </w:tc>
        <w:tc>
          <w:tcPr/>
          <w:p>
            <w:pPr>
              <w:pStyle w:val="Compact"/>
              <w:jc w:val="right"/>
            </w:pPr>
            <w:r>
              <w:t xml:space="preserve">0.051</w:t>
            </w:r>
          </w:p>
        </w:tc>
        <w:tc>
          <w:tcPr/>
          <w:p>
            <w:pPr>
              <w:pStyle w:val="Compact"/>
              <w:jc w:val="right"/>
            </w:pPr>
            <w:r>
              <w:t xml:space="preserve">30</w:t>
            </w:r>
          </w:p>
        </w:tc>
      </w:tr>
      <w:tr>
        <w:tc>
          <w:tcPr/>
          <w:p>
            <w:pPr>
              <w:pStyle w:val="Compact"/>
              <w:jc w:val="right"/>
            </w:pPr>
            <w:r>
              <w:t xml:space="preserve">1332</w:t>
            </w:r>
          </w:p>
        </w:tc>
        <w:tc>
          <w:tcPr/>
          <w:p>
            <w:pPr>
              <w:pStyle w:val="Compact"/>
              <w:jc w:val="right"/>
            </w:pPr>
            <w:r>
              <w:t xml:space="preserve">0.999997</w:t>
            </w:r>
          </w:p>
        </w:tc>
        <w:tc>
          <w:tcPr/>
          <w:p>
            <w:pPr>
              <w:pStyle w:val="Compact"/>
              <w:jc w:val="right"/>
            </w:pPr>
            <w:r>
              <w:t xml:space="preserve">0.049</w:t>
            </w:r>
          </w:p>
        </w:tc>
        <w:tc>
          <w:tcPr/>
          <w:p>
            <w:pPr>
              <w:pStyle w:val="Compact"/>
              <w:jc w:val="right"/>
            </w:pPr>
            <w:r>
              <w:t xml:space="preserve">30</w:t>
            </w:r>
          </w:p>
        </w:tc>
      </w:tr>
    </w:tbl>
    <w:bookmarkEnd w:id="76"/>
    <w:bookmarkStart w:id="77" w:name="c.3-hdpebawo₄"/>
    <w:p>
      <w:pPr>
        <w:pStyle w:val="Heading3"/>
      </w:pPr>
      <w:r>
        <w:t xml:space="preserve">C.3 HDPE/BaWO₄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0.999583</w:t>
            </w:r>
          </w:p>
        </w:tc>
        <w:tc>
          <w:tcPr/>
          <w:p>
            <w:pPr>
              <w:pStyle w:val="Compact"/>
              <w:jc w:val="right"/>
            </w:pPr>
            <w:r>
              <w:t xml:space="preserve">8.660</w:t>
            </w:r>
          </w:p>
        </w:tc>
        <w:tc>
          <w:tcPr/>
          <w:p>
            <w:pPr>
              <w:pStyle w:val="Compact"/>
              <w:jc w:val="right"/>
            </w:pPr>
            <w:r>
              <w:t xml:space="preserve">4,170</w:t>
            </w:r>
          </w:p>
        </w:tc>
      </w:tr>
      <w:tr>
        <w:tc>
          <w:tcPr/>
          <w:p>
            <w:pPr>
              <w:pStyle w:val="Compact"/>
              <w:jc w:val="right"/>
            </w:pPr>
            <w:r>
              <w:t xml:space="preserve">50</w:t>
            </w:r>
          </w:p>
        </w:tc>
        <w:tc>
          <w:tcPr/>
          <w:p>
            <w:pPr>
              <w:pStyle w:val="Compact"/>
              <w:jc w:val="right"/>
            </w:pPr>
            <w:r>
              <w:t xml:space="preserve">0.999781</w:t>
            </w:r>
          </w:p>
        </w:tc>
        <w:tc>
          <w:tcPr/>
          <w:p>
            <w:pPr>
              <w:pStyle w:val="Compact"/>
              <w:jc w:val="right"/>
            </w:pPr>
            <w:r>
              <w:t xml:space="preserve">4.542</w:t>
            </w:r>
          </w:p>
        </w:tc>
        <w:tc>
          <w:tcPr/>
          <w:p>
            <w:pPr>
              <w:pStyle w:val="Compact"/>
              <w:jc w:val="right"/>
            </w:pPr>
            <w:r>
              <w:t xml:space="preserve">2,190</w:t>
            </w:r>
          </w:p>
        </w:tc>
      </w:tr>
      <w:tr>
        <w:tc>
          <w:tcPr/>
          <w:p>
            <w:pPr>
              <w:pStyle w:val="Compact"/>
              <w:jc w:val="right"/>
            </w:pPr>
            <w:r>
              <w:t xml:space="preserve">80</w:t>
            </w:r>
          </w:p>
        </w:tc>
        <w:tc>
          <w:tcPr/>
          <w:p>
            <w:pPr>
              <w:pStyle w:val="Compact"/>
              <w:jc w:val="right"/>
            </w:pPr>
            <w:r>
              <w:t xml:space="preserve">0.999846</w:t>
            </w:r>
          </w:p>
        </w:tc>
        <w:tc>
          <w:tcPr/>
          <w:p>
            <w:pPr>
              <w:pStyle w:val="Compact"/>
              <w:jc w:val="right"/>
            </w:pPr>
            <w:r>
              <w:t xml:space="preserve">3.187</w:t>
            </w:r>
          </w:p>
        </w:tc>
        <w:tc>
          <w:tcPr/>
          <w:p>
            <w:pPr>
              <w:pStyle w:val="Compact"/>
              <w:jc w:val="right"/>
            </w:pPr>
            <w:r>
              <w:t xml:space="preserve">1,540</w:t>
            </w:r>
          </w:p>
        </w:tc>
      </w:tr>
      <w:tr>
        <w:tc>
          <w:tcPr/>
          <w:p>
            <w:pPr>
              <w:pStyle w:val="Compact"/>
              <w:jc w:val="right"/>
            </w:pPr>
            <w:r>
              <w:t xml:space="preserve">100</w:t>
            </w:r>
          </w:p>
        </w:tc>
        <w:tc>
          <w:tcPr/>
          <w:p>
            <w:pPr>
              <w:pStyle w:val="Compact"/>
              <w:jc w:val="right"/>
            </w:pPr>
            <w:r>
              <w:t xml:space="preserve">0.999911</w:t>
            </w:r>
          </w:p>
        </w:tc>
        <w:tc>
          <w:tcPr/>
          <w:p>
            <w:pPr>
              <w:pStyle w:val="Compact"/>
              <w:jc w:val="right"/>
            </w:pPr>
            <w:r>
              <w:t xml:space="preserve">1.837</w:t>
            </w:r>
          </w:p>
        </w:tc>
        <w:tc>
          <w:tcPr/>
          <w:p>
            <w:pPr>
              <w:pStyle w:val="Compact"/>
              <w:jc w:val="right"/>
            </w:pPr>
            <w:r>
              <w:t xml:space="preserve">890</w:t>
            </w:r>
          </w:p>
        </w:tc>
      </w:tr>
      <w:tr>
        <w:tc>
          <w:tcPr/>
          <w:p>
            <w:pPr>
              <w:pStyle w:val="Compact"/>
              <w:jc w:val="right"/>
            </w:pPr>
            <w:r>
              <w:t xml:space="preserve">150</w:t>
            </w:r>
          </w:p>
        </w:tc>
        <w:tc>
          <w:tcPr/>
          <w:p>
            <w:pPr>
              <w:pStyle w:val="Compact"/>
              <w:jc w:val="right"/>
            </w:pPr>
            <w:r>
              <w:t xml:space="preserve">0.999969</w:t>
            </w:r>
          </w:p>
        </w:tc>
        <w:tc>
          <w:tcPr/>
          <w:p>
            <w:pPr>
              <w:pStyle w:val="Compact"/>
              <w:jc w:val="right"/>
            </w:pPr>
            <w:r>
              <w:t xml:space="preserve">0.646</w:t>
            </w:r>
          </w:p>
        </w:tc>
        <w:tc>
          <w:tcPr/>
          <w:p>
            <w:pPr>
              <w:pStyle w:val="Compact"/>
              <w:jc w:val="right"/>
            </w:pPr>
            <w:r>
              <w:t xml:space="preserve">310</w:t>
            </w:r>
          </w:p>
        </w:tc>
      </w:tr>
      <w:tr>
        <w:tc>
          <w:tcPr/>
          <w:p>
            <w:pPr>
              <w:pStyle w:val="Compact"/>
              <w:jc w:val="right"/>
            </w:pPr>
            <w:r>
              <w:t xml:space="preserve">356</w:t>
            </w:r>
          </w:p>
        </w:tc>
        <w:tc>
          <w:tcPr/>
          <w:p>
            <w:pPr>
              <w:pStyle w:val="Compact"/>
              <w:jc w:val="right"/>
            </w:pPr>
            <w:r>
              <w:t xml:space="preserve">0.999994</w:t>
            </w:r>
          </w:p>
        </w:tc>
        <w:tc>
          <w:tcPr/>
          <w:p>
            <w:pPr>
              <w:pStyle w:val="Compact"/>
              <w:jc w:val="right"/>
            </w:pPr>
            <w:r>
              <w:t xml:space="preserve">0.116</w:t>
            </w:r>
          </w:p>
        </w:tc>
        <w:tc>
          <w:tcPr/>
          <w:p>
            <w:pPr>
              <w:pStyle w:val="Compact"/>
              <w:jc w:val="right"/>
            </w:pPr>
            <w:r>
              <w:t xml:space="preserve">60</w:t>
            </w:r>
          </w:p>
        </w:tc>
      </w:tr>
      <w:tr>
        <w:tc>
          <w:tcPr/>
          <w:p>
            <w:pPr>
              <w:pStyle w:val="Compact"/>
              <w:jc w:val="right"/>
            </w:pPr>
            <w:r>
              <w:t xml:space="preserve">511</w:t>
            </w:r>
          </w:p>
        </w:tc>
        <w:tc>
          <w:tcPr/>
          <w:p>
            <w:pPr>
              <w:pStyle w:val="Compact"/>
              <w:jc w:val="right"/>
            </w:pPr>
            <w:r>
              <w:t xml:space="preserve">0.999995</w:t>
            </w:r>
          </w:p>
        </w:tc>
        <w:tc>
          <w:tcPr/>
          <w:p>
            <w:pPr>
              <w:pStyle w:val="Compact"/>
              <w:jc w:val="right"/>
            </w:pPr>
            <w:r>
              <w:t xml:space="preserve">0.106</w:t>
            </w:r>
          </w:p>
        </w:tc>
        <w:tc>
          <w:tcPr/>
          <w:p>
            <w:pPr>
              <w:pStyle w:val="Compact"/>
              <w:jc w:val="right"/>
            </w:pPr>
            <w:r>
              <w:t xml:space="preserve">50</w:t>
            </w:r>
          </w:p>
        </w:tc>
      </w:tr>
      <w:tr>
        <w:tc>
          <w:tcPr/>
          <w:p>
            <w:pPr>
              <w:pStyle w:val="Compact"/>
              <w:jc w:val="right"/>
            </w:pPr>
            <w:r>
              <w:t xml:space="preserve">662</w:t>
            </w:r>
          </w:p>
        </w:tc>
        <w:tc>
          <w:tcPr/>
          <w:p>
            <w:pPr>
              <w:pStyle w:val="Compact"/>
              <w:jc w:val="right"/>
            </w:pPr>
            <w:r>
              <w:t xml:space="preserve">0.999996</w:t>
            </w:r>
          </w:p>
        </w:tc>
        <w:tc>
          <w:tcPr/>
          <w:p>
            <w:pPr>
              <w:pStyle w:val="Compact"/>
              <w:jc w:val="right"/>
            </w:pPr>
            <w:r>
              <w:t xml:space="preserve">0.073</w:t>
            </w:r>
          </w:p>
        </w:tc>
        <w:tc>
          <w:tcPr/>
          <w:p>
            <w:pPr>
              <w:pStyle w:val="Compact"/>
              <w:jc w:val="right"/>
            </w:pPr>
            <w:r>
              <w:t xml:space="preserve">40</w:t>
            </w:r>
          </w:p>
        </w:tc>
      </w:tr>
      <w:tr>
        <w:tc>
          <w:tcPr/>
          <w:p>
            <w:pPr>
              <w:pStyle w:val="Compact"/>
              <w:jc w:val="right"/>
            </w:pPr>
            <w:r>
              <w:t xml:space="preserve">1173</w:t>
            </w:r>
          </w:p>
        </w:tc>
        <w:tc>
          <w:tcPr/>
          <w:p>
            <w:pPr>
              <w:pStyle w:val="Compact"/>
              <w:jc w:val="right"/>
            </w:pPr>
            <w:r>
              <w:t xml:space="preserve">0.999997</w:t>
            </w:r>
          </w:p>
        </w:tc>
        <w:tc>
          <w:tcPr/>
          <w:p>
            <w:pPr>
              <w:pStyle w:val="Compact"/>
              <w:jc w:val="right"/>
            </w:pPr>
            <w:r>
              <w:t xml:space="preserve">0.054</w:t>
            </w:r>
          </w:p>
        </w:tc>
        <w:tc>
          <w:tcPr/>
          <w:p>
            <w:pPr>
              <w:pStyle w:val="Compact"/>
              <w:jc w:val="right"/>
            </w:pPr>
            <w:r>
              <w:t xml:space="preserve">30</w:t>
            </w:r>
          </w:p>
        </w:tc>
      </w:tr>
      <w:tr>
        <w:tc>
          <w:tcPr/>
          <w:p>
            <w:pPr>
              <w:pStyle w:val="Compact"/>
              <w:jc w:val="right"/>
            </w:pPr>
            <w:r>
              <w:t xml:space="preserve">1332</w:t>
            </w:r>
          </w:p>
        </w:tc>
        <w:tc>
          <w:tcPr/>
          <w:p>
            <w:pPr>
              <w:pStyle w:val="Compact"/>
              <w:jc w:val="right"/>
            </w:pPr>
            <w:r>
              <w:t xml:space="preserve">0.999997</w:t>
            </w:r>
          </w:p>
        </w:tc>
        <w:tc>
          <w:tcPr/>
          <w:p>
            <w:pPr>
              <w:pStyle w:val="Compact"/>
              <w:jc w:val="right"/>
            </w:pPr>
            <w:r>
              <w:t xml:space="preserve">0.052</w:t>
            </w:r>
          </w:p>
        </w:tc>
        <w:tc>
          <w:tcPr/>
          <w:p>
            <w:pPr>
              <w:pStyle w:val="Compact"/>
              <w:jc w:val="right"/>
            </w:pPr>
            <w:r>
              <w:t xml:space="preserve">30</w:t>
            </w:r>
          </w:p>
        </w:tc>
      </w:tr>
    </w:tbl>
    <w:bookmarkEnd w:id="77"/>
    <w:bookmarkStart w:id="78" w:name="c.4-hdpebi₂o₃wo₃-ternary"/>
    <w:p>
      <w:pPr>
        <w:pStyle w:val="Heading3"/>
      </w:pPr>
      <w:r>
        <w:t xml:space="preserve">C.4 HDPE/Bi₂O₃/WO₃ ternary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0.999368</w:t>
            </w:r>
          </w:p>
        </w:tc>
        <w:tc>
          <w:tcPr/>
          <w:p>
            <w:pPr>
              <w:pStyle w:val="Compact"/>
              <w:jc w:val="right"/>
            </w:pPr>
            <w:r>
              <w:t xml:space="preserve">10.695</w:t>
            </w:r>
          </w:p>
        </w:tc>
        <w:tc>
          <w:tcPr/>
          <w:p>
            <w:pPr>
              <w:pStyle w:val="Compact"/>
              <w:jc w:val="right"/>
            </w:pPr>
            <w:r>
              <w:t xml:space="preserve">6,320</w:t>
            </w:r>
          </w:p>
        </w:tc>
      </w:tr>
      <w:tr>
        <w:tc>
          <w:tcPr/>
          <w:p>
            <w:pPr>
              <w:pStyle w:val="Compact"/>
              <w:jc w:val="right"/>
            </w:pPr>
            <w:r>
              <w:t xml:space="preserve">50</w:t>
            </w:r>
          </w:p>
        </w:tc>
        <w:tc>
          <w:tcPr/>
          <w:p>
            <w:pPr>
              <w:pStyle w:val="Compact"/>
              <w:jc w:val="right"/>
            </w:pPr>
            <w:r>
              <w:t xml:space="preserve">0.999826</w:t>
            </w:r>
          </w:p>
        </w:tc>
        <w:tc>
          <w:tcPr/>
          <w:p>
            <w:pPr>
              <w:pStyle w:val="Compact"/>
              <w:jc w:val="right"/>
            </w:pPr>
            <w:r>
              <w:t xml:space="preserve">2.939</w:t>
            </w:r>
          </w:p>
        </w:tc>
        <w:tc>
          <w:tcPr/>
          <w:p>
            <w:pPr>
              <w:pStyle w:val="Compact"/>
              <w:jc w:val="right"/>
            </w:pPr>
            <w:r>
              <w:t xml:space="preserve">1,740</w:t>
            </w:r>
          </w:p>
        </w:tc>
      </w:tr>
      <w:tr>
        <w:tc>
          <w:tcPr/>
          <w:p>
            <w:pPr>
              <w:pStyle w:val="Compact"/>
              <w:jc w:val="right"/>
            </w:pPr>
            <w:r>
              <w:t xml:space="preserve">80</w:t>
            </w:r>
          </w:p>
        </w:tc>
        <w:tc>
          <w:tcPr/>
          <w:p>
            <w:pPr>
              <w:pStyle w:val="Compact"/>
              <w:jc w:val="right"/>
            </w:pPr>
            <w:r>
              <w:t xml:space="preserve">0.999946</w:t>
            </w:r>
          </w:p>
        </w:tc>
        <w:tc>
          <w:tcPr/>
          <w:p>
            <w:pPr>
              <w:pStyle w:val="Compact"/>
              <w:jc w:val="right"/>
            </w:pPr>
            <w:r>
              <w:t xml:space="preserve">0.920</w:t>
            </w:r>
          </w:p>
        </w:tc>
        <w:tc>
          <w:tcPr/>
          <w:p>
            <w:pPr>
              <w:pStyle w:val="Compact"/>
              <w:jc w:val="right"/>
            </w:pPr>
            <w:r>
              <w:t xml:space="preserve">540</w:t>
            </w:r>
          </w:p>
        </w:tc>
      </w:tr>
      <w:tr>
        <w:tc>
          <w:tcPr/>
          <w:p>
            <w:pPr>
              <w:pStyle w:val="Compact"/>
              <w:jc w:val="right"/>
            </w:pPr>
            <w:r>
              <w:t xml:space="preserve">100</w:t>
            </w:r>
          </w:p>
        </w:tc>
        <w:tc>
          <w:tcPr/>
          <w:p>
            <w:pPr>
              <w:pStyle w:val="Compact"/>
              <w:jc w:val="right"/>
            </w:pPr>
            <w:r>
              <w:t xml:space="preserve">0.999885</w:t>
            </w:r>
          </w:p>
        </w:tc>
        <w:tc>
          <w:tcPr/>
          <w:p>
            <w:pPr>
              <w:pStyle w:val="Compact"/>
              <w:jc w:val="right"/>
            </w:pPr>
            <w:r>
              <w:t xml:space="preserve">1.938</w:t>
            </w:r>
          </w:p>
        </w:tc>
        <w:tc>
          <w:tcPr/>
          <w:p>
            <w:pPr>
              <w:pStyle w:val="Compact"/>
              <w:jc w:val="right"/>
            </w:pPr>
            <w:r>
              <w:t xml:space="preserve">1,150</w:t>
            </w:r>
          </w:p>
        </w:tc>
      </w:tr>
      <w:tr>
        <w:tc>
          <w:tcPr/>
          <w:p>
            <w:pPr>
              <w:pStyle w:val="Compact"/>
              <w:jc w:val="right"/>
            </w:pPr>
            <w:r>
              <w:t xml:space="preserve">150</w:t>
            </w:r>
          </w:p>
        </w:tc>
        <w:tc>
          <w:tcPr/>
          <w:p>
            <w:pPr>
              <w:pStyle w:val="Compact"/>
              <w:jc w:val="right"/>
            </w:pPr>
            <w:r>
              <w:t xml:space="preserve">0.999956</w:t>
            </w:r>
          </w:p>
        </w:tc>
        <w:tc>
          <w:tcPr/>
          <w:p>
            <w:pPr>
              <w:pStyle w:val="Compact"/>
              <w:jc w:val="right"/>
            </w:pPr>
            <w:r>
              <w:t xml:space="preserve">0.751</w:t>
            </w:r>
          </w:p>
        </w:tc>
        <w:tc>
          <w:tcPr/>
          <w:p>
            <w:pPr>
              <w:pStyle w:val="Compact"/>
              <w:jc w:val="right"/>
            </w:pPr>
            <w:r>
              <w:t xml:space="preserve">440</w:t>
            </w:r>
          </w:p>
        </w:tc>
      </w:tr>
      <w:tr>
        <w:tc>
          <w:tcPr/>
          <w:p>
            <w:pPr>
              <w:pStyle w:val="Compact"/>
              <w:jc w:val="right"/>
            </w:pPr>
            <w:r>
              <w:t xml:space="preserve">356</w:t>
            </w:r>
          </w:p>
        </w:tc>
        <w:tc>
          <w:tcPr/>
          <w:p>
            <w:pPr>
              <w:pStyle w:val="Compact"/>
              <w:jc w:val="right"/>
            </w:pPr>
            <w:r>
              <w:t xml:space="preserve">0.999992</w:t>
            </w:r>
          </w:p>
        </w:tc>
        <w:tc>
          <w:tcPr/>
          <w:p>
            <w:pPr>
              <w:pStyle w:val="Compact"/>
              <w:jc w:val="right"/>
            </w:pPr>
            <w:r>
              <w:t xml:space="preserve">0.140</w:t>
            </w:r>
          </w:p>
        </w:tc>
        <w:tc>
          <w:tcPr/>
          <w:p>
            <w:pPr>
              <w:pStyle w:val="Compact"/>
              <w:jc w:val="right"/>
            </w:pPr>
            <w:r>
              <w:t xml:space="preserve">80</w:t>
            </w:r>
          </w:p>
        </w:tc>
      </w:tr>
      <w:tr>
        <w:tc>
          <w:tcPr/>
          <w:p>
            <w:pPr>
              <w:pStyle w:val="Compact"/>
              <w:jc w:val="right"/>
            </w:pPr>
            <w:r>
              <w:t xml:space="preserve">511</w:t>
            </w:r>
          </w:p>
        </w:tc>
        <w:tc>
          <w:tcPr/>
          <w:p>
            <w:pPr>
              <w:pStyle w:val="Compact"/>
              <w:jc w:val="right"/>
            </w:pPr>
            <w:r>
              <w:t xml:space="preserve">0.999995</w:t>
            </w:r>
          </w:p>
        </w:tc>
        <w:tc>
          <w:tcPr/>
          <w:p>
            <w:pPr>
              <w:pStyle w:val="Compact"/>
              <w:jc w:val="right"/>
            </w:pPr>
            <w:r>
              <w:t xml:space="preserve">0.086</w:t>
            </w:r>
          </w:p>
        </w:tc>
        <w:tc>
          <w:tcPr/>
          <w:p>
            <w:pPr>
              <w:pStyle w:val="Compact"/>
              <w:jc w:val="right"/>
            </w:pPr>
            <w:r>
              <w:t xml:space="preserve">50</w:t>
            </w:r>
          </w:p>
        </w:tc>
      </w:tr>
      <w:tr>
        <w:tc>
          <w:tcPr/>
          <w:p>
            <w:pPr>
              <w:pStyle w:val="Compact"/>
              <w:jc w:val="right"/>
            </w:pPr>
            <w:r>
              <w:t xml:space="preserve">662</w:t>
            </w:r>
          </w:p>
        </w:tc>
        <w:tc>
          <w:tcPr/>
          <w:p>
            <w:pPr>
              <w:pStyle w:val="Compact"/>
              <w:jc w:val="right"/>
            </w:pPr>
            <w:r>
              <w:t xml:space="preserve">0.999994</w:t>
            </w:r>
          </w:p>
        </w:tc>
        <w:tc>
          <w:tcPr/>
          <w:p>
            <w:pPr>
              <w:pStyle w:val="Compact"/>
              <w:jc w:val="right"/>
            </w:pPr>
            <w:r>
              <w:t xml:space="preserve">0.095</w:t>
            </w:r>
          </w:p>
        </w:tc>
        <w:tc>
          <w:tcPr/>
          <w:p>
            <w:pPr>
              <w:pStyle w:val="Compact"/>
              <w:jc w:val="right"/>
            </w:pPr>
            <w:r>
              <w:t xml:space="preserve">60</w:t>
            </w:r>
          </w:p>
        </w:tc>
      </w:tr>
      <w:tr>
        <w:tc>
          <w:tcPr/>
          <w:p>
            <w:pPr>
              <w:pStyle w:val="Compact"/>
              <w:jc w:val="right"/>
            </w:pPr>
            <w:r>
              <w:t xml:space="preserve">1173</w:t>
            </w:r>
          </w:p>
        </w:tc>
        <w:tc>
          <w:tcPr/>
          <w:p>
            <w:pPr>
              <w:pStyle w:val="Compact"/>
              <w:jc w:val="right"/>
            </w:pPr>
            <w:r>
              <w:t xml:space="preserve">0.999998</w:t>
            </w:r>
          </w:p>
        </w:tc>
        <w:tc>
          <w:tcPr/>
          <w:p>
            <w:pPr>
              <w:pStyle w:val="Compact"/>
              <w:jc w:val="right"/>
            </w:pPr>
            <w:r>
              <w:t xml:space="preserve">0.039</w:t>
            </w:r>
          </w:p>
        </w:tc>
        <w:tc>
          <w:tcPr/>
          <w:p>
            <w:pPr>
              <w:pStyle w:val="Compact"/>
              <w:jc w:val="right"/>
            </w:pPr>
            <w:r>
              <w:t xml:space="preserve">20</w:t>
            </w:r>
          </w:p>
        </w:tc>
      </w:tr>
      <w:tr>
        <w:tc>
          <w:tcPr/>
          <w:p>
            <w:pPr>
              <w:pStyle w:val="Compact"/>
              <w:jc w:val="right"/>
            </w:pPr>
            <w:r>
              <w:t xml:space="preserve">1332</w:t>
            </w:r>
          </w:p>
        </w:tc>
        <w:tc>
          <w:tcPr/>
          <w:p>
            <w:pPr>
              <w:pStyle w:val="Compact"/>
              <w:jc w:val="right"/>
            </w:pPr>
            <w:r>
              <w:t xml:space="preserve">0.999997</w:t>
            </w:r>
          </w:p>
        </w:tc>
        <w:tc>
          <w:tcPr/>
          <w:p>
            <w:pPr>
              <w:pStyle w:val="Compact"/>
              <w:jc w:val="right"/>
            </w:pPr>
            <w:r>
              <w:t xml:space="preserve">0.049</w:t>
            </w:r>
          </w:p>
        </w:tc>
        <w:tc>
          <w:tcPr/>
          <w:p>
            <w:pPr>
              <w:pStyle w:val="Compact"/>
              <w:jc w:val="right"/>
            </w:pPr>
            <w:r>
              <w:t xml:space="preserve">30</w:t>
            </w:r>
          </w:p>
        </w:tc>
      </w:tr>
    </w:tbl>
    <w:bookmarkEnd w:id="78"/>
    <w:bookmarkStart w:id="79" w:name="c.5-hdpegd₂o₃"/>
    <w:p>
      <w:pPr>
        <w:pStyle w:val="Heading3"/>
      </w:pPr>
      <w:r>
        <w:t xml:space="preserve">C.5 HDPE/Gd₂O₃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0.999569</w:t>
            </w:r>
          </w:p>
        </w:tc>
        <w:tc>
          <w:tcPr/>
          <w:p>
            <w:pPr>
              <w:pStyle w:val="Compact"/>
              <w:jc w:val="right"/>
            </w:pPr>
            <w:r>
              <w:t xml:space="preserve">8.192</w:t>
            </w:r>
          </w:p>
        </w:tc>
        <w:tc>
          <w:tcPr/>
          <w:p>
            <w:pPr>
              <w:pStyle w:val="Compact"/>
              <w:jc w:val="right"/>
            </w:pPr>
            <w:r>
              <w:t xml:space="preserve">4,310</w:t>
            </w:r>
          </w:p>
        </w:tc>
      </w:tr>
      <w:tr>
        <w:tc>
          <w:tcPr/>
          <w:p>
            <w:pPr>
              <w:pStyle w:val="Compact"/>
              <w:jc w:val="right"/>
            </w:pPr>
            <w:r>
              <w:t xml:space="preserve">50</w:t>
            </w:r>
          </w:p>
        </w:tc>
        <w:tc>
          <w:tcPr/>
          <w:p>
            <w:pPr>
              <w:pStyle w:val="Compact"/>
              <w:jc w:val="right"/>
            </w:pPr>
            <w:r>
              <w:t xml:space="preserve">0.999890</w:t>
            </w:r>
          </w:p>
        </w:tc>
        <w:tc>
          <w:tcPr/>
          <w:p>
            <w:pPr>
              <w:pStyle w:val="Compact"/>
              <w:jc w:val="right"/>
            </w:pPr>
            <w:r>
              <w:t xml:space="preserve">2.086</w:t>
            </w:r>
          </w:p>
        </w:tc>
        <w:tc>
          <w:tcPr/>
          <w:p>
            <w:pPr>
              <w:pStyle w:val="Compact"/>
              <w:jc w:val="right"/>
            </w:pPr>
            <w:r>
              <w:t xml:space="preserve">1,100</w:t>
            </w:r>
          </w:p>
        </w:tc>
      </w:tr>
      <w:tr>
        <w:tc>
          <w:tcPr/>
          <w:p>
            <w:pPr>
              <w:pStyle w:val="Compact"/>
              <w:jc w:val="right"/>
            </w:pPr>
            <w:r>
              <w:t xml:space="preserve">80</w:t>
            </w:r>
          </w:p>
        </w:tc>
        <w:tc>
          <w:tcPr/>
          <w:p>
            <w:pPr>
              <w:pStyle w:val="Compact"/>
              <w:jc w:val="right"/>
            </w:pPr>
            <w:r>
              <w:t xml:space="preserve">0.999833</w:t>
            </w:r>
          </w:p>
        </w:tc>
        <w:tc>
          <w:tcPr/>
          <w:p>
            <w:pPr>
              <w:pStyle w:val="Compact"/>
              <w:jc w:val="right"/>
            </w:pPr>
            <w:r>
              <w:t xml:space="preserve">3.165</w:t>
            </w:r>
          </w:p>
        </w:tc>
        <w:tc>
          <w:tcPr/>
          <w:p>
            <w:pPr>
              <w:pStyle w:val="Compact"/>
              <w:jc w:val="right"/>
            </w:pPr>
            <w:r>
              <w:t xml:space="preserve">1,670</w:t>
            </w:r>
          </w:p>
        </w:tc>
      </w:tr>
      <w:tr>
        <w:tc>
          <w:tcPr/>
          <w:p>
            <w:pPr>
              <w:pStyle w:val="Compact"/>
              <w:jc w:val="right"/>
            </w:pPr>
            <w:r>
              <w:t xml:space="preserve">100</w:t>
            </w:r>
          </w:p>
        </w:tc>
        <w:tc>
          <w:tcPr/>
          <w:p>
            <w:pPr>
              <w:pStyle w:val="Compact"/>
              <w:jc w:val="right"/>
            </w:pPr>
            <w:r>
              <w:t xml:space="preserve">0.999900</w:t>
            </w:r>
          </w:p>
        </w:tc>
        <w:tc>
          <w:tcPr/>
          <w:p>
            <w:pPr>
              <w:pStyle w:val="Compact"/>
              <w:jc w:val="right"/>
            </w:pPr>
            <w:r>
              <w:t xml:space="preserve">1.897</w:t>
            </w:r>
          </w:p>
        </w:tc>
        <w:tc>
          <w:tcPr/>
          <w:p>
            <w:pPr>
              <w:pStyle w:val="Compact"/>
              <w:jc w:val="right"/>
            </w:pPr>
            <w:r>
              <w:t xml:space="preserve">1,000</w:t>
            </w:r>
          </w:p>
        </w:tc>
      </w:tr>
      <w:tr>
        <w:tc>
          <w:tcPr/>
          <w:p>
            <w:pPr>
              <w:pStyle w:val="Compact"/>
              <w:jc w:val="right"/>
            </w:pPr>
            <w:r>
              <w:t xml:space="preserve">150</w:t>
            </w:r>
          </w:p>
        </w:tc>
        <w:tc>
          <w:tcPr/>
          <w:p>
            <w:pPr>
              <w:pStyle w:val="Compact"/>
              <w:jc w:val="right"/>
            </w:pPr>
            <w:r>
              <w:t xml:space="preserve">0.999965</w:t>
            </w:r>
          </w:p>
        </w:tc>
        <w:tc>
          <w:tcPr/>
          <w:p>
            <w:pPr>
              <w:pStyle w:val="Compact"/>
              <w:jc w:val="right"/>
            </w:pPr>
            <w:r>
              <w:t xml:space="preserve">0.657</w:t>
            </w:r>
          </w:p>
        </w:tc>
        <w:tc>
          <w:tcPr/>
          <w:p>
            <w:pPr>
              <w:pStyle w:val="Compact"/>
              <w:jc w:val="right"/>
            </w:pPr>
            <w:r>
              <w:t xml:space="preserve">350</w:t>
            </w:r>
          </w:p>
        </w:tc>
      </w:tr>
      <w:tr>
        <w:tc>
          <w:tcPr/>
          <w:p>
            <w:pPr>
              <w:pStyle w:val="Compact"/>
              <w:jc w:val="right"/>
            </w:pPr>
            <w:r>
              <w:t xml:space="preserve">356</w:t>
            </w:r>
          </w:p>
        </w:tc>
        <w:tc>
          <w:tcPr/>
          <w:p>
            <w:pPr>
              <w:pStyle w:val="Compact"/>
              <w:jc w:val="right"/>
            </w:pPr>
            <w:r>
              <w:t xml:space="preserve">0.999993</w:t>
            </w:r>
          </w:p>
        </w:tc>
        <w:tc>
          <w:tcPr/>
          <w:p>
            <w:pPr>
              <w:pStyle w:val="Compact"/>
              <w:jc w:val="right"/>
            </w:pPr>
            <w:r>
              <w:t xml:space="preserve">0.140</w:t>
            </w:r>
          </w:p>
        </w:tc>
        <w:tc>
          <w:tcPr/>
          <w:p>
            <w:pPr>
              <w:pStyle w:val="Compact"/>
              <w:jc w:val="right"/>
            </w:pPr>
            <w:r>
              <w:t xml:space="preserve">70</w:t>
            </w:r>
          </w:p>
        </w:tc>
      </w:tr>
      <w:tr>
        <w:tc>
          <w:tcPr/>
          <w:p>
            <w:pPr>
              <w:pStyle w:val="Compact"/>
              <w:jc w:val="right"/>
            </w:pPr>
            <w:r>
              <w:t xml:space="preserve">511</w:t>
            </w:r>
          </w:p>
        </w:tc>
        <w:tc>
          <w:tcPr/>
          <w:p>
            <w:pPr>
              <w:pStyle w:val="Compact"/>
              <w:jc w:val="right"/>
            </w:pPr>
            <w:r>
              <w:t xml:space="preserve">0.999994</w:t>
            </w:r>
          </w:p>
        </w:tc>
        <w:tc>
          <w:tcPr/>
          <w:p>
            <w:pPr>
              <w:pStyle w:val="Compact"/>
              <w:jc w:val="right"/>
            </w:pPr>
            <w:r>
              <w:t xml:space="preserve">0.122</w:t>
            </w:r>
          </w:p>
        </w:tc>
        <w:tc>
          <w:tcPr/>
          <w:p>
            <w:pPr>
              <w:pStyle w:val="Compact"/>
              <w:jc w:val="right"/>
            </w:pPr>
            <w:r>
              <w:t xml:space="preserve">60</w:t>
            </w:r>
          </w:p>
        </w:tc>
      </w:tr>
      <w:tr>
        <w:tc>
          <w:tcPr/>
          <w:p>
            <w:pPr>
              <w:pStyle w:val="Compact"/>
              <w:jc w:val="right"/>
            </w:pPr>
            <w:r>
              <w:t xml:space="preserve">662</w:t>
            </w:r>
          </w:p>
        </w:tc>
        <w:tc>
          <w:tcPr/>
          <w:p>
            <w:pPr>
              <w:pStyle w:val="Compact"/>
              <w:jc w:val="right"/>
            </w:pPr>
            <w:r>
              <w:t xml:space="preserve">0.999996</w:t>
            </w:r>
          </w:p>
        </w:tc>
        <w:tc>
          <w:tcPr/>
          <w:p>
            <w:pPr>
              <w:pStyle w:val="Compact"/>
              <w:jc w:val="right"/>
            </w:pPr>
            <w:r>
              <w:t xml:space="preserve">0.076</w:t>
            </w:r>
          </w:p>
        </w:tc>
        <w:tc>
          <w:tcPr/>
          <w:p>
            <w:pPr>
              <w:pStyle w:val="Compact"/>
              <w:jc w:val="right"/>
            </w:pPr>
            <w:r>
              <w:t xml:space="preserve">40</w:t>
            </w:r>
          </w:p>
        </w:tc>
      </w:tr>
      <w:tr>
        <w:tc>
          <w:tcPr/>
          <w:p>
            <w:pPr>
              <w:pStyle w:val="Compact"/>
              <w:jc w:val="right"/>
            </w:pPr>
            <w:r>
              <w:t xml:space="preserve">1173</w:t>
            </w:r>
          </w:p>
        </w:tc>
        <w:tc>
          <w:tcPr/>
          <w:p>
            <w:pPr>
              <w:pStyle w:val="Compact"/>
              <w:jc w:val="right"/>
            </w:pPr>
            <w:r>
              <w:t xml:space="preserve">0.999997</w:t>
            </w:r>
          </w:p>
        </w:tc>
        <w:tc>
          <w:tcPr/>
          <w:p>
            <w:pPr>
              <w:pStyle w:val="Compact"/>
              <w:jc w:val="right"/>
            </w:pPr>
            <w:r>
              <w:t xml:space="preserve">0.057</w:t>
            </w:r>
          </w:p>
        </w:tc>
        <w:tc>
          <w:tcPr/>
          <w:p>
            <w:pPr>
              <w:pStyle w:val="Compact"/>
              <w:jc w:val="right"/>
            </w:pPr>
            <w:r>
              <w:t xml:space="preserve">30</w:t>
            </w:r>
          </w:p>
        </w:tc>
      </w:tr>
      <w:tr>
        <w:tc>
          <w:tcPr/>
          <w:p>
            <w:pPr>
              <w:pStyle w:val="Compact"/>
              <w:jc w:val="right"/>
            </w:pPr>
            <w:r>
              <w:t xml:space="preserve">1332</w:t>
            </w:r>
          </w:p>
        </w:tc>
        <w:tc>
          <w:tcPr/>
          <w:p>
            <w:pPr>
              <w:pStyle w:val="Compact"/>
              <w:jc w:val="right"/>
            </w:pPr>
            <w:r>
              <w:t xml:space="preserve">0.999997</w:t>
            </w:r>
          </w:p>
        </w:tc>
        <w:tc>
          <w:tcPr/>
          <w:p>
            <w:pPr>
              <w:pStyle w:val="Compact"/>
              <w:jc w:val="right"/>
            </w:pPr>
            <w:r>
              <w:t xml:space="preserve">0.047</w:t>
            </w:r>
          </w:p>
        </w:tc>
        <w:tc>
          <w:tcPr/>
          <w:p>
            <w:pPr>
              <w:pStyle w:val="Compact"/>
              <w:jc w:val="right"/>
            </w:pPr>
            <w:r>
              <w:t xml:space="preserve">30</w:t>
            </w:r>
          </w:p>
        </w:tc>
      </w:tr>
    </w:tbl>
    <w:bookmarkEnd w:id="79"/>
    <w:bookmarkStart w:id="80" w:name="c.6-hdpepbwo₄"/>
    <w:p>
      <w:pPr>
        <w:pStyle w:val="Heading3"/>
      </w:pPr>
      <w:r>
        <w:t xml:space="preserve">C.6 HDPE/PbWO₄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 (keV)</w:t>
            </w:r>
          </w:p>
        </w:tc>
        <w:tc>
          <w:tcPr/>
          <w:p>
            <w:pPr>
              <w:pStyle w:val="Compact"/>
              <w:jc w:val="right"/>
            </w:pPr>
            <w:r>
              <w:t xml:space="preserve">T</w:t>
            </w:r>
          </w:p>
        </w:tc>
        <w:tc>
          <w:tcPr/>
          <w:p>
            <w:pPr>
              <w:pStyle w:val="Compact"/>
              <w:jc w:val="right"/>
            </w:pPr>
            <m:oMath>
              <m:r>
                <m:rPr>
                  <m:sty m:val="p"/>
                </m:rPr>
                <m:t>(</m:t>
              </m:r>
              <m:r>
                <m:t>μ</m:t>
              </m:r>
              <m:r>
                <m:rPr>
                  <m:sty m:val="p"/>
                </m:rPr>
                <m:t>/</m:t>
              </m:r>
              <m:r>
                <m:t>ρ</m:t>
              </m:r>
              <m:sSub>
                <m:e>
                  <m:r>
                    <m:rPr>
                      <m:sty m:val="p"/>
                    </m:rPr>
                    <m:t>)</m:t>
                  </m:r>
                </m:e>
                <m:sub>
                  <m:r>
                    <m:rPr>
                      <m:nor/>
                      <m:sty m:val="p"/>
                    </m:rPr>
                    <m:t>sim</m:t>
                  </m:r>
                </m:sub>
              </m:sSub>
            </m:oMath>
          </w:p>
        </w:tc>
        <w:tc>
          <w:tcPr/>
          <w:p>
            <w:pPr>
              <w:pStyle w:val="Compact"/>
              <w:jc w:val="right"/>
            </w:pPr>
            <m:oMath>
              <m:sSub>
                <m:e>
                  <m:r>
                    <m:t>N</m:t>
                  </m:r>
                </m:e>
                <m:sub>
                  <m:r>
                    <m:rPr>
                      <m:nor/>
                      <m:sty m:val="p"/>
                    </m:rPr>
                    <m:t>att</m:t>
                  </m:r>
                </m:sub>
              </m:sSub>
            </m:oMath>
          </w:p>
        </w:tc>
      </w:tr>
      <w:tr>
        <w:tc>
          <w:tcPr/>
          <w:p>
            <w:pPr>
              <w:pStyle w:val="Compact"/>
              <w:jc w:val="right"/>
            </w:pPr>
            <w:r>
              <w:t xml:space="preserve">30</w:t>
            </w:r>
          </w:p>
        </w:tc>
        <w:tc>
          <w:tcPr/>
          <w:p>
            <w:pPr>
              <w:pStyle w:val="Compact"/>
              <w:jc w:val="right"/>
            </w:pPr>
            <w:r>
              <w:t xml:space="preserve">0.999078</w:t>
            </w:r>
          </w:p>
        </w:tc>
        <w:tc>
          <w:tcPr/>
          <w:p>
            <w:pPr>
              <w:pStyle w:val="Compact"/>
              <w:jc w:val="right"/>
            </w:pPr>
            <w:r>
              <w:t xml:space="preserve">15.570</w:t>
            </w:r>
          </w:p>
        </w:tc>
        <w:tc>
          <w:tcPr/>
          <w:p>
            <w:pPr>
              <w:pStyle w:val="Compact"/>
              <w:jc w:val="right"/>
            </w:pPr>
            <w:r>
              <w:t xml:space="preserve">9,220</w:t>
            </w:r>
          </w:p>
        </w:tc>
      </w:tr>
      <w:tr>
        <w:tc>
          <w:tcPr/>
          <w:p>
            <w:pPr>
              <w:pStyle w:val="Compact"/>
              <w:jc w:val="right"/>
            </w:pPr>
            <w:r>
              <w:t xml:space="preserve">50</w:t>
            </w:r>
          </w:p>
        </w:tc>
        <w:tc>
          <w:tcPr/>
          <w:p>
            <w:pPr>
              <w:pStyle w:val="Compact"/>
              <w:jc w:val="right"/>
            </w:pPr>
            <w:r>
              <w:t xml:space="preserve">0.999750</w:t>
            </w:r>
          </w:p>
        </w:tc>
        <w:tc>
          <w:tcPr/>
          <w:p>
            <w:pPr>
              <w:pStyle w:val="Compact"/>
              <w:jc w:val="right"/>
            </w:pPr>
            <w:r>
              <w:t xml:space="preserve">4.217</w:t>
            </w:r>
          </w:p>
        </w:tc>
        <w:tc>
          <w:tcPr/>
          <w:p>
            <w:pPr>
              <w:pStyle w:val="Compact"/>
              <w:jc w:val="right"/>
            </w:pPr>
            <w:r>
              <w:t xml:space="preserve">2,500</w:t>
            </w:r>
          </w:p>
        </w:tc>
      </w:tr>
      <w:tr>
        <w:tc>
          <w:tcPr/>
          <w:p>
            <w:pPr>
              <w:pStyle w:val="Compact"/>
              <w:jc w:val="right"/>
            </w:pPr>
            <w:r>
              <w:t xml:space="preserve">80</w:t>
            </w:r>
          </w:p>
        </w:tc>
        <w:tc>
          <w:tcPr/>
          <w:p>
            <w:pPr>
              <w:pStyle w:val="Compact"/>
              <w:jc w:val="right"/>
            </w:pPr>
            <w:r>
              <w:t xml:space="preserve">0.999817</w:t>
            </w:r>
          </w:p>
        </w:tc>
        <w:tc>
          <w:tcPr/>
          <w:p>
            <w:pPr>
              <w:pStyle w:val="Compact"/>
              <w:jc w:val="right"/>
            </w:pPr>
            <w:r>
              <w:t xml:space="preserve">3.090</w:t>
            </w:r>
          </w:p>
        </w:tc>
        <w:tc>
          <w:tcPr/>
          <w:p>
            <w:pPr>
              <w:pStyle w:val="Compact"/>
              <w:jc w:val="right"/>
            </w:pPr>
            <w:r>
              <w:t xml:space="preserve">1,830</w:t>
            </w:r>
          </w:p>
        </w:tc>
      </w:tr>
      <w:tr>
        <w:tc>
          <w:tcPr/>
          <w:p>
            <w:pPr>
              <w:pStyle w:val="Compact"/>
              <w:jc w:val="right"/>
            </w:pPr>
            <w:r>
              <w:t xml:space="preserve">100</w:t>
            </w:r>
          </w:p>
        </w:tc>
        <w:tc>
          <w:tcPr/>
          <w:p>
            <w:pPr>
              <w:pStyle w:val="Compact"/>
              <w:jc w:val="right"/>
            </w:pPr>
            <w:r>
              <w:t xml:space="preserve">0.999827</w:t>
            </w:r>
          </w:p>
        </w:tc>
        <w:tc>
          <w:tcPr/>
          <w:p>
            <w:pPr>
              <w:pStyle w:val="Compact"/>
              <w:jc w:val="right"/>
            </w:pPr>
            <w:r>
              <w:t xml:space="preserve">2.916</w:t>
            </w:r>
          </w:p>
        </w:tc>
        <w:tc>
          <w:tcPr/>
          <w:p>
            <w:pPr>
              <w:pStyle w:val="Compact"/>
              <w:jc w:val="right"/>
            </w:pPr>
            <w:r>
              <w:t xml:space="preserve">1,730</w:t>
            </w:r>
          </w:p>
        </w:tc>
      </w:tr>
      <w:tr>
        <w:tc>
          <w:tcPr/>
          <w:p>
            <w:pPr>
              <w:pStyle w:val="Compact"/>
              <w:jc w:val="right"/>
            </w:pPr>
            <w:r>
              <w:t xml:space="preserve">150</w:t>
            </w:r>
          </w:p>
        </w:tc>
        <w:tc>
          <w:tcPr/>
          <w:p>
            <w:pPr>
              <w:pStyle w:val="Compact"/>
              <w:jc w:val="right"/>
            </w:pPr>
            <w:r>
              <w:t xml:space="preserve">0.999935</w:t>
            </w:r>
          </w:p>
        </w:tc>
        <w:tc>
          <w:tcPr/>
          <w:p>
            <w:pPr>
              <w:pStyle w:val="Compact"/>
              <w:jc w:val="right"/>
            </w:pPr>
            <w:r>
              <w:t xml:space="preserve">1.094</w:t>
            </w:r>
          </w:p>
        </w:tc>
        <w:tc>
          <w:tcPr/>
          <w:p>
            <w:pPr>
              <w:pStyle w:val="Compact"/>
              <w:jc w:val="right"/>
            </w:pPr>
            <w:r>
              <w:t xml:space="preserve">650</w:t>
            </w:r>
          </w:p>
        </w:tc>
      </w:tr>
      <w:tr>
        <w:tc>
          <w:tcPr/>
          <w:p>
            <w:pPr>
              <w:pStyle w:val="Compact"/>
              <w:jc w:val="right"/>
            </w:pPr>
            <w:r>
              <w:t xml:space="preserve">356</w:t>
            </w:r>
          </w:p>
        </w:tc>
        <w:tc>
          <w:tcPr/>
          <w:p>
            <w:pPr>
              <w:pStyle w:val="Compact"/>
              <w:jc w:val="right"/>
            </w:pPr>
            <w:r>
              <w:t xml:space="preserve">0.999989</w:t>
            </w:r>
          </w:p>
        </w:tc>
        <w:tc>
          <w:tcPr/>
          <w:p>
            <w:pPr>
              <w:pStyle w:val="Compact"/>
              <w:jc w:val="right"/>
            </w:pPr>
            <w:r>
              <w:t xml:space="preserve">0.189</w:t>
            </w:r>
          </w:p>
        </w:tc>
        <w:tc>
          <w:tcPr/>
          <w:p>
            <w:pPr>
              <w:pStyle w:val="Compact"/>
              <w:jc w:val="right"/>
            </w:pPr>
            <w:r>
              <w:t xml:space="preserve">110</w:t>
            </w:r>
          </w:p>
        </w:tc>
      </w:tr>
      <w:tr>
        <w:tc>
          <w:tcPr/>
          <w:p>
            <w:pPr>
              <w:pStyle w:val="Compact"/>
              <w:jc w:val="right"/>
            </w:pPr>
            <w:r>
              <w:t xml:space="preserve">511</w:t>
            </w:r>
          </w:p>
        </w:tc>
        <w:tc>
          <w:tcPr/>
          <w:p>
            <w:pPr>
              <w:pStyle w:val="Compact"/>
              <w:jc w:val="right"/>
            </w:pPr>
            <w:r>
              <w:t xml:space="preserve">0.999994</w:t>
            </w:r>
          </w:p>
        </w:tc>
        <w:tc>
          <w:tcPr/>
          <w:p>
            <w:pPr>
              <w:pStyle w:val="Compact"/>
              <w:jc w:val="right"/>
            </w:pPr>
            <w:r>
              <w:t xml:space="preserve">0.103</w:t>
            </w:r>
          </w:p>
        </w:tc>
        <w:tc>
          <w:tcPr/>
          <w:p>
            <w:pPr>
              <w:pStyle w:val="Compact"/>
              <w:jc w:val="right"/>
            </w:pPr>
            <w:r>
              <w:t xml:space="preserve">60</w:t>
            </w:r>
          </w:p>
        </w:tc>
      </w:tr>
      <w:tr>
        <w:tc>
          <w:tcPr/>
          <w:p>
            <w:pPr>
              <w:pStyle w:val="Compact"/>
              <w:jc w:val="right"/>
            </w:pPr>
            <w:r>
              <w:t xml:space="preserve">662</w:t>
            </w:r>
          </w:p>
        </w:tc>
        <w:tc>
          <w:tcPr/>
          <w:p>
            <w:pPr>
              <w:pStyle w:val="Compact"/>
              <w:jc w:val="right"/>
            </w:pPr>
            <w:r>
              <w:t xml:space="preserve">0.999995</w:t>
            </w:r>
          </w:p>
        </w:tc>
        <w:tc>
          <w:tcPr/>
          <w:p>
            <w:pPr>
              <w:pStyle w:val="Compact"/>
              <w:jc w:val="right"/>
            </w:pPr>
            <w:r>
              <w:t xml:space="preserve">0.081</w:t>
            </w:r>
          </w:p>
        </w:tc>
        <w:tc>
          <w:tcPr/>
          <w:p>
            <w:pPr>
              <w:pStyle w:val="Compact"/>
              <w:jc w:val="right"/>
            </w:pPr>
            <w:r>
              <w:t xml:space="preserve">50</w:t>
            </w:r>
          </w:p>
        </w:tc>
      </w:tr>
      <w:tr>
        <w:tc>
          <w:tcPr/>
          <w:p>
            <w:pPr>
              <w:pStyle w:val="Compact"/>
              <w:jc w:val="right"/>
            </w:pPr>
            <w:r>
              <w:t xml:space="preserve">1173</w:t>
            </w:r>
          </w:p>
        </w:tc>
        <w:tc>
          <w:tcPr/>
          <w:p>
            <w:pPr>
              <w:pStyle w:val="Compact"/>
              <w:jc w:val="right"/>
            </w:pPr>
            <w:r>
              <w:t xml:space="preserve">0.999996</w:t>
            </w:r>
          </w:p>
        </w:tc>
        <w:tc>
          <w:tcPr/>
          <w:p>
            <w:pPr>
              <w:pStyle w:val="Compact"/>
              <w:jc w:val="right"/>
            </w:pPr>
            <w:r>
              <w:t xml:space="preserve">0.062</w:t>
            </w:r>
          </w:p>
        </w:tc>
        <w:tc>
          <w:tcPr/>
          <w:p>
            <w:pPr>
              <w:pStyle w:val="Compact"/>
              <w:jc w:val="right"/>
            </w:pPr>
            <w:r>
              <w:t xml:space="preserve">40</w:t>
            </w:r>
          </w:p>
        </w:tc>
      </w:tr>
      <w:tr>
        <w:tc>
          <w:tcPr/>
          <w:p>
            <w:pPr>
              <w:pStyle w:val="Compact"/>
              <w:jc w:val="right"/>
            </w:pPr>
            <w:r>
              <w:t xml:space="preserve">1332</w:t>
            </w:r>
          </w:p>
        </w:tc>
        <w:tc>
          <w:tcPr/>
          <w:p>
            <w:pPr>
              <w:pStyle w:val="Compact"/>
              <w:jc w:val="right"/>
            </w:pPr>
            <w:r>
              <w:t xml:space="preserve">0.999997</w:t>
            </w:r>
          </w:p>
        </w:tc>
        <w:tc>
          <w:tcPr/>
          <w:p>
            <w:pPr>
              <w:pStyle w:val="Compact"/>
              <w:jc w:val="right"/>
            </w:pPr>
            <w:r>
              <w:t xml:space="preserve">0.044</w:t>
            </w:r>
          </w:p>
        </w:tc>
        <w:tc>
          <w:tcPr/>
          <w:p>
            <w:pPr>
              <w:pStyle w:val="Compact"/>
              <w:jc w:val="right"/>
            </w:pPr>
            <w:r>
              <w:t xml:space="preserve">30</w:t>
            </w:r>
          </w:p>
        </w:tc>
      </w:tr>
    </w:tbl>
    <w:p>
      <w:r>
        <w:pict>
          <v:rect style="width:0;height:1.5pt" o:hralign="center" o:hrstd="t" o:hr="t"/>
        </w:pict>
      </w:r>
    </w:p>
    <w:bookmarkEnd w:id="80"/>
    <w:bookmarkEnd w:id="81"/>
    <w:bookmarkStart w:id="82" w:name="Xed36a5c8edce6f7ad656015de17f687b69e761d"/>
    <w:p>
      <w:pPr>
        <w:pStyle w:val="Heading2"/>
      </w:pPr>
      <w:r>
        <w:t xml:space="preserve">Appendix D. Study JSON and Result-Directory Provenance</w:t>
      </w:r>
    </w:p>
    <w:p>
      <w:pPr>
        <w:pStyle w:val="FirstParagraph"/>
      </w:pPr>
      <w:r>
        <w:t xml:space="preserve">The detailed provenance table uses repository-relative paths. Regime-A seeds are run seeds; Regime-B and Regime-C seeds are RVE seeds. The ternary explicit-RVE rows are marked as hybrid because they spatialise Bi₂O₃ only.</w:t>
      </w:r>
    </w:p>
    <w:p>
      <w:pPr>
        <w:pStyle w:val="BodyText"/>
      </w:pPr>
      <w:r>
        <w:rPr>
          <w:b/>
          <w:bCs/>
        </w:rPr>
        <w:t xml:space="preserve">Table D1.</w:t>
      </w:r>
      <w:r>
        <w:t xml:space="preserve"> </w:t>
      </w:r>
      <w:r>
        <w:t xml:space="preserve">Full artifact provenance for the six-material benchmark campaign.</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t xml:space="preserve">Material</w:t>
            </w:r>
          </w:p>
        </w:tc>
        <w:tc>
          <w:tcPr/>
          <w:p>
            <w:pPr>
              <w:pStyle w:val="Compact"/>
            </w:pPr>
            <w:r>
              <w:t xml:space="preserve">Regime</w:t>
            </w:r>
          </w:p>
        </w:tc>
        <w:tc>
          <w:tcPr/>
          <w:p>
            <w:pPr>
              <w:pStyle w:val="Compact"/>
            </w:pPr>
            <w:r>
              <w:t xml:space="preserve">Study JSON</w:t>
            </w:r>
          </w:p>
        </w:tc>
        <w:tc>
          <w:tcPr/>
          <w:p>
            <w:pPr>
              <w:pStyle w:val="Compact"/>
            </w:pPr>
            <w:r>
              <w:t xml:space="preserve">Result directory</w:t>
            </w:r>
          </w:p>
        </w:tc>
        <w:tc>
          <w:tcPr/>
          <w:p>
            <w:pPr>
              <w:pStyle w:val="Compact"/>
              <w:jc w:val="right"/>
            </w:pPr>
            <w:r>
              <w:t xml:space="preserve">Seed</w:t>
            </w:r>
          </w:p>
        </w:tc>
        <w:tc>
          <w:tcPr/>
          <w:p>
            <w:pPr>
              <w:pStyle w:val="Compact"/>
            </w:pPr>
            <w:r>
              <w:t xml:space="preserve">Nominal explicit particles</w:t>
            </w:r>
          </w:p>
        </w:tc>
      </w:tr>
      <w:tr>
        <w:tc>
          <w:tcPr/>
          <w:p>
            <w:pPr>
              <w:pStyle w:val="Compact"/>
            </w:pPr>
            <w:r>
              <w:t xml:space="preserve">HDPE/Bi₂O₃</w:t>
            </w:r>
          </w:p>
        </w:tc>
        <w:tc>
          <w:tcPr/>
          <w:p>
            <w:pPr>
              <w:pStyle w:val="Compact"/>
            </w:pPr>
            <w:r>
              <w:t xml:space="preserve">A</w:t>
            </w:r>
          </w:p>
        </w:tc>
        <w:tc>
          <w:tcPr/>
          <w:p>
            <w:pPr>
              <w:pStyle w:val="Compact"/>
            </w:pPr>
            <w:r>
              <w:rPr>
                <w:rStyle w:val="VerbatimChar"/>
              </w:rPr>
              <w:t xml:space="preserve">configs/studies/paper3_hdpe_bi2o3_regime_a_phi0p189.json</w:t>
            </w:r>
          </w:p>
        </w:tc>
        <w:tc>
          <w:tcPr/>
          <w:p>
            <w:pPr>
              <w:pStyle w:val="Compact"/>
            </w:pPr>
            <w:r>
              <w:rPr>
                <w:rStyle w:val="VerbatimChar"/>
              </w:rPr>
              <w:t xml:space="preserve">results/paper3/regime_a_hdpe_bi2o3_phi0p189</w:t>
            </w:r>
          </w:p>
        </w:tc>
        <w:tc>
          <w:tcPr/>
          <w:p>
            <w:pPr>
              <w:pStyle w:val="Compact"/>
              <w:jc w:val="right"/>
            </w:pPr>
            <w:r>
              <w:t xml:space="preserve">13579</w:t>
            </w:r>
          </w:p>
        </w:tc>
        <w:tc>
          <w:tcPr/>
          <w:p>
            <w:pPr>
              <w:pStyle w:val="Compact"/>
            </w:pPr>
            <w:r>
              <w:t xml:space="preserve">Not applicable</w:t>
            </w:r>
          </w:p>
        </w:tc>
      </w:tr>
      <w:tr>
        <w:tc>
          <w:tcPr/>
          <w:p>
            <w:pPr>
              <w:pStyle w:val="Compact"/>
            </w:pPr>
            <w:r>
              <w:t xml:space="preserve">HDPE/Bi₂O₃</w:t>
            </w:r>
          </w:p>
        </w:tc>
        <w:tc>
          <w:tcPr/>
          <w:p>
            <w:pPr>
              <w:pStyle w:val="Compact"/>
            </w:pPr>
            <w:r>
              <w:t xml:space="preserve">B</w:t>
            </w:r>
          </w:p>
        </w:tc>
        <w:tc>
          <w:tcPr/>
          <w:p>
            <w:pPr>
              <w:pStyle w:val="Compact"/>
            </w:pPr>
            <w:r>
              <w:rPr>
                <w:rStyle w:val="VerbatimChar"/>
              </w:rPr>
              <w:t xml:space="preserve">configs/studies/paper3_hdpe_bi2o3_regime_b_rve.json</w:t>
            </w:r>
          </w:p>
        </w:tc>
        <w:tc>
          <w:tcPr/>
          <w:p>
            <w:pPr>
              <w:pStyle w:val="Compact"/>
            </w:pPr>
            <w:r>
              <w:rPr>
                <w:rStyle w:val="VerbatimChar"/>
              </w:rPr>
              <w:t xml:space="preserve">results/paper3/regime_b_hdpe_bi2o3</w:t>
            </w:r>
          </w:p>
        </w:tc>
        <w:tc>
          <w:tcPr/>
          <w:p>
            <w:pPr>
              <w:pStyle w:val="Compact"/>
              <w:jc w:val="right"/>
            </w:pPr>
            <w:r>
              <w:t xml:space="preserve">22222</w:t>
            </w:r>
          </w:p>
        </w:tc>
        <w:tc>
          <w:tcPr/>
          <w:p>
            <w:pPr>
              <w:pStyle w:val="Compact"/>
            </w:pPr>
            <w:r>
              <w:t xml:space="preserve">2,888 Bi₂O₃ spheres</w:t>
            </w:r>
          </w:p>
        </w:tc>
      </w:tr>
      <w:tr>
        <w:tc>
          <w:tcPr/>
          <w:p>
            <w:pPr>
              <w:pStyle w:val="Compact"/>
            </w:pPr>
            <w:r>
              <w:t xml:space="preserve">HDPE/Bi₂O₃</w:t>
            </w:r>
          </w:p>
        </w:tc>
        <w:tc>
          <w:tcPr/>
          <w:p>
            <w:pPr>
              <w:pStyle w:val="Compact"/>
            </w:pPr>
            <w:r>
              <w:t xml:space="preserve">C</w:t>
            </w:r>
          </w:p>
        </w:tc>
        <w:tc>
          <w:tcPr/>
          <w:p>
            <w:pPr>
              <w:pStyle w:val="Compact"/>
            </w:pPr>
            <w:r>
              <w:rPr>
                <w:rStyle w:val="VerbatimChar"/>
              </w:rPr>
              <w:t xml:space="preserve">configs/studies/paper3_hdpe_bi2o3_regime_c_250nm.json</w:t>
            </w:r>
          </w:p>
        </w:tc>
        <w:tc>
          <w:tcPr/>
          <w:p>
            <w:pPr>
              <w:pStyle w:val="Compact"/>
            </w:pPr>
            <w:r>
              <w:rPr>
                <w:rStyle w:val="VerbatimChar"/>
              </w:rPr>
              <w:t xml:space="preserve">results/paper3/regime_c_hdpe_bi2o3</w:t>
            </w:r>
          </w:p>
        </w:tc>
        <w:tc>
          <w:tcPr/>
          <w:p>
            <w:pPr>
              <w:pStyle w:val="Compact"/>
              <w:jc w:val="right"/>
            </w:pPr>
            <w:r>
              <w:t xml:space="preserve">33333</w:t>
            </w:r>
          </w:p>
        </w:tc>
        <w:tc>
          <w:tcPr/>
          <w:p>
            <w:pPr>
              <w:pStyle w:val="Compact"/>
            </w:pPr>
            <w:r>
              <w:t xml:space="preserve">45 Bi₂O₃ spheres</w:t>
            </w:r>
          </w:p>
        </w:tc>
      </w:tr>
      <w:tr>
        <w:tc>
          <w:tcPr/>
          <w:p>
            <w:pPr>
              <w:pStyle w:val="Compact"/>
            </w:pPr>
            <w:r>
              <w:t xml:space="preserve">HDPE/WO₃</w:t>
            </w:r>
          </w:p>
        </w:tc>
        <w:tc>
          <w:tcPr/>
          <w:p>
            <w:pPr>
              <w:pStyle w:val="Compact"/>
            </w:pPr>
            <w:r>
              <w:t xml:space="preserve">A</w:t>
            </w:r>
          </w:p>
        </w:tc>
        <w:tc>
          <w:tcPr/>
          <w:p>
            <w:pPr>
              <w:pStyle w:val="Compact"/>
            </w:pPr>
            <w:r>
              <w:rPr>
                <w:rStyle w:val="VerbatimChar"/>
              </w:rPr>
              <w:t xml:space="preserve">configs/studies/paper3_hdpe_wo3_regime_a_phi0p189.json</w:t>
            </w:r>
          </w:p>
        </w:tc>
        <w:tc>
          <w:tcPr/>
          <w:p>
            <w:pPr>
              <w:pStyle w:val="Compact"/>
            </w:pPr>
            <w:r>
              <w:rPr>
                <w:rStyle w:val="VerbatimChar"/>
              </w:rPr>
              <w:t xml:space="preserve">results/paper3/regime_a_hdpe_wo3_phi0p189</w:t>
            </w:r>
          </w:p>
        </w:tc>
        <w:tc>
          <w:tcPr/>
          <w:p>
            <w:pPr>
              <w:pStyle w:val="Compact"/>
              <w:jc w:val="right"/>
            </w:pPr>
            <w:r>
              <w:t xml:space="preserve">24680</w:t>
            </w:r>
          </w:p>
        </w:tc>
        <w:tc>
          <w:tcPr/>
          <w:p>
            <w:pPr>
              <w:pStyle w:val="Compact"/>
            </w:pPr>
            <w:r>
              <w:t xml:space="preserve">Not applicable</w:t>
            </w:r>
          </w:p>
        </w:tc>
      </w:tr>
      <w:tr>
        <w:tc>
          <w:tcPr/>
          <w:p>
            <w:pPr>
              <w:pStyle w:val="Compact"/>
            </w:pPr>
            <w:r>
              <w:t xml:space="preserve">HDPE/WO₃</w:t>
            </w:r>
          </w:p>
        </w:tc>
        <w:tc>
          <w:tcPr/>
          <w:p>
            <w:pPr>
              <w:pStyle w:val="Compact"/>
            </w:pPr>
            <w:r>
              <w:t xml:space="preserve">B</w:t>
            </w:r>
          </w:p>
        </w:tc>
        <w:tc>
          <w:tcPr/>
          <w:p>
            <w:pPr>
              <w:pStyle w:val="Compact"/>
            </w:pPr>
            <w:r>
              <w:rPr>
                <w:rStyle w:val="VerbatimChar"/>
              </w:rPr>
              <w:t xml:space="preserve">configs/studies/paper3_hdpe_wo3_regime_b_rve.json</w:t>
            </w:r>
          </w:p>
        </w:tc>
        <w:tc>
          <w:tcPr/>
          <w:p>
            <w:pPr>
              <w:pStyle w:val="Compact"/>
            </w:pPr>
            <w:r>
              <w:rPr>
                <w:rStyle w:val="VerbatimChar"/>
              </w:rPr>
              <w:t xml:space="preserve">results/paper3/regime_b_hdpe_wo3</w:t>
            </w:r>
          </w:p>
        </w:tc>
        <w:tc>
          <w:tcPr/>
          <w:p>
            <w:pPr>
              <w:pStyle w:val="Compact"/>
              <w:jc w:val="right"/>
            </w:pPr>
            <w:r>
              <w:t xml:space="preserve">44444</w:t>
            </w:r>
          </w:p>
        </w:tc>
        <w:tc>
          <w:tcPr/>
          <w:p>
            <w:pPr>
              <w:pStyle w:val="Compact"/>
            </w:pPr>
            <w:r>
              <w:t xml:space="preserve">2,888 WO₃ spheres</w:t>
            </w:r>
          </w:p>
        </w:tc>
      </w:tr>
      <w:tr>
        <w:tc>
          <w:tcPr/>
          <w:p>
            <w:pPr>
              <w:pStyle w:val="Compact"/>
            </w:pPr>
            <w:r>
              <w:t xml:space="preserve">HDPE/WO₃</w:t>
            </w:r>
          </w:p>
        </w:tc>
        <w:tc>
          <w:tcPr/>
          <w:p>
            <w:pPr>
              <w:pStyle w:val="Compact"/>
            </w:pPr>
            <w:r>
              <w:t xml:space="preserve">C</w:t>
            </w:r>
          </w:p>
        </w:tc>
        <w:tc>
          <w:tcPr/>
          <w:p>
            <w:pPr>
              <w:pStyle w:val="Compact"/>
            </w:pPr>
            <w:r>
              <w:rPr>
                <w:rStyle w:val="VerbatimChar"/>
              </w:rPr>
              <w:t xml:space="preserve">configs/studies/paper3_hdpe_wo3_regime_c_250nm.json</w:t>
            </w:r>
          </w:p>
        </w:tc>
        <w:tc>
          <w:tcPr/>
          <w:p>
            <w:pPr>
              <w:pStyle w:val="Compact"/>
            </w:pPr>
            <w:r>
              <w:rPr>
                <w:rStyle w:val="VerbatimChar"/>
              </w:rPr>
              <w:t xml:space="preserve">results/paper3/regime_c_hdpe_wo3</w:t>
            </w:r>
          </w:p>
        </w:tc>
        <w:tc>
          <w:tcPr/>
          <w:p>
            <w:pPr>
              <w:pStyle w:val="Compact"/>
              <w:jc w:val="right"/>
            </w:pPr>
            <w:r>
              <w:t xml:space="preserve">55555</w:t>
            </w:r>
          </w:p>
        </w:tc>
        <w:tc>
          <w:tcPr/>
          <w:p>
            <w:pPr>
              <w:pStyle w:val="Compact"/>
            </w:pPr>
            <w:r>
              <w:t xml:space="preserve">45 WO₃ spheres</w:t>
            </w:r>
          </w:p>
        </w:tc>
      </w:tr>
      <w:tr>
        <w:tc>
          <w:tcPr/>
          <w:p>
            <w:pPr>
              <w:pStyle w:val="Compact"/>
            </w:pPr>
            <w:r>
              <w:t xml:space="preserve">HDPE/BaWO₄</w:t>
            </w:r>
          </w:p>
        </w:tc>
        <w:tc>
          <w:tcPr/>
          <w:p>
            <w:pPr>
              <w:pStyle w:val="Compact"/>
            </w:pPr>
            <w:r>
              <w:t xml:space="preserve">A</w:t>
            </w:r>
          </w:p>
        </w:tc>
        <w:tc>
          <w:tcPr/>
          <w:p>
            <w:pPr>
              <w:pStyle w:val="Compact"/>
            </w:pPr>
            <w:r>
              <w:rPr>
                <w:rStyle w:val="VerbatimChar"/>
              </w:rPr>
              <w:t xml:space="preserve">configs/studies/paper3_hdpe_bawo4_regime_a_phi0p189.json</w:t>
            </w:r>
          </w:p>
        </w:tc>
        <w:tc>
          <w:tcPr/>
          <w:p>
            <w:pPr>
              <w:pStyle w:val="Compact"/>
            </w:pPr>
            <w:r>
              <w:rPr>
                <w:rStyle w:val="VerbatimChar"/>
              </w:rPr>
              <w:t xml:space="preserve">results/paper3/regime_a_hdpe_bawo4_phi0p189</w:t>
            </w:r>
          </w:p>
        </w:tc>
        <w:tc>
          <w:tcPr/>
          <w:p>
            <w:pPr>
              <w:pStyle w:val="Compact"/>
              <w:jc w:val="right"/>
            </w:pPr>
            <w:r>
              <w:t xml:space="preserve">13579</w:t>
            </w:r>
          </w:p>
        </w:tc>
        <w:tc>
          <w:tcPr/>
          <w:p>
            <w:pPr>
              <w:pStyle w:val="Compact"/>
            </w:pPr>
            <w:r>
              <w:t xml:space="preserve">Not applicable</w:t>
            </w:r>
          </w:p>
        </w:tc>
      </w:tr>
      <w:tr>
        <w:tc>
          <w:tcPr/>
          <w:p>
            <w:pPr>
              <w:pStyle w:val="Compact"/>
            </w:pPr>
            <w:r>
              <w:t xml:space="preserve">HDPE/BaWO₄</w:t>
            </w:r>
          </w:p>
        </w:tc>
        <w:tc>
          <w:tcPr/>
          <w:p>
            <w:pPr>
              <w:pStyle w:val="Compact"/>
            </w:pPr>
            <w:r>
              <w:t xml:space="preserve">B</w:t>
            </w:r>
          </w:p>
        </w:tc>
        <w:tc>
          <w:tcPr/>
          <w:p>
            <w:pPr>
              <w:pStyle w:val="Compact"/>
            </w:pPr>
            <w:r>
              <w:rPr>
                <w:rStyle w:val="VerbatimChar"/>
              </w:rPr>
              <w:t xml:space="preserve">configs/studies/paper3_hdpe_bawo4_regime_b_rve.json</w:t>
            </w:r>
          </w:p>
        </w:tc>
        <w:tc>
          <w:tcPr/>
          <w:p>
            <w:pPr>
              <w:pStyle w:val="Compact"/>
            </w:pPr>
            <w:r>
              <w:rPr>
                <w:rStyle w:val="VerbatimChar"/>
              </w:rPr>
              <w:t xml:space="preserve">results/paper3/regime_b_hdpe_bawo4</w:t>
            </w:r>
          </w:p>
        </w:tc>
        <w:tc>
          <w:tcPr/>
          <w:p>
            <w:pPr>
              <w:pStyle w:val="Compact"/>
              <w:jc w:val="right"/>
            </w:pPr>
            <w:r>
              <w:t xml:space="preserve">11111</w:t>
            </w:r>
          </w:p>
        </w:tc>
        <w:tc>
          <w:tcPr/>
          <w:p>
            <w:pPr>
              <w:pStyle w:val="Compact"/>
            </w:pPr>
            <w:r>
              <w:t xml:space="preserve">2,888 BaWO₄ spheres</w:t>
            </w:r>
          </w:p>
        </w:tc>
      </w:tr>
      <w:tr>
        <w:tc>
          <w:tcPr/>
          <w:p>
            <w:pPr>
              <w:pStyle w:val="Compact"/>
            </w:pPr>
            <w:r>
              <w:t xml:space="preserve">HDPE/BaWO₄</w:t>
            </w:r>
          </w:p>
        </w:tc>
        <w:tc>
          <w:tcPr/>
          <w:p>
            <w:pPr>
              <w:pStyle w:val="Compact"/>
            </w:pPr>
            <w:r>
              <w:t xml:space="preserve">C</w:t>
            </w:r>
          </w:p>
        </w:tc>
        <w:tc>
          <w:tcPr/>
          <w:p>
            <w:pPr>
              <w:pStyle w:val="Compact"/>
            </w:pPr>
            <w:r>
              <w:rPr>
                <w:rStyle w:val="VerbatimChar"/>
              </w:rPr>
              <w:t xml:space="preserve">configs/studies/paper3_hdpe_bawo4_regime_c_250nm.json</w:t>
            </w:r>
          </w:p>
        </w:tc>
        <w:tc>
          <w:tcPr/>
          <w:p>
            <w:pPr>
              <w:pStyle w:val="Compact"/>
            </w:pPr>
            <w:r>
              <w:rPr>
                <w:rStyle w:val="VerbatimChar"/>
              </w:rPr>
              <w:t xml:space="preserve">results/paper3/regime_c_hdpe_bawo4</w:t>
            </w:r>
          </w:p>
        </w:tc>
        <w:tc>
          <w:tcPr/>
          <w:p>
            <w:pPr>
              <w:pStyle w:val="Compact"/>
              <w:jc w:val="right"/>
            </w:pPr>
            <w:r>
              <w:t xml:space="preserve">66666</w:t>
            </w:r>
          </w:p>
        </w:tc>
        <w:tc>
          <w:tcPr/>
          <w:p>
            <w:pPr>
              <w:pStyle w:val="Compact"/>
            </w:pPr>
            <w:r>
              <w:t xml:space="preserve">45 BaWO₄ spheres</w:t>
            </w:r>
          </w:p>
        </w:tc>
      </w:tr>
      <w:tr>
        <w:tc>
          <w:tcPr/>
          <w:p>
            <w:pPr>
              <w:pStyle w:val="Compact"/>
            </w:pPr>
            <w:r>
              <w:t xml:space="preserve">HDPE/Bi₂O₃/WO₃</w:t>
            </w:r>
          </w:p>
        </w:tc>
        <w:tc>
          <w:tcPr/>
          <w:p>
            <w:pPr>
              <w:pStyle w:val="Compact"/>
            </w:pPr>
            <w:r>
              <w:t xml:space="preserve">A</w:t>
            </w:r>
          </w:p>
        </w:tc>
        <w:tc>
          <w:tcPr/>
          <w:p>
            <w:pPr>
              <w:pStyle w:val="Compact"/>
            </w:pPr>
            <w:r>
              <w:rPr>
                <w:rStyle w:val="VerbatimChar"/>
              </w:rPr>
              <w:t xml:space="preserve">configs/studies/paper3_hdpe_bi2o3_wo3_ternary_regime_a.json</w:t>
            </w:r>
          </w:p>
        </w:tc>
        <w:tc>
          <w:tcPr/>
          <w:p>
            <w:pPr>
              <w:pStyle w:val="Compact"/>
            </w:pPr>
            <w:r>
              <w:rPr>
                <w:rStyle w:val="VerbatimChar"/>
              </w:rPr>
              <w:t xml:space="preserve">results/paper3/regime_a_hdpe_bi2o3_wo3_ternary</w:t>
            </w:r>
          </w:p>
        </w:tc>
        <w:tc>
          <w:tcPr/>
          <w:p>
            <w:pPr>
              <w:pStyle w:val="Compact"/>
              <w:jc w:val="right"/>
            </w:pPr>
            <w:r>
              <w:t xml:space="preserve">24681</w:t>
            </w:r>
          </w:p>
        </w:tc>
        <w:tc>
          <w:tcPr/>
          <w:p>
            <w:pPr>
              <w:pStyle w:val="Compact"/>
            </w:pPr>
            <w:r>
              <w:t xml:space="preserve">Not applicable</w:t>
            </w:r>
          </w:p>
        </w:tc>
      </w:tr>
      <w:tr>
        <w:tc>
          <w:tcPr/>
          <w:p>
            <w:pPr>
              <w:pStyle w:val="Compact"/>
            </w:pPr>
            <w:r>
              <w:t xml:space="preserve">HDPE/Bi₂O₃/WO₃</w:t>
            </w:r>
          </w:p>
        </w:tc>
        <w:tc>
          <w:tcPr/>
          <w:p>
            <w:pPr>
              <w:pStyle w:val="Compact"/>
            </w:pPr>
            <w:r>
              <w:t xml:space="preserve">B</w:t>
            </w:r>
          </w:p>
        </w:tc>
        <w:tc>
          <w:tcPr/>
          <w:p>
            <w:pPr>
              <w:pStyle w:val="Compact"/>
            </w:pPr>
            <w:r>
              <w:rPr>
                <w:rStyle w:val="VerbatimChar"/>
              </w:rPr>
              <w:t xml:space="preserve">configs/studies/paper3_hdpe_bi2o3_wo3_ternary_regime_b_rve.json</w:t>
            </w:r>
          </w:p>
        </w:tc>
        <w:tc>
          <w:tcPr/>
          <w:p>
            <w:pPr>
              <w:pStyle w:val="Compact"/>
            </w:pPr>
            <w:r>
              <w:rPr>
                <w:rStyle w:val="VerbatimChar"/>
              </w:rPr>
              <w:t xml:space="preserve">results/paper3/regime_b_hdpe_bi2o3_wo3_ternary</w:t>
            </w:r>
          </w:p>
        </w:tc>
        <w:tc>
          <w:tcPr/>
          <w:p>
            <w:pPr>
              <w:pStyle w:val="Compact"/>
              <w:jc w:val="right"/>
            </w:pPr>
            <w:r>
              <w:t xml:space="preserve">77777</w:t>
            </w:r>
          </w:p>
        </w:tc>
        <w:tc>
          <w:tcPr/>
          <w:p>
            <w:pPr>
              <w:pStyle w:val="Compact"/>
            </w:pPr>
            <w:r>
              <w:t xml:space="preserve">1,528 Bi₂O₃ spheres only</w:t>
            </w:r>
          </w:p>
        </w:tc>
      </w:tr>
      <w:tr>
        <w:tc>
          <w:tcPr/>
          <w:p>
            <w:pPr>
              <w:pStyle w:val="Compact"/>
            </w:pPr>
            <w:r>
              <w:t xml:space="preserve">HDPE/Bi₂O₃/WO₃</w:t>
            </w:r>
          </w:p>
        </w:tc>
        <w:tc>
          <w:tcPr/>
          <w:p>
            <w:pPr>
              <w:pStyle w:val="Compact"/>
            </w:pPr>
            <w:r>
              <w:t xml:space="preserve">C</w:t>
            </w:r>
          </w:p>
        </w:tc>
        <w:tc>
          <w:tcPr/>
          <w:p>
            <w:pPr>
              <w:pStyle w:val="Compact"/>
            </w:pPr>
            <w:r>
              <w:rPr>
                <w:rStyle w:val="VerbatimChar"/>
              </w:rPr>
              <w:t xml:space="preserve">configs/studies/paper3_hdpe_bi2o3_wo3_ternary_regime_c_250nm.json</w:t>
            </w:r>
          </w:p>
        </w:tc>
        <w:tc>
          <w:tcPr/>
          <w:p>
            <w:pPr>
              <w:pStyle w:val="Compact"/>
            </w:pPr>
            <w:r>
              <w:rPr>
                <w:rStyle w:val="VerbatimChar"/>
              </w:rPr>
              <w:t xml:space="preserve">results/paper3/regime_c_hdpe_bi2o3_wo3_ternary</w:t>
            </w:r>
          </w:p>
        </w:tc>
        <w:tc>
          <w:tcPr/>
          <w:p>
            <w:pPr>
              <w:pStyle w:val="Compact"/>
              <w:jc w:val="right"/>
            </w:pPr>
            <w:r>
              <w:t xml:space="preserve">88888</w:t>
            </w:r>
          </w:p>
        </w:tc>
        <w:tc>
          <w:tcPr/>
          <w:p>
            <w:pPr>
              <w:pStyle w:val="Compact"/>
            </w:pPr>
            <w:r>
              <w:t xml:space="preserve">24 Bi₂O₃ spheres only</w:t>
            </w:r>
          </w:p>
        </w:tc>
      </w:tr>
      <w:tr>
        <w:tc>
          <w:tcPr/>
          <w:p>
            <w:pPr>
              <w:pStyle w:val="Compact"/>
            </w:pPr>
            <w:r>
              <w:t xml:space="preserve">HDPE/Gd₂O₃</w:t>
            </w:r>
          </w:p>
        </w:tc>
        <w:tc>
          <w:tcPr/>
          <w:p>
            <w:pPr>
              <w:pStyle w:val="Compact"/>
            </w:pPr>
            <w:r>
              <w:t xml:space="preserve">A</w:t>
            </w:r>
          </w:p>
        </w:tc>
        <w:tc>
          <w:tcPr/>
          <w:p>
            <w:pPr>
              <w:pStyle w:val="Compact"/>
            </w:pPr>
            <w:r>
              <w:rPr>
                <w:rStyle w:val="VerbatimChar"/>
              </w:rPr>
              <w:t xml:space="preserve">configs/studies/paper3_hdpe_gd2o3_regime_a_phi0p189.json</w:t>
            </w:r>
          </w:p>
        </w:tc>
        <w:tc>
          <w:tcPr/>
          <w:p>
            <w:pPr>
              <w:pStyle w:val="Compact"/>
            </w:pPr>
            <w:r>
              <w:rPr>
                <w:rStyle w:val="VerbatimChar"/>
              </w:rPr>
              <w:t xml:space="preserve">results/paper3/regime_a_hdpe_gd2o3_phi0p189</w:t>
            </w:r>
          </w:p>
        </w:tc>
        <w:tc>
          <w:tcPr/>
          <w:p>
            <w:pPr>
              <w:pStyle w:val="Compact"/>
              <w:jc w:val="right"/>
            </w:pPr>
            <w:r>
              <w:t xml:space="preserve">35791</w:t>
            </w:r>
          </w:p>
        </w:tc>
        <w:tc>
          <w:tcPr/>
          <w:p>
            <w:pPr>
              <w:pStyle w:val="Compact"/>
            </w:pPr>
            <w:r>
              <w:t xml:space="preserve">Not applicable</w:t>
            </w:r>
          </w:p>
        </w:tc>
      </w:tr>
      <w:tr>
        <w:tc>
          <w:tcPr/>
          <w:p>
            <w:pPr>
              <w:pStyle w:val="Compact"/>
            </w:pPr>
            <w:r>
              <w:t xml:space="preserve">HDPE/Gd₂O₃</w:t>
            </w:r>
          </w:p>
        </w:tc>
        <w:tc>
          <w:tcPr/>
          <w:p>
            <w:pPr>
              <w:pStyle w:val="Compact"/>
            </w:pPr>
            <w:r>
              <w:t xml:space="preserve">B</w:t>
            </w:r>
          </w:p>
        </w:tc>
        <w:tc>
          <w:tcPr/>
          <w:p>
            <w:pPr>
              <w:pStyle w:val="Compact"/>
            </w:pPr>
            <w:r>
              <w:rPr>
                <w:rStyle w:val="VerbatimChar"/>
              </w:rPr>
              <w:t xml:space="preserve">configs/studies/paper3_hdpe_gd2o3_regime_b_rve.json</w:t>
            </w:r>
          </w:p>
        </w:tc>
        <w:tc>
          <w:tcPr/>
          <w:p>
            <w:pPr>
              <w:pStyle w:val="Compact"/>
            </w:pPr>
            <w:r>
              <w:rPr>
                <w:rStyle w:val="VerbatimChar"/>
              </w:rPr>
              <w:t xml:space="preserve">results/paper3/regime_b_hdpe_gd2o3</w:t>
            </w:r>
          </w:p>
        </w:tc>
        <w:tc>
          <w:tcPr/>
          <w:p>
            <w:pPr>
              <w:pStyle w:val="Compact"/>
              <w:jc w:val="right"/>
            </w:pPr>
            <w:r>
              <w:t xml:space="preserve">12345</w:t>
            </w:r>
          </w:p>
        </w:tc>
        <w:tc>
          <w:tcPr/>
          <w:p>
            <w:pPr>
              <w:pStyle w:val="Compact"/>
            </w:pPr>
            <w:r>
              <w:t xml:space="preserve">2,888 Gd₂O₃ spheres</w:t>
            </w:r>
          </w:p>
        </w:tc>
      </w:tr>
      <w:tr>
        <w:tc>
          <w:tcPr/>
          <w:p>
            <w:pPr>
              <w:pStyle w:val="Compact"/>
            </w:pPr>
            <w:r>
              <w:t xml:space="preserve">HDPE/Gd₂O₃</w:t>
            </w:r>
          </w:p>
        </w:tc>
        <w:tc>
          <w:tcPr/>
          <w:p>
            <w:pPr>
              <w:pStyle w:val="Compact"/>
            </w:pPr>
            <w:r>
              <w:t xml:space="preserve">C</w:t>
            </w:r>
          </w:p>
        </w:tc>
        <w:tc>
          <w:tcPr/>
          <w:p>
            <w:pPr>
              <w:pStyle w:val="Compact"/>
            </w:pPr>
            <w:r>
              <w:rPr>
                <w:rStyle w:val="VerbatimChar"/>
              </w:rPr>
              <w:t xml:space="preserve">configs/studies/paper3_hdpe_gd2o3_regime_c_250nm.json</w:t>
            </w:r>
          </w:p>
        </w:tc>
        <w:tc>
          <w:tcPr/>
          <w:p>
            <w:pPr>
              <w:pStyle w:val="Compact"/>
            </w:pPr>
            <w:r>
              <w:rPr>
                <w:rStyle w:val="VerbatimChar"/>
              </w:rPr>
              <w:t xml:space="preserve">results/paper3/regime_c_hdpe_gd2o3</w:t>
            </w:r>
          </w:p>
        </w:tc>
        <w:tc>
          <w:tcPr/>
          <w:p>
            <w:pPr>
              <w:pStyle w:val="Compact"/>
              <w:jc w:val="right"/>
            </w:pPr>
            <w:r>
              <w:t xml:space="preserve">98765</w:t>
            </w:r>
          </w:p>
        </w:tc>
        <w:tc>
          <w:tcPr/>
          <w:p>
            <w:pPr>
              <w:pStyle w:val="Compact"/>
            </w:pPr>
            <w:r>
              <w:t xml:space="preserve">45 Gd₂O₃ spheres</w:t>
            </w:r>
          </w:p>
        </w:tc>
      </w:tr>
      <w:tr>
        <w:tc>
          <w:tcPr/>
          <w:p>
            <w:pPr>
              <w:pStyle w:val="Compact"/>
            </w:pPr>
            <w:r>
              <w:t xml:space="preserve">HDPE/PbWO₄</w:t>
            </w:r>
          </w:p>
        </w:tc>
        <w:tc>
          <w:tcPr/>
          <w:p>
            <w:pPr>
              <w:pStyle w:val="Compact"/>
            </w:pPr>
            <w:r>
              <w:t xml:space="preserve">A</w:t>
            </w:r>
          </w:p>
        </w:tc>
        <w:tc>
          <w:tcPr/>
          <w:p>
            <w:pPr>
              <w:pStyle w:val="Compact"/>
            </w:pPr>
            <w:r>
              <w:rPr>
                <w:rStyle w:val="VerbatimChar"/>
              </w:rPr>
              <w:t xml:space="preserve">configs/studies/paper3_hdpe_pbwo4_regime_a_phi0p189.json</w:t>
            </w:r>
          </w:p>
        </w:tc>
        <w:tc>
          <w:tcPr/>
          <w:p>
            <w:pPr>
              <w:pStyle w:val="Compact"/>
            </w:pPr>
            <w:r>
              <w:rPr>
                <w:rStyle w:val="VerbatimChar"/>
              </w:rPr>
              <w:t xml:space="preserve">results/paper3/regime_a_hdpe_pbwo4_phi0p189</w:t>
            </w:r>
          </w:p>
        </w:tc>
        <w:tc>
          <w:tcPr/>
          <w:p>
            <w:pPr>
              <w:pStyle w:val="Compact"/>
              <w:jc w:val="right"/>
            </w:pPr>
            <w:r>
              <w:t xml:space="preserve">46802</w:t>
            </w:r>
          </w:p>
        </w:tc>
        <w:tc>
          <w:tcPr/>
          <w:p>
            <w:pPr>
              <w:pStyle w:val="Compact"/>
            </w:pPr>
            <w:r>
              <w:t xml:space="preserve">Not applicable</w:t>
            </w:r>
          </w:p>
        </w:tc>
      </w:tr>
      <w:tr>
        <w:tc>
          <w:tcPr/>
          <w:p>
            <w:pPr>
              <w:pStyle w:val="Compact"/>
            </w:pPr>
            <w:r>
              <w:t xml:space="preserve">HDPE/PbWO₄</w:t>
            </w:r>
          </w:p>
        </w:tc>
        <w:tc>
          <w:tcPr/>
          <w:p>
            <w:pPr>
              <w:pStyle w:val="Compact"/>
            </w:pPr>
            <w:r>
              <w:t xml:space="preserve">B</w:t>
            </w:r>
          </w:p>
        </w:tc>
        <w:tc>
          <w:tcPr/>
          <w:p>
            <w:pPr>
              <w:pStyle w:val="Compact"/>
            </w:pPr>
            <w:r>
              <w:rPr>
                <w:rStyle w:val="VerbatimChar"/>
              </w:rPr>
              <w:t xml:space="preserve">configs/studies/paper3_hdpe_pbwo4_regime_b_rve.json</w:t>
            </w:r>
          </w:p>
        </w:tc>
        <w:tc>
          <w:tcPr/>
          <w:p>
            <w:pPr>
              <w:pStyle w:val="Compact"/>
            </w:pPr>
            <w:r>
              <w:rPr>
                <w:rStyle w:val="VerbatimChar"/>
              </w:rPr>
              <w:t xml:space="preserve">results/paper3/regime_b_hdpe_pbwo4</w:t>
            </w:r>
          </w:p>
        </w:tc>
        <w:tc>
          <w:tcPr/>
          <w:p>
            <w:pPr>
              <w:pStyle w:val="Compact"/>
              <w:jc w:val="right"/>
            </w:pPr>
            <w:r>
              <w:t xml:space="preserve">54321</w:t>
            </w:r>
          </w:p>
        </w:tc>
        <w:tc>
          <w:tcPr/>
          <w:p>
            <w:pPr>
              <w:pStyle w:val="Compact"/>
            </w:pPr>
            <w:r>
              <w:t xml:space="preserve">2,888 PbWO₄ spheres</w:t>
            </w:r>
          </w:p>
        </w:tc>
      </w:tr>
      <w:tr>
        <w:tc>
          <w:tcPr/>
          <w:p>
            <w:pPr>
              <w:pStyle w:val="Compact"/>
            </w:pPr>
            <w:r>
              <w:t xml:space="preserve">HDPE/PbWO₄</w:t>
            </w:r>
          </w:p>
        </w:tc>
        <w:tc>
          <w:tcPr/>
          <w:p>
            <w:pPr>
              <w:pStyle w:val="Compact"/>
            </w:pPr>
            <w:r>
              <w:t xml:space="preserve">C</w:t>
            </w:r>
          </w:p>
        </w:tc>
        <w:tc>
          <w:tcPr/>
          <w:p>
            <w:pPr>
              <w:pStyle w:val="Compact"/>
            </w:pPr>
            <w:r>
              <w:rPr>
                <w:rStyle w:val="VerbatimChar"/>
              </w:rPr>
              <w:t xml:space="preserve">configs/studies/paper3_hdpe_pbwo4_regime_c_250nm.json</w:t>
            </w:r>
          </w:p>
        </w:tc>
        <w:tc>
          <w:tcPr/>
          <w:p>
            <w:pPr>
              <w:pStyle w:val="Compact"/>
            </w:pPr>
            <w:r>
              <w:rPr>
                <w:rStyle w:val="VerbatimChar"/>
              </w:rPr>
              <w:t xml:space="preserve">results/paper3/regime_c_hdpe_pbwo4</w:t>
            </w:r>
          </w:p>
        </w:tc>
        <w:tc>
          <w:tcPr/>
          <w:p>
            <w:pPr>
              <w:pStyle w:val="Compact"/>
              <w:jc w:val="right"/>
            </w:pPr>
            <w:r>
              <w:t xml:space="preserve">67890</w:t>
            </w:r>
          </w:p>
        </w:tc>
        <w:tc>
          <w:tcPr/>
          <w:p>
            <w:pPr>
              <w:pStyle w:val="Compact"/>
            </w:pPr>
            <w:r>
              <w:t xml:space="preserve">45 PbWO₄ spheres</w:t>
            </w:r>
          </w:p>
        </w:tc>
      </w:tr>
    </w:tbl>
    <w:p>
      <w:r>
        <w:pict>
          <v:rect style="width:0;height:1.5pt" o:hralign="center" o:hrstd="t" o:hr="t"/>
        </w:pict>
      </w:r>
    </w:p>
    <w:bookmarkEnd w:id="82"/>
    <w:bookmarkStart w:id="98" w:name="references"/>
    <w:p>
      <w:pPr>
        <w:pStyle w:val="Heading2"/>
      </w:pPr>
      <w:r>
        <w:t xml:space="preserve">10. References</w:t>
      </w:r>
    </w:p>
    <w:p>
      <w:pPr>
        <w:pStyle w:val="Compact"/>
        <w:numPr>
          <w:ilvl w:val="0"/>
          <w:numId w:val="1001"/>
        </w:numPr>
      </w:pPr>
      <w:r>
        <w:t xml:space="preserve">S. Agostinelli et al.,</w:t>
      </w:r>
      <w:r>
        <w:t xml:space="preserve"> </w:t>
      </w:r>
      <w:r>
        <w:t xml:space="preserve">“Geant4 — a simulation toolkit,”</w:t>
      </w:r>
      <w:r>
        <w:t xml:space="preserve"> </w:t>
      </w:r>
      <w:r>
        <w:rPr>
          <w:i/>
          <w:iCs/>
        </w:rPr>
        <w:t xml:space="preserve">Nucl. Instrum. Methods Phys. Res. A</w:t>
      </w:r>
      <w:r>
        <w:t xml:space="preserve"> </w:t>
      </w:r>
      <w:r>
        <w:rPr>
          <w:b/>
          <w:bCs/>
        </w:rPr>
        <w:t xml:space="preserve">506</w:t>
      </w:r>
      <w:r>
        <w:t xml:space="preserve">, 250–303 (2003). DOI:</w:t>
      </w:r>
      <w:r>
        <w:t xml:space="preserve"> </w:t>
      </w:r>
      <w:hyperlink r:id="rId83">
        <w:r>
          <w:rPr>
            <w:rStyle w:val="Hyperlink"/>
          </w:rPr>
          <w:t xml:space="preserve">10.1016/S0168-9002(03)01368-8</w:t>
        </w:r>
      </w:hyperlink>
      <w:r>
        <w:t xml:space="preserve">.</w:t>
      </w:r>
    </w:p>
    <w:p>
      <w:pPr>
        <w:pStyle w:val="Compact"/>
        <w:numPr>
          <w:ilvl w:val="0"/>
          <w:numId w:val="1001"/>
        </w:numPr>
      </w:pPr>
      <w:r>
        <w:t xml:space="preserve">J. Allison et al.,</w:t>
      </w:r>
      <w:r>
        <w:t xml:space="preserve"> </w:t>
      </w:r>
      <w:r>
        <w:t xml:space="preserve">“Geant4 developments and applications,”</w:t>
      </w:r>
      <w:r>
        <w:t xml:space="preserve"> </w:t>
      </w:r>
      <w:r>
        <w:rPr>
          <w:i/>
          <w:iCs/>
        </w:rPr>
        <w:t xml:space="preserve">IEEE Trans. Nucl. Sci.</w:t>
      </w:r>
      <w:r>
        <w:t xml:space="preserve"> </w:t>
      </w:r>
      <w:r>
        <w:rPr>
          <w:b/>
          <w:bCs/>
        </w:rPr>
        <w:t xml:space="preserve">53</w:t>
      </w:r>
      <w:r>
        <w:t xml:space="preserve">, 270–278 (2006). DOI:</w:t>
      </w:r>
      <w:r>
        <w:t xml:space="preserve"> </w:t>
      </w:r>
      <w:hyperlink r:id="rId84">
        <w:r>
          <w:rPr>
            <w:rStyle w:val="Hyperlink"/>
          </w:rPr>
          <w:t xml:space="preserve">10.1109/TNS.2006.869826</w:t>
        </w:r>
      </w:hyperlink>
      <w:r>
        <w:t xml:space="preserve">.</w:t>
      </w:r>
    </w:p>
    <w:p>
      <w:pPr>
        <w:pStyle w:val="Compact"/>
        <w:numPr>
          <w:ilvl w:val="0"/>
          <w:numId w:val="1001"/>
        </w:numPr>
      </w:pPr>
      <w:r>
        <w:t xml:space="preserve">J. Allison et al.,</w:t>
      </w:r>
      <w:r>
        <w:t xml:space="preserve"> </w:t>
      </w:r>
      <w:r>
        <w:t xml:space="preserve">“Recent developments in Geant4,”</w:t>
      </w:r>
      <w:r>
        <w:t xml:space="preserve"> </w:t>
      </w:r>
      <w:r>
        <w:rPr>
          <w:i/>
          <w:iCs/>
        </w:rPr>
        <w:t xml:space="preserve">Nucl. Instrum. Methods Phys. Res. A</w:t>
      </w:r>
      <w:r>
        <w:t xml:space="preserve"> </w:t>
      </w:r>
      <w:r>
        <w:rPr>
          <w:b/>
          <w:bCs/>
        </w:rPr>
        <w:t xml:space="preserve">835</w:t>
      </w:r>
      <w:r>
        <w:t xml:space="preserve">, 186–225 (2016). DOI:</w:t>
      </w:r>
      <w:r>
        <w:t xml:space="preserve"> </w:t>
      </w:r>
      <w:hyperlink r:id="rId85">
        <w:r>
          <w:rPr>
            <w:rStyle w:val="Hyperlink"/>
          </w:rPr>
          <w:t xml:space="preserve">10.1016/j.nima.2016.06.125</w:t>
        </w:r>
      </w:hyperlink>
      <w:r>
        <w:t xml:space="preserve">.</w:t>
      </w:r>
    </w:p>
    <w:p>
      <w:pPr>
        <w:pStyle w:val="Compact"/>
        <w:numPr>
          <w:ilvl w:val="0"/>
          <w:numId w:val="1001"/>
        </w:numPr>
      </w:pPr>
      <w:r>
        <w:t xml:space="preserve">J. H. Hubbell,</w:t>
      </w:r>
      <w:r>
        <w:t xml:space="preserve"> </w:t>
      </w:r>
      <w:r>
        <w:t xml:space="preserve">“Photon mass attenuation and energy-absorption coefficients from 1 keV to 20 MeV,”</w:t>
      </w:r>
      <w:r>
        <w:t xml:space="preserve"> </w:t>
      </w:r>
      <w:r>
        <w:rPr>
          <w:i/>
          <w:iCs/>
        </w:rPr>
        <w:t xml:space="preserve">Int. J. Appl. Radiat. Isot.</w:t>
      </w:r>
      <w:r>
        <w:t xml:space="preserve"> </w:t>
      </w:r>
      <w:r>
        <w:rPr>
          <w:b/>
          <w:bCs/>
        </w:rPr>
        <w:t xml:space="preserve">33</w:t>
      </w:r>
      <w:r>
        <w:t xml:space="preserve">, 1269–1290 (1982). DOI:</w:t>
      </w:r>
      <w:r>
        <w:t xml:space="preserve"> </w:t>
      </w:r>
      <w:hyperlink r:id="rId86">
        <w:r>
          <w:rPr>
            <w:rStyle w:val="Hyperlink"/>
          </w:rPr>
          <w:t xml:space="preserve">10.1016/0020-708X(82)90248-4</w:t>
        </w:r>
      </w:hyperlink>
      <w:r>
        <w:t xml:space="preserve">.</w:t>
      </w:r>
    </w:p>
    <w:p>
      <w:pPr>
        <w:pStyle w:val="Compact"/>
        <w:numPr>
          <w:ilvl w:val="0"/>
          <w:numId w:val="1001"/>
        </w:numPr>
      </w:pPr>
      <w:r>
        <w:t xml:space="preserve">J. H. Hubbell,</w:t>
      </w:r>
      <w:r>
        <w:t xml:space="preserve"> </w:t>
      </w:r>
      <w:r>
        <w:t xml:space="preserve">“Review of photon interaction cross-section data in the medical and biological context,”</w:t>
      </w:r>
      <w:r>
        <w:t xml:space="preserve"> </w:t>
      </w:r>
      <w:r>
        <w:rPr>
          <w:i/>
          <w:iCs/>
        </w:rPr>
        <w:t xml:space="preserve">Phys. Med. Biol.</w:t>
      </w:r>
      <w:r>
        <w:t xml:space="preserve"> </w:t>
      </w:r>
      <w:r>
        <w:rPr>
          <w:b/>
          <w:bCs/>
        </w:rPr>
        <w:t xml:space="preserve">44</w:t>
      </w:r>
      <w:r>
        <w:t xml:space="preserve">, R1–R22 (1999). DOI:</w:t>
      </w:r>
      <w:r>
        <w:t xml:space="preserve"> </w:t>
      </w:r>
      <w:hyperlink r:id="rId87">
        <w:r>
          <w:rPr>
            <w:rStyle w:val="Hyperlink"/>
          </w:rPr>
          <w:t xml:space="preserve">10.1088/0031-9155/44/1/001</w:t>
        </w:r>
      </w:hyperlink>
      <w:r>
        <w:t xml:space="preserve">.</w:t>
      </w:r>
    </w:p>
    <w:p>
      <w:pPr>
        <w:pStyle w:val="Compact"/>
        <w:numPr>
          <w:ilvl w:val="0"/>
          <w:numId w:val="1001"/>
        </w:numPr>
      </w:pPr>
      <w:r>
        <w:t xml:space="preserve">M. J. Berger, J. H. Hubbell, S. M. Seltzer, J. Chang, J. S. Coursey, R. Sukumar, D. S. Zucker, K. Olsen,</w:t>
      </w:r>
      <w:r>
        <w:t xml:space="preserve"> </w:t>
      </w:r>
      <w:r>
        <w:rPr>
          <w:i/>
          <w:iCs/>
        </w:rPr>
        <w:t xml:space="preserve">XCOM: Photon Cross Section Database</w:t>
      </w:r>
      <w:r>
        <w:t xml:space="preserve">, NIST SRD 8 (XGAM), NIST, Gaithersburg MD. URL:</w:t>
      </w:r>
      <w:r>
        <w:t xml:space="preserve"> </w:t>
      </w:r>
      <w:hyperlink r:id="rId88">
        <w:r>
          <w:rPr>
            <w:rStyle w:val="Hyperlink"/>
          </w:rPr>
          <w:t xml:space="preserve">https://physics.nist.gov/xcom</w:t>
        </w:r>
      </w:hyperlink>
      <w:r>
        <w:t xml:space="preserve">.</w:t>
      </w:r>
    </w:p>
    <w:p>
      <w:pPr>
        <w:pStyle w:val="Compact"/>
        <w:numPr>
          <w:ilvl w:val="0"/>
          <w:numId w:val="1001"/>
        </w:numPr>
      </w:pPr>
      <w:r>
        <w:t xml:space="preserve">J. H. Hubbell and S. M. Seltzer,</w:t>
      </w:r>
      <w:r>
        <w:t xml:space="preserve"> </w:t>
      </w:r>
      <w:r>
        <w:rPr>
          <w:i/>
          <w:iCs/>
        </w:rPr>
        <w:t xml:space="preserve">Tables of X-Ray Mass Attenuation Coefficients and Mass Energy-Absorption Coefficients from 1 keV to 20 MeV for Elements Z = 1–92 and 48 Additional Substances of Dosimetric Interest</w:t>
      </w:r>
      <w:r>
        <w:t xml:space="preserve">, NISTIR 5632 (1995).</w:t>
      </w:r>
    </w:p>
    <w:p>
      <w:pPr>
        <w:pStyle w:val="Compact"/>
        <w:numPr>
          <w:ilvl w:val="0"/>
          <w:numId w:val="1001"/>
        </w:numPr>
      </w:pPr>
      <w:r>
        <w:t xml:space="preserve">S. Incerti et al.,</w:t>
      </w:r>
      <w:r>
        <w:t xml:space="preserve"> </w:t>
      </w:r>
      <w:r>
        <w:t xml:space="preserve">“Comparison of Geant4 very low energy cross-section models with experimental data in water,”</w:t>
      </w:r>
      <w:r>
        <w:t xml:space="preserve"> </w:t>
      </w:r>
      <w:r>
        <w:rPr>
          <w:i/>
          <w:iCs/>
        </w:rPr>
        <w:t xml:space="preserve">Med. Phys.</w:t>
      </w:r>
      <w:r>
        <w:t xml:space="preserve"> </w:t>
      </w:r>
      <w:r>
        <w:rPr>
          <w:b/>
          <w:bCs/>
        </w:rPr>
        <w:t xml:space="preserve">37</w:t>
      </w:r>
      <w:r>
        <w:t xml:space="preserve">, 4692–4708 (2010). DOI:</w:t>
      </w:r>
      <w:r>
        <w:t xml:space="preserve"> </w:t>
      </w:r>
      <w:hyperlink r:id="rId89">
        <w:r>
          <w:rPr>
            <w:rStyle w:val="Hyperlink"/>
          </w:rPr>
          <w:t xml:space="preserve">10.1118/1.3476457</w:t>
        </w:r>
      </w:hyperlink>
      <w:r>
        <w:t xml:space="preserve">.</w:t>
      </w:r>
    </w:p>
    <w:p>
      <w:pPr>
        <w:pStyle w:val="Compact"/>
        <w:numPr>
          <w:ilvl w:val="0"/>
          <w:numId w:val="1001"/>
        </w:numPr>
      </w:pPr>
      <w:r>
        <w:t xml:space="preserve">S. Incerti et al.,</w:t>
      </w:r>
      <w:r>
        <w:t xml:space="preserve"> </w:t>
      </w:r>
      <w:r>
        <w:t xml:space="preserve">“The Geant4-DNA project,”</w:t>
      </w:r>
      <w:r>
        <w:t xml:space="preserve"> </w:t>
      </w:r>
      <w:r>
        <w:rPr>
          <w:i/>
          <w:iCs/>
        </w:rPr>
        <w:t xml:space="preserve">Int. J. Model. Simul. Sci. Comput.</w:t>
      </w:r>
      <w:r>
        <w:t xml:space="preserve"> </w:t>
      </w:r>
      <w:r>
        <w:rPr>
          <w:b/>
          <w:bCs/>
        </w:rPr>
        <w:t xml:space="preserve">1</w:t>
      </w:r>
      <w:r>
        <w:t xml:space="preserve">, 157–178 (2010). DOI:</w:t>
      </w:r>
      <w:r>
        <w:t xml:space="preserve"> </w:t>
      </w:r>
      <w:hyperlink r:id="rId90">
        <w:r>
          <w:rPr>
            <w:rStyle w:val="Hyperlink"/>
          </w:rPr>
          <w:t xml:space="preserve">10.1142/S1793962310000122</w:t>
        </w:r>
      </w:hyperlink>
      <w:r>
        <w:t xml:space="preserve">.</w:t>
      </w:r>
    </w:p>
    <w:p>
      <w:pPr>
        <w:pStyle w:val="Compact"/>
        <w:numPr>
          <w:ilvl w:val="0"/>
          <w:numId w:val="1001"/>
        </w:numPr>
      </w:pPr>
      <w:r>
        <w:t xml:space="preserve">H. N. Tran et al.,</w:t>
      </w:r>
      <w:r>
        <w:t xml:space="preserve"> </w:t>
      </w:r>
      <w:r>
        <w:t xml:space="preserve">“Geant4 Monte Carlo simulation of absorbed dose and radiolysis yields enhancement from a gold nanoparticle under MeV proton irradiation,”</w:t>
      </w:r>
      <w:r>
        <w:t xml:space="preserve"> </w:t>
      </w:r>
      <w:r>
        <w:rPr>
          <w:i/>
          <w:iCs/>
        </w:rPr>
        <w:t xml:space="preserve">Nucl. Instrum. Methods Phys. Res. B</w:t>
      </w:r>
      <w:r>
        <w:t xml:space="preserve"> </w:t>
      </w:r>
      <w:r>
        <w:rPr>
          <w:b/>
          <w:bCs/>
        </w:rPr>
        <w:t xml:space="preserve">373</w:t>
      </w:r>
      <w:r>
        <w:t xml:space="preserve">, 126–139 (2016). DOI:</w:t>
      </w:r>
      <w:r>
        <w:t xml:space="preserve"> </w:t>
      </w:r>
      <w:hyperlink r:id="rId91">
        <w:r>
          <w:rPr>
            <w:rStyle w:val="Hyperlink"/>
          </w:rPr>
          <w:t xml:space="preserve">10.1016/j.nimb.2016.01.017</w:t>
        </w:r>
      </w:hyperlink>
      <w:r>
        <w:t xml:space="preserve">.</w:t>
      </w:r>
    </w:p>
    <w:p>
      <w:pPr>
        <w:pStyle w:val="Compact"/>
        <w:numPr>
          <w:ilvl w:val="0"/>
          <w:numId w:val="1001"/>
        </w:numPr>
      </w:pPr>
      <w:r>
        <w:t xml:space="preserve">D. E. Cullen, J. H. Hubbell, and L. Kissel,</w:t>
      </w:r>
      <w:r>
        <w:t xml:space="preserve"> </w:t>
      </w:r>
      <w:r>
        <w:rPr>
          <w:i/>
          <w:iCs/>
        </w:rPr>
        <w:t xml:space="preserve">EPDL97: The Evaluated Photon Data Library, ’97 Version</w:t>
      </w:r>
      <w:r>
        <w:t xml:space="preserve">, UCRL-50400 Vol. 6 Rev. 5, Lawrence Livermore National Laboratory (1997).</w:t>
      </w:r>
    </w:p>
    <w:p>
      <w:pPr>
        <w:pStyle w:val="Compact"/>
        <w:numPr>
          <w:ilvl w:val="0"/>
          <w:numId w:val="1001"/>
        </w:numPr>
      </w:pPr>
      <w:r>
        <w:t xml:space="preserve">H. H. Negm, R. M. El-Sharkawy, E. Abdeltwab, M. Mostafa, M. E. Mahmoud, and A. El-Taher,</w:t>
      </w:r>
      <w:r>
        <w:t xml:space="preserve"> </w:t>
      </w:r>
      <w:r>
        <w:t xml:space="preserve">“Evaluation of shielding properties of a developed nanocomposite from intercalated attapulgite clay by Cd/Pb oxides nanoparticles,”</w:t>
      </w:r>
      <w:r>
        <w:t xml:space="preserve"> </w:t>
      </w:r>
      <w:r>
        <w:rPr>
          <w:i/>
          <w:iCs/>
        </w:rPr>
        <w:t xml:space="preserve">Physica Scripta</w:t>
      </w:r>
      <w:r>
        <w:t xml:space="preserve"> </w:t>
      </w:r>
      <w:r>
        <w:rPr>
          <w:b/>
          <w:bCs/>
        </w:rPr>
        <w:t xml:space="preserve">99</w:t>
      </w:r>
      <w:r>
        <w:t xml:space="preserve">, 055956 (2024). DOI:</w:t>
      </w:r>
      <w:r>
        <w:t xml:space="preserve"> </w:t>
      </w:r>
      <w:hyperlink r:id="rId92">
        <w:r>
          <w:rPr>
            <w:rStyle w:val="Hyperlink"/>
          </w:rPr>
          <w:t xml:space="preserve">10.1088/1402-4896/ad3b48</w:t>
        </w:r>
      </w:hyperlink>
      <w:r>
        <w:t xml:space="preserve">.</w:t>
      </w:r>
    </w:p>
    <w:p>
      <w:pPr>
        <w:pStyle w:val="Compact"/>
        <w:numPr>
          <w:ilvl w:val="0"/>
          <w:numId w:val="1001"/>
        </w:numPr>
      </w:pPr>
      <w:r>
        <w:t xml:space="preserve">H. H. Negm, E. A. Allam, E. Abdeltwab, M. Mostafa, M. E. Mahmoud, and A. El-Taher,</w:t>
      </w:r>
      <w:r>
        <w:t xml:space="preserve"> </w:t>
      </w:r>
      <w:r>
        <w:t xml:space="preserve">“A new nanocomposite of copper oxide and magnetite intercalated into Attapulgite clay to enhance the radiation shielding,”</w:t>
      </w:r>
      <w:r>
        <w:t xml:space="preserve"> </w:t>
      </w:r>
      <w:r>
        <w:rPr>
          <w:i/>
          <w:iCs/>
        </w:rPr>
        <w:t xml:space="preserve">Radiation Physics and Chemistry</w:t>
      </w:r>
      <w:r>
        <w:t xml:space="preserve"> </w:t>
      </w:r>
      <w:r>
        <w:rPr>
          <w:b/>
          <w:bCs/>
        </w:rPr>
        <w:t xml:space="preserve">216</w:t>
      </w:r>
      <w:r>
        <w:t xml:space="preserve">, 111398 (2024). DOI:</w:t>
      </w:r>
      <w:r>
        <w:t xml:space="preserve"> </w:t>
      </w:r>
      <w:hyperlink r:id="rId93">
        <w:r>
          <w:rPr>
            <w:rStyle w:val="Hyperlink"/>
          </w:rPr>
          <w:t xml:space="preserve">10.1016/j.radphyschem.2023.111398</w:t>
        </w:r>
      </w:hyperlink>
      <w:r>
        <w:t xml:space="preserve">.</w:t>
      </w:r>
    </w:p>
    <w:p>
      <w:pPr>
        <w:pStyle w:val="Compact"/>
        <w:numPr>
          <w:ilvl w:val="0"/>
          <w:numId w:val="1001"/>
        </w:numPr>
      </w:pPr>
      <w:r>
        <w:t xml:space="preserve">I. Boukhris, I. Kebaili, M. S. Al-Buriahi, and M. I. Sayyed,</w:t>
      </w:r>
      <w:r>
        <w:t xml:space="preserve"> </w:t>
      </w:r>
      <w:r>
        <w:t xml:space="preserve">“Radiation shielding properties of tellurite-lead-tungsten glasses against gamma and beta radiations,”</w:t>
      </w:r>
      <w:r>
        <w:t xml:space="preserve"> </w:t>
      </w:r>
      <w:r>
        <w:rPr>
          <w:i/>
          <w:iCs/>
        </w:rPr>
        <w:t xml:space="preserve">Journal of Non-Crystalline Solids</w:t>
      </w:r>
      <w:r>
        <w:t xml:space="preserve"> </w:t>
      </w:r>
      <w:r>
        <w:rPr>
          <w:b/>
          <w:bCs/>
        </w:rPr>
        <w:t xml:space="preserve">551</w:t>
      </w:r>
      <w:r>
        <w:t xml:space="preserve">, 120430 (2021). DOI:</w:t>
      </w:r>
      <w:r>
        <w:t xml:space="preserve"> </w:t>
      </w:r>
      <w:hyperlink r:id="rId94">
        <w:r>
          <w:rPr>
            <w:rStyle w:val="Hyperlink"/>
          </w:rPr>
          <w:t xml:space="preserve">10.1016/j.jnoncrysol.2020.120430</w:t>
        </w:r>
      </w:hyperlink>
      <w:r>
        <w:t xml:space="preserve">.</w:t>
      </w:r>
    </w:p>
    <w:p>
      <w:pPr>
        <w:pStyle w:val="Compact"/>
        <w:numPr>
          <w:ilvl w:val="0"/>
          <w:numId w:val="1001"/>
        </w:numPr>
      </w:pPr>
      <w:r>
        <w:t xml:space="preserve">E. Şakar, Ö. F. Özpolat, B. Alım, M. I. Sayyed, and M. Kurudirek,</w:t>
      </w:r>
      <w:r>
        <w:t xml:space="preserve"> </w:t>
      </w:r>
      <w:r>
        <w:t xml:space="preserve">“Phy-X/PSD: Development of a user friendly online software for calculation of parameters relevant to radiation shielding and dosimetry,”</w:t>
      </w:r>
      <w:r>
        <w:t xml:space="preserve"> </w:t>
      </w:r>
      <w:r>
        <w:rPr>
          <w:i/>
          <w:iCs/>
        </w:rPr>
        <w:t xml:space="preserve">Radiation Physics and Chemistry</w:t>
      </w:r>
      <w:r>
        <w:t xml:space="preserve"> </w:t>
      </w:r>
      <w:r>
        <w:rPr>
          <w:b/>
          <w:bCs/>
        </w:rPr>
        <w:t xml:space="preserve">166</w:t>
      </w:r>
      <w:r>
        <w:t xml:space="preserve">, 108496 (2020). DOI:</w:t>
      </w:r>
      <w:r>
        <w:t xml:space="preserve"> </w:t>
      </w:r>
      <w:hyperlink r:id="rId95">
        <w:r>
          <w:rPr>
            <w:rStyle w:val="Hyperlink"/>
          </w:rPr>
          <w:t xml:space="preserve">10.1016/j.radphyschem.2019.108496</w:t>
        </w:r>
      </w:hyperlink>
      <w:r>
        <w:t xml:space="preserve">.</w:t>
      </w:r>
    </w:p>
    <w:p>
      <w:pPr>
        <w:pStyle w:val="Compact"/>
        <w:numPr>
          <w:ilvl w:val="0"/>
          <w:numId w:val="1001"/>
        </w:numPr>
      </w:pPr>
      <w:r>
        <w:t xml:space="preserve">F. C. Hila, A. Asuncion-Astronomo, C. A. M. Dingle, J. F. M. Jecong, A. M. V. Javier-Hila, M. B. Z. Gili, C. V. Balderas, G. E. P. Lopez, N. R. D. Guillermo, and A. V. Amoroso Jr.,</w:t>
      </w:r>
      <w:r>
        <w:t xml:space="preserve"> </w:t>
      </w:r>
      <w:r>
        <w:t xml:space="preserve">“EpiXS: A Windows-based program for photon attenuation, dosimetry and shielding based on EPICS2017 (ENDF/B-VIII) and EPDL97 (ENDF/B-VI.8),”</w:t>
      </w:r>
      <w:r>
        <w:t xml:space="preserve"> </w:t>
      </w:r>
      <w:r>
        <w:rPr>
          <w:i/>
          <w:iCs/>
        </w:rPr>
        <w:t xml:space="preserve">Radiation Physics and Chemistry</w:t>
      </w:r>
      <w:r>
        <w:t xml:space="preserve"> </w:t>
      </w:r>
      <w:r>
        <w:rPr>
          <w:b/>
          <w:bCs/>
        </w:rPr>
        <w:t xml:space="preserve">182</w:t>
      </w:r>
      <w:r>
        <w:t xml:space="preserve">, 109331 (2021). DOI:</w:t>
      </w:r>
      <w:r>
        <w:t xml:space="preserve"> </w:t>
      </w:r>
      <w:hyperlink r:id="rId96">
        <w:r>
          <w:rPr>
            <w:rStyle w:val="Hyperlink"/>
          </w:rPr>
          <w:t xml:space="preserve">10.1016/j.radphyschem.2020.109331</w:t>
        </w:r>
      </w:hyperlink>
      <w:r>
        <w:t xml:space="preserve">.</w:t>
      </w:r>
    </w:p>
    <w:p>
      <w:pPr>
        <w:pStyle w:val="Compact"/>
        <w:numPr>
          <w:ilvl w:val="0"/>
          <w:numId w:val="1001"/>
        </w:numPr>
      </w:pPr>
      <w:r>
        <w:t xml:space="preserve">S. H. Hosseini et al.,</w:t>
      </w:r>
      <w:r>
        <w:t xml:space="preserve"> </w:t>
      </w:r>
      <w:r>
        <w:t xml:space="preserve">“Experimental evaluation of gamma radiation shielding characteristics of Polyvinyl Alcohol/Tungsten oxide composite: a comparison study of micro and nano sizes of the fillers,”</w:t>
      </w:r>
      <w:r>
        <w:t xml:space="preserve"> </w:t>
      </w:r>
      <w:r>
        <w:rPr>
          <w:i/>
          <w:iCs/>
        </w:rPr>
        <w:t xml:space="preserve">Nuclear Instruments and Methods in Physics Research A</w:t>
      </w:r>
      <w:r>
        <w:t xml:space="preserve"> </w:t>
      </w:r>
      <w:r>
        <w:rPr>
          <w:b/>
          <w:bCs/>
        </w:rPr>
        <w:t xml:space="preserve">1026</w:t>
      </w:r>
      <w:r>
        <w:t xml:space="preserve">, 166214 (2022). DOI:</w:t>
      </w:r>
      <w:r>
        <w:t xml:space="preserve"> </w:t>
      </w:r>
      <w:hyperlink r:id="rId97">
        <w:r>
          <w:rPr>
            <w:rStyle w:val="Hyperlink"/>
          </w:rPr>
          <w:t xml:space="preserve">10.1016/j.nima.2021.166214</w:t>
        </w:r>
      </w:hyperlink>
      <w:r>
        <w:t xml:space="preserve">.</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hyperlink" Id="rId86" Target="https://doi.org/10.1016/0020-708X(82)90248-4" TargetMode="External" /><Relationship Type="http://schemas.openxmlformats.org/officeDocument/2006/relationships/hyperlink" Id="rId83" Target="https://doi.org/10.1016/S0168-9002(03)01368-8" TargetMode="External" /><Relationship Type="http://schemas.openxmlformats.org/officeDocument/2006/relationships/hyperlink" Id="rId94" Target="https://doi.org/10.1016/j.jnoncrysol.2020.120430" TargetMode="External" /><Relationship Type="http://schemas.openxmlformats.org/officeDocument/2006/relationships/hyperlink" Id="rId85" Target="https://doi.org/10.1016/j.nima.2016.06.125" TargetMode="External" /><Relationship Type="http://schemas.openxmlformats.org/officeDocument/2006/relationships/hyperlink" Id="rId97" Target="https://doi.org/10.1016/j.nima.2021.166214" TargetMode="External" /><Relationship Type="http://schemas.openxmlformats.org/officeDocument/2006/relationships/hyperlink" Id="rId91" Target="https://doi.org/10.1016/j.nimb.2016.01.017" TargetMode="External" /><Relationship Type="http://schemas.openxmlformats.org/officeDocument/2006/relationships/hyperlink" Id="rId95" Target="https://doi.org/10.1016/j.radphyschem.2019.108496" TargetMode="External" /><Relationship Type="http://schemas.openxmlformats.org/officeDocument/2006/relationships/hyperlink" Id="rId96" Target="https://doi.org/10.1016/j.radphyschem.2020.109331" TargetMode="External" /><Relationship Type="http://schemas.openxmlformats.org/officeDocument/2006/relationships/hyperlink" Id="rId93" Target="https://doi.org/10.1016/j.radphyschem.2023.111398" TargetMode="External" /><Relationship Type="http://schemas.openxmlformats.org/officeDocument/2006/relationships/hyperlink" Id="rId87" Target="https://doi.org/10.1088/0031-9155/44/1/001" TargetMode="External" /><Relationship Type="http://schemas.openxmlformats.org/officeDocument/2006/relationships/hyperlink" Id="rId92" Target="https://doi.org/10.1088/1402-4896/ad3b48" TargetMode="External" /><Relationship Type="http://schemas.openxmlformats.org/officeDocument/2006/relationships/hyperlink" Id="rId84" Target="https://doi.org/10.1109/TNS.2006.869826" TargetMode="External" /><Relationship Type="http://schemas.openxmlformats.org/officeDocument/2006/relationships/hyperlink" Id="rId89" Target="https://doi.org/10.1118/1.3476457" TargetMode="External" /><Relationship Type="http://schemas.openxmlformats.org/officeDocument/2006/relationships/hyperlink" Id="rId90" Target="https://doi.org/10.1142/S1793962310000122" TargetMode="External" /><Relationship Type="http://schemas.openxmlformats.org/officeDocument/2006/relationships/hyperlink" Id="rId88" Target="https://physics.nist.gov/xcom" TargetMode="External" /><Relationship Type="http://schemas.openxmlformats.org/officeDocument/2006/relationships/hyperlink" Id="rId9" Target="mailto:hhnegm@ju.edu.sa" TargetMode="External" /></Relationships>
</file>

<file path=word/_rels/footnotes.xml.rels><?xml version="1.0" encoding="UTF-8"?><Relationships xmlns="http://schemas.openxmlformats.org/package/2006/relationships"><Relationship Type="http://schemas.openxmlformats.org/officeDocument/2006/relationships/hyperlink" Id="rId86" Target="https://doi.org/10.1016/0020-708X(82)90248-4" TargetMode="External" /><Relationship Type="http://schemas.openxmlformats.org/officeDocument/2006/relationships/hyperlink" Id="rId83" Target="https://doi.org/10.1016/S0168-9002(03)01368-8" TargetMode="External" /><Relationship Type="http://schemas.openxmlformats.org/officeDocument/2006/relationships/hyperlink" Id="rId94" Target="https://doi.org/10.1016/j.jnoncrysol.2020.120430" TargetMode="External" /><Relationship Type="http://schemas.openxmlformats.org/officeDocument/2006/relationships/hyperlink" Id="rId85" Target="https://doi.org/10.1016/j.nima.2016.06.125" TargetMode="External" /><Relationship Type="http://schemas.openxmlformats.org/officeDocument/2006/relationships/hyperlink" Id="rId97" Target="https://doi.org/10.1016/j.nima.2021.166214" TargetMode="External" /><Relationship Type="http://schemas.openxmlformats.org/officeDocument/2006/relationships/hyperlink" Id="rId91" Target="https://doi.org/10.1016/j.nimb.2016.01.017" TargetMode="External" /><Relationship Type="http://schemas.openxmlformats.org/officeDocument/2006/relationships/hyperlink" Id="rId95" Target="https://doi.org/10.1016/j.radphyschem.2019.108496" TargetMode="External" /><Relationship Type="http://schemas.openxmlformats.org/officeDocument/2006/relationships/hyperlink" Id="rId96" Target="https://doi.org/10.1016/j.radphyschem.2020.109331" TargetMode="External" /><Relationship Type="http://schemas.openxmlformats.org/officeDocument/2006/relationships/hyperlink" Id="rId93" Target="https://doi.org/10.1016/j.radphyschem.2023.111398" TargetMode="External" /><Relationship Type="http://schemas.openxmlformats.org/officeDocument/2006/relationships/hyperlink" Id="rId87" Target="https://doi.org/10.1088/0031-9155/44/1/001" TargetMode="External" /><Relationship Type="http://schemas.openxmlformats.org/officeDocument/2006/relationships/hyperlink" Id="rId92" Target="https://doi.org/10.1088/1402-4896/ad3b48" TargetMode="External" /><Relationship Type="http://schemas.openxmlformats.org/officeDocument/2006/relationships/hyperlink" Id="rId84" Target="https://doi.org/10.1109/TNS.2006.869826" TargetMode="External" /><Relationship Type="http://schemas.openxmlformats.org/officeDocument/2006/relationships/hyperlink" Id="rId89" Target="https://doi.org/10.1118/1.3476457" TargetMode="External" /><Relationship Type="http://schemas.openxmlformats.org/officeDocument/2006/relationships/hyperlink" Id="rId90" Target="https://doi.org/10.1142/S1793962310000122" TargetMode="External" /><Relationship Type="http://schemas.openxmlformats.org/officeDocument/2006/relationships/hyperlink" Id="rId88" Target="https://physics.nist.gov/xcom" TargetMode="External" /><Relationship Type="http://schemas.openxmlformats.org/officeDocument/2006/relationships/hyperlink" Id="rId9" Target="mailto:hhnegm@ju.edu.s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2026-05-21T13:53:24Z</dcterms:created>
  <dcterms:modified xsi:type="dcterms:W3CDTF">2026-05-21T13:53:24Z</dcterms:modified>
</cp:coreProperties>
</file>

<file path=docProps/custom.xml><?xml version="1.0" encoding="utf-8"?>
<Properties xmlns="http://schemas.openxmlformats.org/officeDocument/2006/custom-properties" xmlns:vt="http://schemas.openxmlformats.org/officeDocument/2006/docPropsVTypes"/>
</file>