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8.png" ContentType="image/png"/>
  <Override PartName="/word/media/rId42.png" ContentType="image/png"/>
  <Override PartName="/word/media/rId51.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1586dac668531802d331ef7aabf771acc23c6b8"/>
    <w:p>
      <w:pPr>
        <w:pStyle w:val="Heading1"/>
      </w:pPr>
      <w:r>
        <w:t xml:space="preserve">Memory-Efficient Geant4 Modelling Regimes for Nanocomposite Radiation Shielding: Effective Medium, Explicit Nanoparticle Geometry, and Hybrid Representative-Volume Validation</w:t>
      </w:r>
    </w:p>
    <w:p>
      <w:pPr>
        <w:pStyle w:val="FirstParagraph"/>
      </w:pPr>
      <w:r>
        <w:rPr>
          <w:b/>
          <w:bCs/>
        </w:rPr>
        <w:t xml:space="preserve">Hani H. Negm</w:t>
      </w:r>
      <w:r>
        <w:t xml:space="preserve">¹</w:t>
      </w:r>
    </w:p>
    <w:p>
      <w:pPr>
        <w:pStyle w:val="BodyText"/>
      </w:pPr>
      <w:r>
        <w:t xml:space="preserve">¹</w:t>
      </w:r>
      <w:r>
        <w:t xml:space="preserve"> </w:t>
      </w:r>
      <w:r>
        <w:rPr>
          <w:i/>
          <w:iCs/>
        </w:rPr>
        <w:t xml:space="preserve">Department of Physics</w:t>
      </w:r>
    </w:p>
    <w:p>
      <w:pPr>
        <w:pStyle w:val="BodyText"/>
      </w:pPr>
      <w:r>
        <w:rPr>
          <w:b/>
          <w:bCs/>
        </w:rPr>
        <w:t xml:space="preserve">Corresponding author:</w:t>
      </w:r>
      <w:r>
        <w:t xml:space="preserve"> </w:t>
      </w:r>
      <w:r>
        <w:t xml:space="preserve">hhnegm@ju.edu.sa</w:t>
      </w:r>
    </w:p>
    <w:p>
      <w:pPr>
        <w:pStyle w:val="BodyText"/>
      </w:pPr>
      <w:r>
        <w:rPr>
          <w:b/>
          <w:bCs/>
        </w:rPr>
        <w:t xml:space="preserve">Manuscript version:</w:t>
      </w:r>
      <w:r>
        <w:t xml:space="preserve"> </w:t>
      </w:r>
      <w:r>
        <w:t xml:space="preserve">v06 (derived from v05 on 2026-05-18; Round 1/2 self-review completed, five-figure suite added, figure references renumbered, and full manuscript/figure verification passed)</w:t>
      </w:r>
    </w:p>
    <w:p>
      <w:pPr>
        <w:pStyle w:val="BodyText"/>
      </w:pPr>
      <w:r>
        <w:rPr>
          <w:b/>
          <w:bCs/>
        </w:rPr>
        <w:t xml:space="preserve">Target journals (Q1, in priority order):</w:t>
      </w:r>
      <w:r>
        <w:t xml:space="preserve"> </w:t>
      </w:r>
      <w:r>
        <w:t xml:space="preserve">1.</w:t>
      </w:r>
      <w:r>
        <w:t xml:space="preserve"> </w:t>
      </w:r>
      <w:r>
        <w:rPr>
          <w:i/>
          <w:iCs/>
        </w:rPr>
        <w:t xml:space="preserve">Radiation Physics and Chemistry</w:t>
      </w:r>
      <w:r>
        <w:t xml:space="preserve"> </w:t>
      </w:r>
      <w:r>
        <w:t xml:space="preserve">(Elsevier, IF ≈ 2.9; primary scope match — shielding + MC methodology)</w:t>
      </w:r>
      <w:r>
        <w:t xml:space="preserve"> </w:t>
      </w:r>
      <w:r>
        <w:t xml:space="preserve">2.</w:t>
      </w:r>
      <w:r>
        <w:t xml:space="preserve"> </w:t>
      </w:r>
      <w:r>
        <w:rPr>
          <w:i/>
          <w:iCs/>
        </w:rPr>
        <w:t xml:space="preserve">Nuclear Instruments and Methods in Physics Research A</w:t>
      </w:r>
      <w:r>
        <w:t xml:space="preserve"> </w:t>
      </w:r>
      <w:r>
        <w:t xml:space="preserve">(NIM A, Elsevier; established Geant4 methods venue)</w:t>
      </w:r>
      <w:r>
        <w:t xml:space="preserve"> </w:t>
      </w:r>
      <w:r>
        <w:t xml:space="preserve">3.</w:t>
      </w:r>
      <w:r>
        <w:t xml:space="preserve"> </w:t>
      </w:r>
      <w:r>
        <w:rPr>
          <w:i/>
          <w:iCs/>
        </w:rPr>
        <w:t xml:space="preserve">Computer Physics Communications</w:t>
      </w:r>
      <w:r>
        <w:t xml:space="preserve"> </w:t>
      </w:r>
      <w:r>
        <w:t xml:space="preserve">(Elsevier; physics + software methodology)</w:t>
      </w:r>
      <w:r>
        <w:t xml:space="preserve"> </w:t>
      </w:r>
      <w:r>
        <w:t xml:space="preserve">4.</w:t>
      </w:r>
      <w:r>
        <w:t xml:space="preserve"> </w:t>
      </w:r>
      <w:r>
        <w:rPr>
          <w:i/>
          <w:iCs/>
        </w:rPr>
        <w:t xml:space="preserve">Physics in Medicine and Biology</w:t>
      </w:r>
      <w:r>
        <w:t xml:space="preserve"> </w:t>
      </w:r>
      <w:r>
        <w:t xml:space="preserve">(IOP; if diagnostic-energy nano-dose results are emphasised)</w:t>
      </w:r>
      <w:r>
        <w:t xml:space="preserve"> </w:t>
      </w:r>
      <w:r>
        <w:t xml:space="preserve">5.</w:t>
      </w:r>
      <w:r>
        <w:t xml:space="preserve"> </w:t>
      </w:r>
      <w:r>
        <w:rPr>
          <w:i/>
          <w:iCs/>
        </w:rPr>
        <w:t xml:space="preserve">Annals of Nuclear Energy</w:t>
      </w:r>
      <w:r>
        <w:t xml:space="preserve"> </w:t>
      </w:r>
      <w:r>
        <w:t xml:space="preserve">(Elsevier; if shielding-engineering framing is emphasised)</w:t>
      </w:r>
    </w:p>
    <w:p>
      <w:r>
        <w:pict>
          <v:rect style="width:0;height:1.5pt" o:hralign="center" o:hrstd="t" o:hr="t"/>
        </w:pict>
      </w:r>
    </w:p>
    <w:bookmarkStart w:id="9" w:name="abstract"/>
    <w:p>
      <w:pPr>
        <w:pStyle w:val="Heading2"/>
      </w:pPr>
      <w:r>
        <w:t xml:space="preserve">Abstract</w:t>
      </w:r>
    </w:p>
    <w:p>
      <w:pPr>
        <w:pStyle w:val="FirstParagraph"/>
      </w:pPr>
      <w:r>
        <w:t xml:space="preserve">Nanoparticle-filled shielding polymers are commonly simulated in Geant4 as homogeneous mixtures, even when experiments describe them as nanocomposites. The validity limit of that homogenised representation relative to explicit nanoparticle geometry remains poorly quantified for shielding photon transport.</w:t>
      </w:r>
    </w:p>
    <w:p>
      <w:pPr>
        <w:pStyle w:val="BodyText"/>
      </w:pPr>
      <w:r>
        <w:t xml:space="preserve">This paper benchmarks three Geant4 modelling regimes for HDPE/Bi₂O₃ at</w:t>
      </w:r>
      <w:r>
        <w:t xml:space="preserve"> </w:t>
      </w:r>
      <m:oMath>
        <m:sSub>
          <m:e>
            <m:r>
              <m:t>ϕ</m:t>
            </m:r>
          </m:e>
          <m:sub>
            <m:r>
              <m:t>f</m:t>
            </m:r>
          </m:sub>
        </m:sSub>
        <m:r>
          <m:rPr>
            <m:sty m:val="p"/>
          </m:rPr>
          <m:t>=</m:t>
        </m:r>
        <m:r>
          <m:t>0.189</m:t>
        </m:r>
      </m:oMath>
      <w:r>
        <w:t xml:space="preserve"> </w:t>
      </w:r>
      <w:r>
        <w:t xml:space="preserve">(68.6 wt% Bi₂O₃,</w:t>
      </w:r>
      <w:r>
        <w:t xml:space="preserve"> </w:t>
      </w:r>
      <m:oMath>
        <m:sSub>
          <m:e>
            <m:r>
              <m:t>ρ</m:t>
            </m:r>
          </m:e>
          <m:sub>
            <m:r>
              <m:rPr>
                <m:nor/>
                <m:sty m:val="p"/>
              </m:rPr>
              <m:t>eff</m:t>
            </m:r>
          </m:sub>
        </m:sSub>
        <m:r>
          <m:rPr>
            <m:sty m:val="p"/>
          </m:rPr>
          <m:t>=</m:t>
        </m:r>
        <m:r>
          <m:t>2.452</m:t>
        </m:r>
      </m:oMath>
      <w:r>
        <w:t xml:space="preserve"> </w:t>
      </w:r>
      <w:r>
        <w:t xml:space="preserve">g cm</w:t>
      </w:r>
      <m:oMath>
        <m:sSup>
          <m:e>
            <m:r>
              <m:t>​</m:t>
            </m:r>
          </m:e>
          <m:sup>
            <m:r>
              <m:rPr>
                <m:sty m:val="p"/>
              </m:rPr>
              <m:t>−</m:t>
            </m:r>
            <m:r>
              <m:t>3</m:t>
            </m:r>
          </m:sup>
        </m:sSup>
      </m:oMath>
      <w:r>
        <w:t xml:space="preserve">): (A) effective-medium</w:t>
      </w:r>
      <w:r>
        <w:t xml:space="preserve"> </w:t>
      </w:r>
      <w:r>
        <w:rPr>
          <w:rStyle w:val="VerbatimChar"/>
        </w:rPr>
        <w:t xml:space="preserve">G4Material</w:t>
      </w:r>
      <w:r>
        <w:t xml:space="preserve">, (B) explicit 25 nm Bi₂O₃ spheres in a 1 µm RVE using</w:t>
      </w:r>
      <w:r>
        <w:t xml:space="preserve"> </w:t>
      </w:r>
      <w:r>
        <w:rPr>
          <w:rStyle w:val="VerbatimChar"/>
        </w:rPr>
        <w:t xml:space="preserve">G4PVParameterised</w:t>
      </w:r>
      <w:r>
        <w:t xml:space="preserve">, and (C) explicit spheres in a 250 nm RVE using</w:t>
      </w:r>
      <w:r>
        <w:t xml:space="preserve"> </w:t>
      </w:r>
      <w:r>
        <w:rPr>
          <w:rStyle w:val="VerbatimChar"/>
        </w:rPr>
        <w:t xml:space="preserve">G4MultiUnion</w:t>
      </w:r>
      <w:r>
        <w:t xml:space="preserve">. All runs use Geant4 11.4,</w:t>
      </w:r>
      <w:r>
        <w:t xml:space="preserve"> </w:t>
      </w:r>
      <w:r>
        <w:rPr>
          <w:rStyle w:val="VerbatimChar"/>
        </w:rPr>
        <w:t xml:space="preserve">G4EmLivermorePhysics</w:t>
      </w:r>
      <w:r>
        <w:t xml:space="preserve">, and a 30 keV–1.33 MeV photon grid. The endpoint is</w:t>
      </w:r>
      <w:r>
        <w:t xml:space="preserve"> </w:t>
      </w:r>
      <m:oMath>
        <m:r>
          <m:t>μ</m:t>
        </m:r>
        <m:r>
          <m:rPr>
            <m:sty m:val="p"/>
          </m:rPr>
          <m:t>/</m:t>
        </m:r>
        <m:r>
          <m:t>ρ</m:t>
        </m:r>
        <m:r>
          <m:rPr>
            <m:sty m:val="p"/>
          </m:rPr>
          <m:t>(</m:t>
        </m:r>
        <m:r>
          <m:t>E</m:t>
        </m:r>
        <m:r>
          <m:rPr>
            <m:sty m:val="p"/>
          </m:rPr>
          <m:t>)</m:t>
        </m:r>
      </m:oMath>
      <w:r>
        <w:t xml:space="preserve"> </w:t>
      </w:r>
      <w:r>
        <w:t xml:space="preserve">relative to NIST XCOM.</w:t>
      </w:r>
    </w:p>
    <w:p>
      <w:pPr>
        <w:pStyle w:val="BodyText"/>
      </w:pPr>
      <w:r>
        <w:t xml:space="preserve">Regime A reproduces XCOM for the 30 wt% validation material with mean and maximum absolute deviations of 0.549% and 2.013%. For the cross-regime composition, regime B agrees with the matched regime-A baseline within the 3% H1 gate at 30–150 keV (</w:t>
      </w:r>
      <m:oMath>
        <m:sSub>
          <m:e>
            <m:r>
              <m:t>μ</m:t>
            </m:r>
          </m:e>
          <m:sub>
            <m:r>
              <m:t>B</m:t>
            </m:r>
          </m:sub>
        </m:sSub>
        <m:r>
          <m:rPr>
            <m:sty m:val="p"/>
          </m:rPr>
          <m:t>/</m:t>
        </m:r>
        <m:sSub>
          <m:e>
            <m:r>
              <m:t>μ</m:t>
            </m:r>
          </m:e>
          <m:sub>
            <m:r>
              <m:t>A</m:t>
            </m:r>
            <m:r>
              <m:rPr>
                <m:sty m:val="p"/>
              </m:rPr>
              <m:t>,</m:t>
            </m:r>
            <m:r>
              <m:t>ϕ</m:t>
            </m:r>
          </m:sub>
        </m:sSub>
        <m:r>
          <m:rPr>
            <m:sty m:val="p"/>
          </m:rPr>
          <m:t>=</m:t>
        </m:r>
        <m:r>
          <m:t>0.975</m:t>
        </m:r>
        <m:r>
          <m:rPr>
            <m:nor/>
            <m:sty m:val="p"/>
          </m:rPr>
          <m:t>–</m:t>
        </m:r>
        <m:r>
          <m:t>0.984</m:t>
        </m:r>
      </m:oMath>
      <w:r>
        <w:t xml:space="preserve">) and resolves the Bi K-edge rise between 80 and 100 keV. Regime C also confirms H1 at 30–150 keV (</w:t>
      </w:r>
      <m:oMath>
        <m:sSub>
          <m:e>
            <m:r>
              <m:t>μ</m:t>
            </m:r>
          </m:e>
          <m:sub>
            <m:r>
              <m:t>C</m:t>
            </m:r>
          </m:sub>
        </m:sSub>
        <m:r>
          <m:rPr>
            <m:sty m:val="p"/>
          </m:rPr>
          <m:t>/</m:t>
        </m:r>
        <m:sSub>
          <m:e>
            <m:r>
              <m:t>μ</m:t>
            </m:r>
          </m:e>
          <m:sub>
            <m:r>
              <m:t>A</m:t>
            </m:r>
            <m:r>
              <m:rPr>
                <m:sty m:val="p"/>
              </m:rPr>
              <m:t>,</m:t>
            </m:r>
            <m:r>
              <m:t>ϕ</m:t>
            </m:r>
          </m:sub>
        </m:sSub>
        <m:r>
          <m:rPr>
            <m:sty m:val="p"/>
          </m:rPr>
          <m:t>=</m:t>
        </m:r>
        <m:r>
          <m:t>0.982</m:t>
        </m:r>
        <m:r>
          <m:rPr>
            <m:nor/>
            <m:sty m:val="p"/>
          </m:rPr>
          <m:t>–</m:t>
        </m:r>
        <m:r>
          <m:t>1.016</m:t>
        </m:r>
      </m:oMath>
      <w:r>
        <w:t xml:space="preserve">), with XCOM agreement from −2.3% to +1.2% in that range.</w:t>
      </w:r>
    </w:p>
    <w:p>
      <w:pPr>
        <w:pStyle w:val="BodyText"/>
      </w:pPr>
      <w:r>
        <w:t xml:space="preserve">The results support effective-medium modelling for macroscopic shielding when</w:t>
      </w:r>
      <w:r>
        <w:t xml:space="preserve"> </w:t>
      </w:r>
      <m:oMath>
        <m:r>
          <m:t>μ</m:t>
        </m:r>
        <m:r>
          <m:t>r</m:t>
        </m:r>
        <m:r>
          <m:rPr>
            <m:sty m:val="p"/>
          </m:rPr>
          <m:t>≪</m:t>
        </m:r>
        <m:r>
          <m:t>1</m:t>
        </m:r>
      </m:oMath>
      <w:r>
        <w:t xml:space="preserve">, while showing that explicit RVE modelling remains useful as a validation tool and that</w:t>
      </w:r>
      <w:r>
        <w:t xml:space="preserve"> </w:t>
      </w:r>
      <w:r>
        <w:rPr>
          <w:rStyle w:val="VerbatimChar"/>
        </w:rPr>
        <w:t xml:space="preserve">G4PVParameterised</w:t>
      </w:r>
      <w:r>
        <w:t xml:space="preserve"> </w:t>
      </w:r>
      <w:r>
        <w:t xml:space="preserve">is markedly more scalable than</w:t>
      </w:r>
      <w:r>
        <w:t xml:space="preserve"> </w:t>
      </w:r>
      <w:r>
        <w:rPr>
          <w:rStyle w:val="VerbatimChar"/>
        </w:rPr>
        <w:t xml:space="preserve">G4MultiUnion</w:t>
      </w:r>
      <w:r>
        <w:t xml:space="preserve"> </w:t>
      </w:r>
      <w:r>
        <w:t xml:space="preserve">on workstation-class hardware.</w:t>
      </w:r>
    </w:p>
    <w:p>
      <w:pPr>
        <w:pStyle w:val="BodyText"/>
      </w:pPr>
      <w:r>
        <w:rPr>
          <w:b/>
          <w:bCs/>
        </w:rPr>
        <w:t xml:space="preserve">Keywords:</w:t>
      </w:r>
      <w:r>
        <w:t xml:space="preserve"> </w:t>
      </w:r>
      <w:r>
        <w:t xml:space="preserve">Geant4 · radiation shielding · nanocomposite · effective medium ·</w:t>
      </w:r>
      <w:r>
        <w:t xml:space="preserve"> </w:t>
      </w:r>
      <w:r>
        <w:rPr>
          <w:rStyle w:val="VerbatimChar"/>
        </w:rPr>
        <w:t xml:space="preserve">G4MultiUnion</w:t>
      </w:r>
      <w:r>
        <w:t xml:space="preserve"> </w:t>
      </w:r>
      <w:r>
        <w:t xml:space="preserve">·</w:t>
      </w:r>
      <w:r>
        <w:t xml:space="preserve"> </w:t>
      </w:r>
      <w:r>
        <w:rPr>
          <w:rStyle w:val="VerbatimChar"/>
        </w:rPr>
        <w:t xml:space="preserve">G4PVParameterised</w:t>
      </w:r>
      <w:r>
        <w:t xml:space="preserve"> </w:t>
      </w:r>
      <w:r>
        <w:t xml:space="preserve">· representative volume element · mass attenuation coefficient</w:t>
      </w:r>
    </w:p>
    <w:p>
      <w:r>
        <w:pict>
          <v:rect style="width:0;height:1.5pt" o:hralign="center" o:hrstd="t" o:hr="t"/>
        </w:pict>
      </w:r>
    </w:p>
    <w:bookmarkEnd w:id="9"/>
    <w:bookmarkStart w:id="13" w:name="introduction"/>
    <w:p>
      <w:pPr>
        <w:pStyle w:val="Heading2"/>
      </w:pPr>
      <w:r>
        <w:t xml:space="preserve">1. Introduction</w:t>
      </w:r>
    </w:p>
    <w:bookmarkStart w:id="10" w:name="background"/>
    <w:p>
      <w:pPr>
        <w:pStyle w:val="Heading3"/>
      </w:pPr>
      <w:r>
        <w:t xml:space="preserve">1.1 Background</w:t>
      </w:r>
    </w:p>
    <w:p>
      <w:pPr>
        <w:pStyle w:val="FirstParagraph"/>
      </w:pPr>
      <w:r>
        <w:t xml:space="preserve">Polymer-matrix radiation-shielding composites loaded with high-Z fillers (Bi₂O₃, WO₃, PbO, BaSO₄, Gd₂O₃) have become a sustained research focus over the past decade, driven by the need for lead-free, flexible, low-toxicity alternatives in medical X-ray protection, nuclear medicine, and aerospace shielding. A substantial fraction of the recent literature reports filler particle sizes in the nanometre range and labels the resulting materials as</w:t>
      </w:r>
      <w:r>
        <w:t xml:space="preserve"> </w:t>
      </w:r>
      <w:r>
        <w:rPr>
          <w:i/>
          <w:iCs/>
        </w:rPr>
        <w:t xml:space="preserve">nanocomposites</w:t>
      </w:r>
      <w:r>
        <w:t xml:space="preserve">. When such materials are simulated in Monte Carlo (MC) transport codes — most commonly Geant4 [1–3] — the dominant practice is to define one</w:t>
      </w:r>
      <w:r>
        <w:t xml:space="preserve"> </w:t>
      </w:r>
      <w:r>
        <w:rPr>
          <w:rStyle w:val="VerbatimChar"/>
        </w:rPr>
        <w:t xml:space="preserve">G4Material</w:t>
      </w:r>
      <w:r>
        <w:t xml:space="preserve"> </w:t>
      </w:r>
      <w:r>
        <w:t xml:space="preserve">from elemental mass fractions and a measured or estimated bulk density. The microstructure is not resolved.</w:t>
      </w:r>
    </w:p>
    <w:p>
      <w:pPr>
        <w:pStyle w:val="BodyText"/>
      </w:pPr>
      <w:r>
        <w:t xml:space="preserve">This homogenisation is physically defensible for the macroscopic shielding regime in which the relevant photon mean free path (MFP) is orders of magnitude larger than both the filler particle radius and the inter-particle spacing. Under that condition the photon</w:t>
      </w:r>
      <w:r>
        <w:t xml:space="preserve"> </w:t>
      </w:r>
      <w:r>
        <w:t xml:space="preserve">“sees”</w:t>
      </w:r>
      <w:r>
        <w:t xml:space="preserve"> </w:t>
      </w:r>
      <w:r>
        <w:t xml:space="preserve">an effective medium and the Bragg–Gray mass-fraction additivity rule [4,5] yields linear attenuation coefficients consistent with NIST XCOM [6] to within the independent-atom approximation. The validity boundary of this rule has been extensively characterised for macroscopic mixtures [5,7], but the question that motivates this work is different: under what circumstances does the</w:t>
      </w:r>
      <w:r>
        <w:t xml:space="preserve"> </w:t>
      </w:r>
      <w:r>
        <w:rPr>
          <w:i/>
          <w:iCs/>
        </w:rPr>
        <w:t xml:space="preserve">spatial arrangement</w:t>
      </w:r>
      <w:r>
        <w:t xml:space="preserve"> </w:t>
      </w:r>
      <w:r>
        <w:t xml:space="preserve">of the high-Z phase, at the nanoscale, change a quantity that a shielding engineer or medical physicist actually cares about — transmission, broad-beam dose, or interface dose — by more than the experimental uncertainty?</w:t>
      </w:r>
    </w:p>
    <w:bookmarkEnd w:id="10"/>
    <w:bookmarkStart w:id="11" w:name="gap"/>
    <w:p>
      <w:pPr>
        <w:pStyle w:val="Heading3"/>
      </w:pPr>
      <w:r>
        <w:t xml:space="preserve">1.2 Gap</w:t>
      </w:r>
    </w:p>
    <w:p>
      <w:pPr>
        <w:pStyle w:val="FirstParagraph"/>
      </w:pPr>
      <w:r>
        <w:t xml:space="preserve">Three gaps remain in the literature:</w:t>
      </w:r>
    </w:p>
    <w:p>
      <w:pPr>
        <w:pStyle w:val="Compact"/>
        <w:numPr>
          <w:ilvl w:val="0"/>
          <w:numId w:val="1001"/>
        </w:numPr>
      </w:pPr>
      <w:r>
        <w:rPr>
          <w:b/>
          <w:bCs/>
        </w:rPr>
        <w:t xml:space="preserve">Validity boundary of homogenisation.</w:t>
      </w:r>
      <w:r>
        <w:t xml:space="preserve"> </w:t>
      </w:r>
      <w:r>
        <w:t xml:space="preserve">Although effective-medium MC results agree with experiment for many nanocomposite shielding measurements at gamma energies, there is no published systematic Geant4 benchmark that holds composition, density, source, scoring geometry, and physics list constant while varying only the geometric representation (homogeneous vs explicit-particle vs clustered) and reports the cross-method deviation as a function of photon energy and filler loading.</w:t>
      </w:r>
    </w:p>
    <w:p>
      <w:pPr>
        <w:pStyle w:val="Compact"/>
        <w:numPr>
          <w:ilvl w:val="0"/>
          <w:numId w:val="1001"/>
        </w:numPr>
      </w:pPr>
      <w:r>
        <w:rPr>
          <w:b/>
          <w:bCs/>
        </w:rPr>
        <w:t xml:space="preserve">Computational cost characterisation.</w:t>
      </w:r>
      <w:r>
        <w:t xml:space="preserve"> </w:t>
      </w:r>
      <w:r>
        <w:t xml:space="preserve">The Geant4 Application Developer Guide documents</w:t>
      </w:r>
      <w:r>
        <w:t xml:space="preserve"> </w:t>
      </w:r>
      <w:r>
        <w:rPr>
          <w:rStyle w:val="VerbatimChar"/>
        </w:rPr>
        <w:t xml:space="preserve">G4PVParameterised</w:t>
      </w:r>
      <w:r>
        <w:t xml:space="preserve"> </w:t>
      </w:r>
      <w:r>
        <w:t xml:space="preserve">and</w:t>
      </w:r>
      <w:r>
        <w:t xml:space="preserve"> </w:t>
      </w:r>
      <w:r>
        <w:rPr>
          <w:rStyle w:val="VerbatimChar"/>
        </w:rPr>
        <w:t xml:space="preserve">G4MultiUnion</w:t>
      </w:r>
      <w:r>
        <w:t xml:space="preserve"> </w:t>
      </w:r>
      <w:r>
        <w:t xml:space="preserve">as standard constructs, but the practical scaling of runtime, memory, and geometry-construction time for radiation-shielding-relevant nanoparticle counts has not been mapped. Practitioners frequently assume that</w:t>
      </w:r>
      <w:r>
        <w:t xml:space="preserve"> </w:t>
      </w:r>
      <w:r>
        <w:t xml:space="preserve">“Geant4 can do it”</w:t>
      </w:r>
      <w:r>
        <w:t xml:space="preserve"> </w:t>
      </w:r>
      <w:r>
        <w:t xml:space="preserve">without quantifying when it cannot.</w:t>
      </w:r>
    </w:p>
    <w:p>
      <w:pPr>
        <w:pStyle w:val="Compact"/>
        <w:numPr>
          <w:ilvl w:val="0"/>
          <w:numId w:val="1001"/>
        </w:numPr>
      </w:pPr>
      <w:r>
        <w:rPr>
          <w:b/>
          <w:bCs/>
        </w:rPr>
        <w:t xml:space="preserve">Production-grade methodology.</w:t>
      </w:r>
      <w:r>
        <w:t xml:space="preserve"> </w:t>
      </w:r>
      <w:r>
        <w:t xml:space="preserve">Existing nanoparticle-resolved Geant4 studies are concentrated in the nano-radiosensitisation/Geant4-DNA community [8,9,10], where the physical scale is sub-cellular and the particle counts are tractable. There is no published bridge between that microscopic methodology and the macroscopic shielding-engineering use case, where a representative volume element (RVE) approach is the only physically and computationally viable path.</w:t>
      </w:r>
    </w:p>
    <w:bookmarkEnd w:id="11"/>
    <w:bookmarkStart w:id="12" w:name="contribution-and-hypothesis"/>
    <w:p>
      <w:pPr>
        <w:pStyle w:val="Heading3"/>
      </w:pPr>
      <w:r>
        <w:t xml:space="preserve">1.3 Contribution and hypothesis</w:t>
      </w:r>
    </w:p>
    <w:p>
      <w:pPr>
        <w:pStyle w:val="FirstParagraph"/>
      </w:pPr>
      <w:r>
        <w:t xml:space="preserve">This paper contributes (i) a controlled three-regime benchmark for nanocomposite shielding in Geant4; (ii) a quantitative test of the effective-medium hypothesis against explicit nanoparticle geometry over a diagnostically relevant energy range; (iii) an open, reproducible benchmark harness released with ShieldLab G4 v1.1.</w:t>
      </w:r>
    </w:p>
    <w:p>
      <w:pPr>
        <w:pStyle w:val="BodyText"/>
      </w:pPr>
      <w:r>
        <w:rPr>
          <w:b/>
          <w:bCs/>
        </w:rPr>
        <w:t xml:space="preserve">Hypothesis (H1).</w:t>
      </w:r>
      <w:r>
        <w:t xml:space="preserve"> </w:t>
      </w:r>
      <w:r>
        <w:t xml:space="preserve">For photon energies where the photon mean free path greatly exceeds the nanoparticle radius (</w:t>
      </w:r>
      <m:oMath>
        <m:r>
          <m:t>μ</m:t>
        </m:r>
        <m:r>
          <m:t>r</m:t>
        </m:r>
        <m:r>
          <m:rPr>
            <m:sty m:val="p"/>
          </m:rPr>
          <m:t>≪</m:t>
        </m:r>
        <m:r>
          <m:t>1</m:t>
        </m:r>
      </m:oMath>
      <w:r>
        <w:t xml:space="preserve">, i.e.,</w:t>
      </w:r>
      <w:r>
        <w:t xml:space="preserve"> </w:t>
      </w:r>
      <m:oMath>
        <m:r>
          <m:t>r</m:t>
        </m:r>
        <m:r>
          <m:rPr>
            <m:sty m:val="p"/>
          </m:rPr>
          <m:t>≪</m:t>
        </m:r>
        <m:r>
          <m:t>1</m:t>
        </m:r>
        <m:r>
          <m:rPr>
            <m:sty m:val="p"/>
          </m:rPr>
          <m:t>/</m:t>
        </m:r>
        <m:r>
          <m:t>μ</m:t>
        </m:r>
      </m:oMath>
      <w:r>
        <w:t xml:space="preserve">), the transmitted fluence through the same material composition is independent of the choice of regime A, B, or C within the statistical uncertainty of</w:t>
      </w:r>
      <w:r>
        <w:t xml:space="preserve"> </w:t>
      </w:r>
      <m:oMath>
        <m:sSup>
          <m:e>
            <m:r>
              <m:t>10</m:t>
            </m:r>
          </m:e>
          <m:sup>
            <m:r>
              <m:t>6</m:t>
            </m:r>
          </m:sup>
        </m:sSup>
      </m:oMath>
      <w:r>
        <w:t xml:space="preserve">–</w:t>
      </w:r>
      <m:oMath>
        <m:sSup>
          <m:e>
            <m:r>
              <m:t>10</m:t>
            </m:r>
          </m:e>
          <m:sup>
            <m:r>
              <m:t>7</m:t>
            </m:r>
          </m:sup>
        </m:sSup>
      </m:oMath>
      <w:r>
        <w:t xml:space="preserve">-history Geant4 runs, provided composition, density, and scoring are matched.</w:t>
      </w:r>
    </w:p>
    <w:p>
      <w:pPr>
        <w:pStyle w:val="BodyText"/>
      </w:pPr>
      <w:r>
        <w:rPr>
          <w:b/>
          <w:bCs/>
        </w:rPr>
        <w:t xml:space="preserve">Hypothesis (H2).</w:t>
      </w:r>
      <w:r>
        <w:t xml:space="preserve"> </w:t>
      </w:r>
      <w:r>
        <w:t xml:space="preserve">For photon energies</w:t>
      </w:r>
      <w:r>
        <w:t xml:space="preserve"> </w:t>
      </w:r>
      <m:oMath>
        <m:r>
          <m:t>E</m:t>
        </m:r>
        <m:r>
          <m:rPr>
            <m:sty m:val="p"/>
          </m:rPr>
          <m:t>≲</m:t>
        </m:r>
        <m:r>
          <m:t>100</m:t>
        </m:r>
      </m:oMath>
      <w:r>
        <w:t xml:space="preserve"> </w:t>
      </w:r>
      <w:r>
        <w:t xml:space="preserve">keV with high-Z fillers (Bi₂O₃), the radial dose-enhancement profile around individual particles carries spatial structure that the effective-medium regime cannot reproduce.</w:t>
      </w:r>
    </w:p>
    <w:p>
      <w:pPr>
        <w:pStyle w:val="BodyText"/>
      </w:pPr>
      <w:r>
        <w:t xml:space="preserve">Each hypothesis is operationalised as a numeric acceptance criterion in §4.5.</w:t>
      </w:r>
    </w:p>
    <w:p>
      <w:r>
        <w:pict>
          <v:rect style="width:0;height:1.5pt" o:hralign="center" o:hrstd="t" o:hr="t"/>
        </w:pict>
      </w:r>
    </w:p>
    <w:bookmarkEnd w:id="12"/>
    <w:bookmarkEnd w:id="13"/>
    <w:bookmarkStart w:id="17" w:name="theoretical-basis"/>
    <w:p>
      <w:pPr>
        <w:pStyle w:val="Heading2"/>
      </w:pPr>
      <w:r>
        <w:t xml:space="preserve">2. Theoretical Basis</w:t>
      </w:r>
    </w:p>
    <w:bookmarkStart w:id="14" w:name="Xee16f89f5ebd92e0f7f0e6dfdd684a5a5a8f193"/>
    <w:p>
      <w:pPr>
        <w:pStyle w:val="Heading3"/>
      </w:pPr>
      <w:r>
        <w:t xml:space="preserve">2.1 When homogenisation is exact, when it is approximate, and when it fails</w:t>
      </w:r>
    </w:p>
    <w:p>
      <w:pPr>
        <w:pStyle w:val="FirstParagraph"/>
      </w:pPr>
      <w:r>
        <w:t xml:space="preserve">The mass-fraction additivity rule for the mass attenuation coefficient,</w:t>
      </w:r>
    </w:p>
    <w:p>
      <w:pPr>
        <w:pStyle w:val="BodyText"/>
      </w:pPr>
      <m:oMathPara>
        <m:oMathParaPr>
          <m:jc m:val="center"/>
        </m:oMathParaPr>
        <m:oMath>
          <m:sSub>
            <m:e>
              <m:d>
                <m:dPr>
                  <m:begChr m:val="("/>
                  <m:sepChr m:val=""/>
                  <m:endChr m:val=")"/>
                  <m:grow/>
                </m:dPr>
                <m:e>
                  <m:f>
                    <m:fPr>
                      <m:type m:val="bar"/>
                    </m:fPr>
                    <m:num>
                      <m:r>
                        <m:t>μ</m:t>
                      </m:r>
                    </m:num>
                    <m:den>
                      <m:r>
                        <m:t>ρ</m:t>
                      </m:r>
                    </m:den>
                  </m:f>
                </m:e>
              </m:d>
            </m:e>
            <m:sub>
              <m:r>
                <m:rPr>
                  <m:nor/>
                  <m:sty m:val="p"/>
                </m:rPr>
                <m:t>mix</m:t>
              </m:r>
            </m:sub>
          </m:sSub>
          <m:r>
            <m:rPr>
              <m:sty m:val="p"/>
            </m:rPr>
            <m:t>(</m:t>
          </m:r>
          <m:r>
            <m:t>E</m:t>
          </m:r>
          <m:r>
            <m:rPr>
              <m:sty m:val="p"/>
            </m:rPr>
            <m:t>)</m:t>
          </m:r>
          <m:r>
            <m:rPr>
              <m:sty m:val="p"/>
            </m:rPr>
            <m:t>=</m:t>
          </m:r>
          <m:nary>
            <m:naryPr>
              <m:chr m:val="∑"/>
              <m:limLoc m:val="undOvr"/>
              <m:subHide m:val="off"/>
              <m:supHide m:val="on"/>
            </m:naryPr>
            <m:sub>
              <m:r>
                <m:t>i</m:t>
              </m:r>
            </m:sub>
            <m:sup>
              <m:r>
                <m:t>​</m:t>
              </m:r>
            </m:sup>
            <m:e>
              <m:sSub>
                <m:e>
                  <m:r>
                    <m:t>w</m:t>
                  </m:r>
                </m:e>
                <m:sub>
                  <m:r>
                    <m:t>i</m:t>
                  </m:r>
                </m:sub>
              </m:sSub>
            </m:e>
          </m:nary>
          <m:sSub>
            <m:e>
              <m:d>
                <m:dPr>
                  <m:begChr m:val="("/>
                  <m:sepChr m:val=""/>
                  <m:endChr m:val=")"/>
                  <m:grow/>
                </m:dPr>
                <m:e>
                  <m:f>
                    <m:fPr>
                      <m:type m:val="bar"/>
                    </m:fPr>
                    <m:num>
                      <m:r>
                        <m:t>μ</m:t>
                      </m:r>
                    </m:num>
                    <m:den>
                      <m:r>
                        <m:t>ρ</m:t>
                      </m:r>
                    </m:den>
                  </m:f>
                </m:e>
              </m:d>
            </m:e>
            <m:sub>
              <m:r>
                <m:t>i</m:t>
              </m:r>
            </m:sub>
          </m:sSub>
          <m:r>
            <m:rPr>
              <m:sty m:val="p"/>
            </m:rPr>
            <m:t>(</m:t>
          </m:r>
          <m:r>
            <m:t>E</m:t>
          </m:r>
          <m:r>
            <m:rPr>
              <m:sty m:val="p"/>
            </m:rPr>
            <m:t>)</m:t>
          </m:r>
          <m:r>
            <m:rPr>
              <m:sty m:val="p"/>
            </m:rPr>
            <m:t>,</m:t>
          </m:r>
        </m:oMath>
      </m:oMathPara>
    </w:p>
    <w:p>
      <w:pPr>
        <w:pStyle w:val="FirstParagraph"/>
      </w:pPr>
      <w:r>
        <w:t xml:space="preserve">is</w:t>
      </w:r>
      <w:r>
        <w:t xml:space="preserve"> </w:t>
      </w:r>
      <w:r>
        <w:rPr>
          <w:i/>
          <w:iCs/>
        </w:rPr>
        <w:t xml:space="preserve">exact</w:t>
      </w:r>
      <w:r>
        <w:t xml:space="preserve"> </w:t>
      </w:r>
      <w:r>
        <w:t xml:space="preserve">under the independent-atom approximation and the assumption that the photon interaction probability per unit mass is independent of the geometric distribution of atoms within the irradiated mass. This holds when:</w:t>
      </w:r>
    </w:p>
    <w:p>
      <w:pPr>
        <w:pStyle w:val="Compact"/>
        <w:numPr>
          <w:ilvl w:val="0"/>
          <w:numId w:val="1002"/>
        </w:numPr>
      </w:pPr>
      <w:r>
        <w:t xml:space="preserve">The photon de Broglie wavelength is small compared with inter-atomic spacing (true for all</w:t>
      </w:r>
      <w:r>
        <w:t xml:space="preserve"> </w:t>
      </w:r>
      <m:oMath>
        <m:r>
          <m:t>E</m:t>
        </m:r>
        <m:r>
          <m:rPr>
            <m:sty m:val="p"/>
          </m:rPr>
          <m:t>&gt;</m:t>
        </m:r>
        <m:r>
          <m:t>1</m:t>
        </m:r>
      </m:oMath>
      <w:r>
        <w:t xml:space="preserve"> </w:t>
      </w:r>
      <w:r>
        <w:t xml:space="preserve">keV considered here).</w:t>
      </w:r>
    </w:p>
    <w:p>
      <w:pPr>
        <w:pStyle w:val="Compact"/>
        <w:numPr>
          <w:ilvl w:val="0"/>
          <w:numId w:val="1002"/>
        </w:numPr>
      </w:pPr>
      <w:r>
        <w:t xml:space="preserve">Coherent (Rayleigh) inter-particle interference is negligible (true above ~10 keV for amorphous nanocomposites).</w:t>
      </w:r>
    </w:p>
    <w:p>
      <w:pPr>
        <w:pStyle w:val="Compact"/>
        <w:numPr>
          <w:ilvl w:val="0"/>
          <w:numId w:val="1002"/>
        </w:numPr>
      </w:pPr>
      <w:r>
        <w:t xml:space="preserve">The penetration depth is large compared with any heterogeneity length scale (the</w:t>
      </w:r>
      <w:r>
        <w:t xml:space="preserve"> </w:t>
      </w:r>
      <w:r>
        <w:rPr>
          <w:i/>
          <w:iCs/>
        </w:rPr>
        <w:t xml:space="preserve">macroscopic-homogenisation condition</w:t>
      </w:r>
      <w:r>
        <w:t xml:space="preserve">).</w:t>
      </w:r>
    </w:p>
    <w:p>
      <w:pPr>
        <w:pStyle w:val="FirstParagraph"/>
      </w:pPr>
      <w:r>
        <w:t xml:space="preserve">The third condition is the one that fails first for nanocomposites under low-energy, high-Z conditions.</w:t>
      </w:r>
    </w:p>
    <w:bookmarkEnd w:id="14"/>
    <w:bookmarkStart w:id="15" w:name="effective-density"/>
    <w:p>
      <w:pPr>
        <w:pStyle w:val="Heading3"/>
      </w:pPr>
      <w:r>
        <w:t xml:space="preserve">2.2 Effective density</w:t>
      </w:r>
    </w:p>
    <w:p>
      <w:pPr>
        <w:pStyle w:val="FirstParagraph"/>
      </w:pPr>
      <w:r>
        <w:t xml:space="preserve">Geant4 requires density. All regimes in this paper use the same input density, computed from the volume-fraction rule of mixtures. Given filler volume fraction</w:t>
      </w:r>
      <w:r>
        <w:t xml:space="preserve"> </w:t>
      </w:r>
      <m:oMath>
        <m:sSub>
          <m:e>
            <m:r>
              <m:t>ϕ</m:t>
            </m:r>
          </m:e>
          <m:sub>
            <m:r>
              <m:t>f</m:t>
            </m:r>
          </m:sub>
        </m:sSub>
      </m:oMath>
      <w:r>
        <w:t xml:space="preserve">:</w:t>
      </w:r>
    </w:p>
    <w:p>
      <w:pPr>
        <w:pStyle w:val="BodyText"/>
      </w:pPr>
      <m:oMathPara>
        <m:oMathParaPr>
          <m:jc m:val="center"/>
        </m:oMathParaPr>
        <m:oMath>
          <m:sSub>
            <m:e>
              <m:r>
                <m:t>ρ</m:t>
              </m:r>
            </m:e>
            <m:sub>
              <m:r>
                <m:rPr>
                  <m:nor/>
                  <m:sty m:val="p"/>
                </m:rPr>
                <m:t>eff</m:t>
              </m:r>
            </m:sub>
          </m:sSub>
          <m:r>
            <m:rPr>
              <m:sty m:val="p"/>
            </m:rPr>
            <m:t>=</m:t>
          </m:r>
          <m:sSub>
            <m:e>
              <m:r>
                <m:t>ϕ</m:t>
              </m:r>
            </m:e>
            <m:sub>
              <m:r>
                <m:t>f</m:t>
              </m:r>
            </m:sub>
          </m:sSub>
          <m:sSub>
            <m:e>
              <m:r>
                <m:t>ρ</m:t>
              </m:r>
            </m:e>
            <m:sub>
              <m:r>
                <m:t>f</m:t>
              </m:r>
            </m:sub>
          </m:sSub>
          <m:r>
            <m:rPr>
              <m:sty m:val="p"/>
            </m:rPr>
            <m:t>+</m:t>
          </m:r>
          <m:r>
            <m:rPr>
              <m:sty m:val="p"/>
            </m:rPr>
            <m:t>(</m:t>
          </m:r>
          <m:r>
            <m:t>1</m:t>
          </m:r>
          <m:r>
            <m:rPr>
              <m:sty m:val="p"/>
            </m:rPr>
            <m:t>−</m:t>
          </m:r>
          <m:sSub>
            <m:e>
              <m:r>
                <m:t>ϕ</m:t>
              </m:r>
            </m:e>
            <m:sub>
              <m:r>
                <m:t>f</m:t>
              </m:r>
            </m:sub>
          </m:sSub>
          <m:r>
            <m:rPr>
              <m:sty m:val="p"/>
            </m:rPr>
            <m:t>)</m:t>
          </m:r>
          <m:sSub>
            <m:e>
              <m:r>
                <m:t>ρ</m:t>
              </m:r>
            </m:e>
            <m:sub>
              <m:r>
                <m:t>m</m:t>
              </m:r>
            </m:sub>
          </m:sSub>
        </m:oMath>
      </m:oMathPara>
    </w:p>
    <w:p>
      <w:pPr>
        <w:pStyle w:val="FirstParagraph"/>
      </w:pPr>
      <w:r>
        <w:t xml:space="preserve">with</w:t>
      </w:r>
      <w:r>
        <w:t xml:space="preserve"> </w:t>
      </w:r>
      <m:oMath>
        <m:sSub>
          <m:e>
            <m:r>
              <m:t>ρ</m:t>
            </m:r>
          </m:e>
          <m:sub>
            <m:r>
              <m:t>m</m:t>
            </m:r>
          </m:sub>
        </m:sSub>
        <m:r>
          <m:rPr>
            <m:sty m:val="p"/>
          </m:rPr>
          <m:t>=</m:t>
        </m:r>
        <m:r>
          <m:t>0.95</m:t>
        </m:r>
      </m:oMath>
      <w:r>
        <w:t xml:space="preserve"> </w:t>
      </w:r>
      <w:r>
        <w:t xml:space="preserve">g cm</w:t>
      </w:r>
      <m:oMath>
        <m:sSup>
          <m:e>
            <m:r>
              <m:t>​</m:t>
            </m:r>
          </m:e>
          <m:sup>
            <m:r>
              <m:rPr>
                <m:sty m:val="p"/>
              </m:rPr>
              <m:t>−</m:t>
            </m:r>
            <m:r>
              <m:t>3</m:t>
            </m:r>
          </m:sup>
        </m:sSup>
      </m:oMath>
      <w:r>
        <w:t xml:space="preserve"> </w:t>
      </w:r>
      <w:r>
        <w:t xml:space="preserve">(HDPE) and</w:t>
      </w:r>
      <w:r>
        <w:t xml:space="preserve"> </w:t>
      </w:r>
      <m:oMath>
        <m:sSub>
          <m:e>
            <m:r>
              <m:t>ρ</m:t>
            </m:r>
          </m:e>
          <m:sub>
            <m:r>
              <m:t>f</m:t>
            </m:r>
          </m:sub>
        </m:sSub>
        <m:r>
          <m:rPr>
            <m:sty m:val="p"/>
          </m:rPr>
          <m:t>=</m:t>
        </m:r>
        <m:r>
          <m:t>8.9</m:t>
        </m:r>
      </m:oMath>
      <w:r>
        <w:t xml:space="preserve"> </w:t>
      </w:r>
      <w:r>
        <w:t xml:space="preserve">g cm</w:t>
      </w:r>
      <m:oMath>
        <m:sSup>
          <m:e>
            <m:r>
              <m:t>​</m:t>
            </m:r>
          </m:e>
          <m:sup>
            <m:r>
              <m:rPr>
                <m:sty m:val="p"/>
              </m:rPr>
              <m:t>−</m:t>
            </m:r>
            <m:r>
              <m:t>3</m:t>
            </m:r>
          </m:sup>
        </m:sSup>
      </m:oMath>
      <w:r>
        <w:t xml:space="preserve"> </w:t>
      </w:r>
      <w:r>
        <w:t xml:space="preserve">(Bi₂O₃). For the target composite density</w:t>
      </w:r>
      <w:r>
        <w:t xml:space="preserve"> </w:t>
      </w:r>
      <m:oMath>
        <m:sSub>
          <m:e>
            <m:r>
              <m:t>ρ</m:t>
            </m:r>
          </m:e>
          <m:sub>
            <m:r>
              <m:rPr>
                <m:nor/>
                <m:sty m:val="p"/>
              </m:rPr>
              <m:t>eff</m:t>
            </m:r>
          </m:sub>
        </m:sSub>
        <m:r>
          <m:rPr>
            <m:sty m:val="p"/>
          </m:rPr>
          <m:t>=</m:t>
        </m:r>
        <m:r>
          <m:t>2.45</m:t>
        </m:r>
      </m:oMath>
      <w:r>
        <w:t xml:space="preserve"> </w:t>
      </w:r>
      <w:r>
        <w:t xml:space="preserve">g cm</w:t>
      </w:r>
      <m:oMath>
        <m:sSup>
          <m:e>
            <m:r>
              <m:t>​</m:t>
            </m:r>
          </m:e>
          <m:sup>
            <m:r>
              <m:rPr>
                <m:sty m:val="p"/>
              </m:rPr>
              <m:t>−</m:t>
            </m:r>
            <m:r>
              <m:t>3</m:t>
            </m:r>
          </m:sup>
        </m:sSup>
      </m:oMath>
      <w:r>
        <w:t xml:space="preserve">, the filler volume fraction derived from the linear mixture rule is</w:t>
      </w:r>
    </w:p>
    <w:p>
      <w:pPr>
        <w:pStyle w:val="BodyText"/>
      </w:pPr>
      <m:oMathPara>
        <m:oMathParaPr>
          <m:jc m:val="center"/>
        </m:oMathParaPr>
        <m:oMath>
          <m:sSub>
            <m:e>
              <m:r>
                <m:t>ϕ</m:t>
              </m:r>
            </m:e>
            <m:sub>
              <m:r>
                <m:t>f</m:t>
              </m:r>
            </m:sub>
          </m:sSub>
          <m:r>
            <m:rPr>
              <m:sty m:val="p"/>
            </m:rPr>
            <m:t>=</m:t>
          </m:r>
          <m:f>
            <m:fPr>
              <m:type m:val="bar"/>
            </m:fPr>
            <m:num>
              <m:sSub>
                <m:e>
                  <m:r>
                    <m:t>ρ</m:t>
                  </m:r>
                </m:e>
                <m:sub>
                  <m:r>
                    <m:rPr>
                      <m:nor/>
                      <m:sty m:val="p"/>
                    </m:rPr>
                    <m:t>eff</m:t>
                  </m:r>
                </m:sub>
              </m:sSub>
              <m:r>
                <m:rPr>
                  <m:sty m:val="p"/>
                </m:rPr>
                <m:t>−</m:t>
              </m:r>
              <m:sSub>
                <m:e>
                  <m:r>
                    <m:t>ρ</m:t>
                  </m:r>
                </m:e>
                <m:sub>
                  <m:r>
                    <m:t>m</m:t>
                  </m:r>
                </m:sub>
              </m:sSub>
            </m:num>
            <m:den>
              <m:sSub>
                <m:e>
                  <m:r>
                    <m:t>ρ</m:t>
                  </m:r>
                </m:e>
                <m:sub>
                  <m:r>
                    <m:t>f</m:t>
                  </m:r>
                </m:sub>
              </m:sSub>
              <m:r>
                <m:rPr>
                  <m:sty m:val="p"/>
                </m:rPr>
                <m:t>−</m:t>
              </m:r>
              <m:sSub>
                <m:e>
                  <m:r>
                    <m:t>ρ</m:t>
                  </m:r>
                </m:e>
                <m:sub>
                  <m:r>
                    <m:t>m</m:t>
                  </m:r>
                </m:sub>
              </m:sSub>
            </m:den>
          </m:f>
          <m:r>
            <m:rPr>
              <m:sty m:val="p"/>
            </m:rPr>
            <m:t>=</m:t>
          </m:r>
          <m:f>
            <m:fPr>
              <m:type m:val="bar"/>
            </m:fPr>
            <m:num>
              <m:r>
                <m:t>2.45</m:t>
              </m:r>
              <m:r>
                <m:rPr>
                  <m:sty m:val="p"/>
                </m:rPr>
                <m:t>−</m:t>
              </m:r>
              <m:r>
                <m:t>0.95</m:t>
              </m:r>
            </m:num>
            <m:den>
              <m:r>
                <m:t>8.9</m:t>
              </m:r>
              <m:r>
                <m:rPr>
                  <m:sty m:val="p"/>
                </m:rPr>
                <m:t>−</m:t>
              </m:r>
              <m:r>
                <m:t>0.95</m:t>
              </m:r>
            </m:den>
          </m:f>
          <m:r>
            <m:rPr>
              <m:sty m:val="p"/>
            </m:rPr>
            <m:t>=</m:t>
          </m:r>
          <m:r>
            <m:t>0.189</m:t>
          </m:r>
          <m:r>
            <m:rPr>
              <m:sty m:val="p"/>
            </m:rPr>
            <m:t>.</m:t>
          </m:r>
        </m:oMath>
      </m:oMathPara>
    </w:p>
    <w:p>
      <w:pPr>
        <w:pStyle w:val="FirstParagraph"/>
      </w:pPr>
      <w:r>
        <w:t xml:space="preserve">The corresponding filler</w:t>
      </w:r>
      <w:r>
        <w:t xml:space="preserve"> </w:t>
      </w:r>
      <w:r>
        <w:rPr>
          <w:b/>
          <w:bCs/>
        </w:rPr>
        <w:t xml:space="preserve">mass fraction</w:t>
      </w:r>
      <w:r>
        <w:t xml:space="preserve"> </w:t>
      </w:r>
      <w:r>
        <w:t xml:space="preserve">is</w:t>
      </w:r>
      <w:r>
        <w:t xml:space="preserve"> </w:t>
      </w:r>
      <m:oMath>
        <m:sSub>
          <m:e>
            <m:r>
              <m:t>w</m:t>
            </m:r>
          </m:e>
          <m:sub>
            <m:r>
              <m:t>f</m:t>
            </m:r>
          </m:sub>
        </m:sSub>
        <m:r>
          <m:rPr>
            <m:sty m:val="p"/>
          </m:rPr>
          <m:t>=</m:t>
        </m:r>
        <m:sSub>
          <m:e>
            <m:r>
              <m:t>ϕ</m:t>
            </m:r>
          </m:e>
          <m:sub>
            <m:r>
              <m:t>f</m:t>
            </m:r>
          </m:sub>
        </m:sSub>
        <m:sSub>
          <m:e>
            <m:r>
              <m:t>ρ</m:t>
            </m:r>
          </m:e>
          <m:sub>
            <m:r>
              <m:t>f</m:t>
            </m:r>
          </m:sub>
        </m:sSub>
        <m:r>
          <m:rPr>
            <m:sty m:val="p"/>
          </m:rPr>
          <m:t>/</m:t>
        </m:r>
        <m:sSub>
          <m:e>
            <m:r>
              <m:t>ρ</m:t>
            </m:r>
          </m:e>
          <m:sub>
            <m:r>
              <m:rPr>
                <m:nor/>
                <m:sty m:val="p"/>
              </m:rPr>
              <m:t>eff</m:t>
            </m:r>
          </m:sub>
        </m:sSub>
        <m:r>
          <m:rPr>
            <m:sty m:val="p"/>
          </m:rPr>
          <m:t>=</m:t>
        </m:r>
        <m:r>
          <m:t>0.189</m:t>
        </m:r>
        <m:r>
          <m:rPr>
            <m:sty m:val="p"/>
          </m:rPr>
          <m:t>×</m:t>
        </m:r>
        <m:r>
          <m:t>8.9</m:t>
        </m:r>
        <m:r>
          <m:rPr>
            <m:sty m:val="p"/>
          </m:rPr>
          <m:t>/</m:t>
        </m:r>
        <m:r>
          <m:t>2.45</m:t>
        </m:r>
        <m:r>
          <m:rPr>
            <m:sty m:val="p"/>
          </m:rPr>
          <m:t>=</m:t>
        </m:r>
        <m:r>
          <m:t>0.686</m:t>
        </m:r>
      </m:oMath>
      <w:r>
        <w:t xml:space="preserve"> </w:t>
      </w:r>
      <w:r>
        <w:t xml:space="preserve">(68.6 wt% Bi₂O₃). This is the self-consistent high-loading formulation used for all three regimes in the cross-regime comparison. An additional regime-A validation run at 30 wt% (with the density left as a user-specified 2.45 g cm</w:t>
      </w:r>
      <m:oMath>
        <m:sSup>
          <m:e>
            <m:r>
              <m:t>​</m:t>
            </m:r>
          </m:e>
          <m:sup>
            <m:r>
              <m:rPr>
                <m:sty m:val="p"/>
              </m:rPr>
              <m:t>−</m:t>
            </m:r>
            <m:r>
              <m:t>3</m:t>
            </m:r>
          </m:sup>
        </m:sSup>
      </m:oMath>
      <w:r>
        <w:t xml:space="preserve"> </w:t>
      </w:r>
      <w:r>
        <w:t xml:space="preserve">input) is also reported for XCOM verification of the emlivermore physics list independent of the density assignment.</w:t>
      </w:r>
    </w:p>
    <w:bookmarkEnd w:id="15"/>
    <w:bookmarkStart w:id="16" w:name="the-representative-volume-element"/>
    <w:p>
      <w:pPr>
        <w:pStyle w:val="Heading3"/>
      </w:pPr>
      <w:r>
        <w:t xml:space="preserve">2.3 The representative volume element</w:t>
      </w:r>
    </w:p>
    <w:p>
      <w:pPr>
        <w:pStyle w:val="FirstParagraph"/>
      </w:pPr>
      <w:r>
        <w:t xml:space="preserve">An RVE is the smallest cubic cell that statistically reproduces the bulk composite’s microstructure. For a random dispersion of monodisperse spheres of radius</w:t>
      </w:r>
      <w:r>
        <w:t xml:space="preserve"> </w:t>
      </w:r>
      <m:oMath>
        <m:r>
          <m:t>r</m:t>
        </m:r>
      </m:oMath>
      <w:r>
        <w:t xml:space="preserve"> </w:t>
      </w:r>
      <w:r>
        <w:t xml:space="preserve">at volume fraction</w:t>
      </w:r>
      <w:r>
        <w:t xml:space="preserve"> </w:t>
      </w:r>
      <m:oMath>
        <m:sSub>
          <m:e>
            <m:r>
              <m:t>ϕ</m:t>
            </m:r>
          </m:e>
          <m:sub>
            <m:r>
              <m:t>f</m:t>
            </m:r>
          </m:sub>
        </m:sSub>
      </m:oMath>
      <w:r>
        <w:t xml:space="preserve">, the mean inter-particle centre-to-centre distance is approximately</w:t>
      </w:r>
    </w:p>
    <w:p>
      <w:pPr>
        <w:pStyle w:val="BodyText"/>
      </w:pPr>
      <m:oMathPara>
        <m:oMathParaPr>
          <m:jc m:val="center"/>
        </m:oMathParaPr>
        <m:oMath>
          <m:acc>
            <m:accPr>
              <m:chr m:val="‾"/>
            </m:accPr>
            <m:e>
              <m:r>
                <m:t>d</m:t>
              </m:r>
            </m:e>
          </m:acc>
          <m:r>
            <m:rPr>
              <m:sty m:val="p"/>
            </m:rPr>
            <m:t>≈</m:t>
          </m:r>
          <m:r>
            <m:t>r</m:t>
          </m:r>
          <m:sSup>
            <m:e>
              <m:d>
                <m:dPr>
                  <m:begChr m:val="("/>
                  <m:sepChr m:val=""/>
                  <m:endChr m:val=")"/>
                  <m:grow/>
                </m:dPr>
                <m:e>
                  <m:f>
                    <m:fPr>
                      <m:type m:val="bar"/>
                    </m:fPr>
                    <m:num>
                      <m:r>
                        <m:t>4</m:t>
                      </m:r>
                      <m:r>
                        <m:t>π</m:t>
                      </m:r>
                    </m:num>
                    <m:den>
                      <m:r>
                        <m:t>3</m:t>
                      </m:r>
                      <m:sSub>
                        <m:e>
                          <m:r>
                            <m:t>ϕ</m:t>
                          </m:r>
                        </m:e>
                        <m:sub>
                          <m:r>
                            <m:t>f</m:t>
                          </m:r>
                        </m:sub>
                      </m:sSub>
                    </m:den>
                  </m:f>
                </m:e>
              </m:d>
            </m:e>
            <m:sup>
              <m:r>
                <m:t>1</m:t>
              </m:r>
              <m:r>
                <m:rPr>
                  <m:sty m:val="p"/>
                </m:rPr>
                <m:t>/</m:t>
              </m:r>
              <m:r>
                <m:t>3</m:t>
              </m:r>
            </m:sup>
          </m:sSup>
          <m:r>
            <m:rPr>
              <m:sty m:val="p"/>
            </m:rPr>
            <m:t>.</m:t>
          </m:r>
        </m:oMath>
      </m:oMathPara>
    </w:p>
    <w:p>
      <w:pPr>
        <w:pStyle w:val="FirstParagraph"/>
      </w:pPr>
      <w:r>
        <w:t xml:space="preserve">A practical RVE side length is</w:t>
      </w:r>
      <w:r>
        <w:t xml:space="preserve"> </w:t>
      </w:r>
      <m:oMath>
        <m:sSub>
          <m:e>
            <m:r>
              <m:t>L</m:t>
            </m:r>
          </m:e>
          <m:sub>
            <m:r>
              <m:rPr>
                <m:nor/>
                <m:sty m:val="p"/>
              </m:rPr>
              <m:t>RVE</m:t>
            </m:r>
          </m:sub>
        </m:sSub>
        <m:r>
          <m:rPr>
            <m:sty m:val="p"/>
          </m:rPr>
          <m:t>≳</m:t>
        </m:r>
        <m:r>
          <m:t>5</m:t>
        </m:r>
        <m:acc>
          <m:accPr>
            <m:chr m:val="‾"/>
          </m:accPr>
          <m:e>
            <m:r>
              <m:t>d</m:t>
            </m:r>
          </m:e>
        </m:acc>
      </m:oMath>
      <w:r>
        <w:t xml:space="preserve">. For</w:t>
      </w:r>
      <w:r>
        <w:t xml:space="preserve"> </w:t>
      </w:r>
      <m:oMath>
        <m:r>
          <m:t>r</m:t>
        </m:r>
        <m:r>
          <m:rPr>
            <m:sty m:val="p"/>
          </m:rPr>
          <m:t>=</m:t>
        </m:r>
        <m:r>
          <m:t>25</m:t>
        </m:r>
      </m:oMath>
      <w:r>
        <w:t xml:space="preserve"> </w:t>
      </w:r>
      <w:r>
        <w:t xml:space="preserve">nm and</w:t>
      </w:r>
      <w:r>
        <w:t xml:space="preserve"> </w:t>
      </w:r>
      <m:oMath>
        <m:sSub>
          <m:e>
            <m:r>
              <m:t>ϕ</m:t>
            </m:r>
          </m:e>
          <m:sub>
            <m:r>
              <m:t>f</m:t>
            </m:r>
          </m:sub>
        </m:sSub>
        <m:r>
          <m:rPr>
            <m:sty m:val="p"/>
          </m:rPr>
          <m:t>=</m:t>
        </m:r>
        <m:r>
          <m:t>0.189</m:t>
        </m:r>
      </m:oMath>
      <w:r>
        <w:t xml:space="preserve">,</w:t>
      </w:r>
      <w:r>
        <w:t xml:space="preserve"> </w:t>
      </w:r>
      <m:oMath>
        <m:acc>
          <m:accPr>
            <m:chr m:val="‾"/>
          </m:accPr>
          <m:e>
            <m:r>
              <m:t>d</m:t>
            </m:r>
          </m:e>
        </m:acc>
        <m:r>
          <m:rPr>
            <m:sty m:val="p"/>
          </m:rPr>
          <m:t>≈</m:t>
        </m:r>
        <m:r>
          <m:t>42</m:t>
        </m:r>
      </m:oMath>
      <w:r>
        <w:t xml:space="preserve"> </w:t>
      </w:r>
      <w:r>
        <w:t xml:space="preserve">nm, so</w:t>
      </w:r>
      <w:r>
        <w:t xml:space="preserve"> </w:t>
      </w:r>
      <m:oMath>
        <m:sSub>
          <m:e>
            <m:r>
              <m:t>L</m:t>
            </m:r>
          </m:e>
          <m:sub>
            <m:r>
              <m:rPr>
                <m:nor/>
                <m:sty m:val="p"/>
              </m:rPr>
              <m:t>RVE</m:t>
            </m:r>
          </m:sub>
        </m:sSub>
        <m:r>
          <m:rPr>
            <m:sty m:val="p"/>
          </m:rPr>
          <m:t>=</m:t>
        </m:r>
        <m:r>
          <m:t>1</m:t>
        </m:r>
      </m:oMath>
      <w:r>
        <w:t xml:space="preserve"> </w:t>
      </w:r>
      <w:r>
        <w:t xml:space="preserve">µm satisfies the criterion and contains approximately 2,889 non-overlapping spheres — tractable for Geant4.</w:t>
      </w:r>
    </w:p>
    <w:p>
      <w:r>
        <w:pict>
          <v:rect style="width:0;height:1.5pt" o:hralign="center" o:hrstd="t" o:hr="t"/>
        </w:pict>
      </w:r>
    </w:p>
    <w:bookmarkEnd w:id="16"/>
    <w:bookmarkEnd w:id="17"/>
    <w:bookmarkStart w:id="27" w:name="geant4-modelling-regimes"/>
    <w:p>
      <w:pPr>
        <w:pStyle w:val="Heading2"/>
      </w:pPr>
      <w:r>
        <w:t xml:space="preserve">3. Geant4 Modelling Regimes</w:t>
      </w:r>
    </w:p>
    <w:bookmarkStart w:id="21" w:name="regime-a-effective-medium-g4material"/>
    <w:p>
      <w:pPr>
        <w:pStyle w:val="Heading3"/>
      </w:pPr>
      <w:r>
        <w:t xml:space="preserve">3.1 Regime A — Effective-Medium</w:t>
      </w:r>
      <w:r>
        <w:t xml:space="preserve"> </w:t>
      </w:r>
      <w:r>
        <w:rPr>
          <w:rStyle w:val="VerbatimChar"/>
        </w:rPr>
        <w:t xml:space="preserve">G4Material</w:t>
      </w:r>
    </w:p>
    <w:p>
      <w:pPr>
        <w:pStyle w:val="FirstParagraph"/>
      </w:pPr>
      <w:r>
        <w:t xml:space="preserve">Implemented in</w:t>
      </w:r>
      <w:r>
        <w:t xml:space="preserve"> </w:t>
      </w:r>
      <w:r>
        <w:rPr>
          <w:rStyle w:val="VerbatimChar"/>
        </w:rPr>
        <w:t xml:space="preserve">MaterialRegistry::AddMassFractionMaterialCommand</w:t>
      </w:r>
      <w:r>
        <w:t xml:space="preserve"> </w:t>
      </w:r>
      <w:r>
        <w:t xml:space="preserve">in</w:t>
      </w:r>
      <w:r>
        <w:t xml:space="preserve"> </w:t>
      </w:r>
      <w:hyperlink r:id="rId18">
        <w:r>
          <w:rPr>
            <w:rStyle w:val="Hyperlink"/>
          </w:rPr>
          <w:t xml:space="preserve">src/MaterialRegistry.cc</w:t>
        </w:r>
      </w:hyperlink>
      <w:r>
        <w:t xml:space="preserve">. Compound formulae are expanded to elemental mass fractions using the analytical layer in</w:t>
      </w:r>
      <w:r>
        <w:t xml:space="preserve"> </w:t>
      </w:r>
      <w:hyperlink r:id="rId19">
        <w:r>
          <w:rPr>
            <w:rStyle w:val="Hyperlink"/>
          </w:rPr>
          <w:t xml:space="preserve">python/shieldlab/core/materials.py</w:t>
        </w:r>
      </w:hyperlink>
      <w:r>
        <w:t xml:space="preserve">, then a single</w:t>
      </w:r>
      <w:r>
        <w:t xml:space="preserve"> </w:t>
      </w:r>
      <w:r>
        <w:rPr>
          <w:rStyle w:val="VerbatimChar"/>
        </w:rPr>
        <w:t xml:space="preserve">G4Material</w:t>
      </w:r>
      <w:r>
        <w:t xml:space="preserve"> </w:t>
      </w:r>
      <w:r>
        <w:t xml:space="preserve">is constructed:</w:t>
      </w:r>
    </w:p>
    <w:p>
      <w:pPr>
        <w:pStyle w:val="SourceCode"/>
      </w:pPr>
      <w:r>
        <w:rPr>
          <w:rStyle w:val="KeywordTok"/>
        </w:rPr>
        <w:t xml:space="preserve">auto</w:t>
      </w:r>
      <w:r>
        <w:rPr>
          <w:rStyle w:val="OperatorTok"/>
        </w:rPr>
        <w:t xml:space="preserve">*</w:t>
      </w:r>
      <w:r>
        <w:rPr>
          <w:rStyle w:val="NormalTok"/>
        </w:rPr>
        <w:t xml:space="preserve"> mat </w:t>
      </w:r>
      <w:r>
        <w:rPr>
          <w:rStyle w:val="OperatorTok"/>
        </w:rPr>
        <w:t xml:space="preserve">=</w:t>
      </w:r>
      <w:r>
        <w:rPr>
          <w:rStyle w:val="NormalTok"/>
        </w:rPr>
        <w:t xml:space="preserve"> </w:t>
      </w:r>
      <w:r>
        <w:rPr>
          <w:rStyle w:val="KeywordTok"/>
        </w:rPr>
        <w:t xml:space="preserve">new</w:t>
      </w:r>
      <w:r>
        <w:rPr>
          <w:rStyle w:val="NormalTok"/>
        </w:rPr>
        <w:t xml:space="preserve"> G4Material</w:t>
      </w:r>
      <w:r>
        <w:rPr>
          <w:rStyle w:val="OperatorTok"/>
        </w:rPr>
        <w:t xml:space="preserve">(</w:t>
      </w:r>
      <w:r>
        <w:rPr>
          <w:rStyle w:val="NormalTok"/>
        </w:rPr>
        <w:t xml:space="preserve">name</w:t>
      </w:r>
      <w:r>
        <w:rPr>
          <w:rStyle w:val="OperatorTok"/>
        </w:rPr>
        <w:t xml:space="preserve">,</w:t>
      </w:r>
      <w:r>
        <w:rPr>
          <w:rStyle w:val="NormalTok"/>
        </w:rPr>
        <w:t xml:space="preserve"> rho_eff</w:t>
      </w:r>
      <w:r>
        <w:rPr>
          <w:rStyle w:val="OperatorTok"/>
        </w:rPr>
        <w:t xml:space="preserve">*</w:t>
      </w:r>
      <w:r>
        <w:rPr>
          <w:rStyle w:val="NormalTok"/>
        </w:rPr>
        <w:t xml:space="preserve">g</w:t>
      </w:r>
      <w:r>
        <w:rPr>
          <w:rStyle w:val="OperatorTok"/>
        </w:rPr>
        <w:t xml:space="preserve">/</w:t>
      </w:r>
      <w:r>
        <w:rPr>
          <w:rStyle w:val="NormalTok"/>
        </w:rPr>
        <w:t xml:space="preserve">cm3</w:t>
      </w:r>
      <w:r>
        <w:rPr>
          <w:rStyle w:val="OperatorTok"/>
        </w:rPr>
        <w:t xml:space="preserve">,</w:t>
      </w:r>
      <w:r>
        <w:rPr>
          <w:rStyle w:val="NormalTok"/>
        </w:rPr>
        <w:t xml:space="preserve"> nElements</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e </w:t>
      </w:r>
      <w:r>
        <w:rPr>
          <w:rStyle w:val="OperatorTok"/>
        </w:rPr>
        <w:t xml:space="preserve">:</w:t>
      </w:r>
      <w:r>
        <w:rPr>
          <w:rStyle w:val="NormalTok"/>
        </w:rPr>
        <w:t xml:space="preserve"> elements</w:t>
      </w:r>
      <w:r>
        <w:rPr>
          <w:rStyle w:val="OperatorTok"/>
        </w:rPr>
        <w:t xml:space="preserve">)</w:t>
      </w:r>
      <w:r>
        <w:rPr>
          <w:rStyle w:val="NormalTok"/>
        </w:rPr>
        <w:t xml:space="preserve"> mat</w:t>
      </w:r>
      <w:r>
        <w:rPr>
          <w:rStyle w:val="OperatorTok"/>
        </w:rPr>
        <w:t xml:space="preserve">-&gt;</w:t>
      </w:r>
      <w:r>
        <w:rPr>
          <w:rStyle w:val="NormalTok"/>
        </w:rPr>
        <w:t xml:space="preserve">AddElement</w:t>
      </w:r>
      <w:r>
        <w:rPr>
          <w:rStyle w:val="OperatorTok"/>
        </w:rPr>
        <w:t xml:space="preserve">(</w:t>
      </w:r>
      <w:r>
        <w:rPr>
          <w:rStyle w:val="NormalTok"/>
        </w:rPr>
        <w:t xml:space="preserve">nist</w:t>
      </w:r>
      <w:r>
        <w:rPr>
          <w:rStyle w:val="OperatorTok"/>
        </w:rPr>
        <w:t xml:space="preserve">-&gt;</w:t>
      </w:r>
      <w:r>
        <w:rPr>
          <w:rStyle w:val="NormalTok"/>
        </w:rPr>
        <w:t xml:space="preserve">FindOrBuildElement</w:t>
      </w:r>
      <w:r>
        <w:rPr>
          <w:rStyle w:val="OperatorTok"/>
        </w:rPr>
        <w:t xml:space="preserve">(</w:t>
      </w:r>
      <w:r>
        <w:rPr>
          <w:rStyle w:val="NormalTok"/>
        </w:rPr>
        <w:t xml:space="preserve">e</w:t>
      </w:r>
      <w:r>
        <w:rPr>
          <w:rStyle w:val="OperatorTok"/>
        </w:rPr>
        <w:t xml:space="preserve">.</w:t>
      </w:r>
      <w:r>
        <w:rPr>
          <w:rStyle w:val="NormalTok"/>
        </w:rPr>
        <w:t xml:space="preserve">symbol</w:t>
      </w:r>
      <w:r>
        <w:rPr>
          <w:rStyle w:val="OperatorTok"/>
        </w:rPr>
        <w:t xml:space="preserve">),</w:t>
      </w:r>
      <w:r>
        <w:rPr>
          <w:rStyle w:val="NormalTok"/>
        </w:rPr>
        <w:t xml:space="preserve"> e</w:t>
      </w:r>
      <w:r>
        <w:rPr>
          <w:rStyle w:val="OperatorTok"/>
        </w:rPr>
        <w:t xml:space="preserve">.</w:t>
      </w:r>
      <w:r>
        <w:rPr>
          <w:rStyle w:val="NormalTok"/>
        </w:rPr>
        <w:t xml:space="preserve">fraction</w:t>
      </w:r>
      <w:r>
        <w:rPr>
          <w:rStyle w:val="OperatorTok"/>
        </w:rPr>
        <w:t xml:space="preserve">);</w:t>
      </w:r>
    </w:p>
    <w:p>
      <w:pPr>
        <w:pStyle w:val="FirstParagraph"/>
      </w:pPr>
      <w:r>
        <w:t xml:space="preserve">A 1-D slab geometry is built in</w:t>
      </w:r>
      <w:r>
        <w:t xml:space="preserve"> </w:t>
      </w:r>
      <w:hyperlink r:id="rId20">
        <w:r>
          <w:rPr>
            <w:rStyle w:val="Hyperlink"/>
          </w:rPr>
          <w:t xml:space="preserve">src/DetectorConstruction.cc</w:t>
        </w:r>
      </w:hyperlink>
      <w:r>
        <w:t xml:space="preserve">. Per-energy slab thickness is selected so that transmission is</w:t>
      </w:r>
      <w:r>
        <w:t xml:space="preserve"> </w:t>
      </w:r>
      <m:oMath>
        <m:r>
          <m:t>T</m:t>
        </m:r>
        <m:r>
          <m:rPr>
            <m:sty m:val="p"/>
          </m:rPr>
          <m:t>≈</m:t>
        </m:r>
        <m:r>
          <m:t>0.65</m:t>
        </m:r>
      </m:oMath>
      <w:r>
        <w:t xml:space="preserve"> </w:t>
      </w:r>
      <w:r>
        <w:t xml:space="preserve">at every energy point, maximising the sensitivity of the direct transmission estimator</w:t>
      </w:r>
      <w:r>
        <w:t xml:space="preserve"> </w:t>
      </w:r>
      <m:oMath>
        <m:acc>
          <m:accPr>
            <m:chr m:val="̂"/>
          </m:accPr>
          <m:e>
            <m:r>
              <m:t>μ</m:t>
            </m:r>
          </m:e>
        </m:acc>
        <m:r>
          <m:rPr>
            <m:sty m:val="p"/>
          </m:rPr>
          <m:t>=</m:t>
        </m:r>
        <m:r>
          <m:rPr>
            <m:sty m:val="p"/>
          </m:rPr>
          <m:t>−</m:t>
        </m:r>
        <m:r>
          <m:rPr>
            <m:sty m:val="p"/>
          </m:rPr>
          <m:t>ln</m:t>
        </m:r>
        <m:r>
          <m:t>T</m:t>
        </m:r>
        <m:r>
          <m:rPr>
            <m:sty m:val="p"/>
          </m:rPr>
          <m:t>/</m:t>
        </m:r>
        <m:r>
          <m:t>t</m:t>
        </m:r>
      </m:oMath>
      <w:r>
        <w:t xml:space="preserve">.</w:t>
      </w:r>
    </w:p>
    <w:p>
      <w:pPr>
        <w:pStyle w:val="BodyText"/>
      </w:pPr>
      <w:r>
        <w:rPr>
          <w:b/>
          <w:bCs/>
        </w:rPr>
        <w:t xml:space="preserve">Cost class:</w:t>
      </w:r>
      <w:r>
        <w:t xml:space="preserve"> </w:t>
      </w:r>
      <w:r>
        <w:t xml:space="preserve">O(1) in particle count; identical to bulk-material runs.</w:t>
      </w:r>
    </w:p>
    <w:bookmarkEnd w:id="21"/>
    <w:bookmarkStart w:id="22" w:name="Xd05b7466c57e22c5a1eb9f3cad5f34542eed40b"/>
    <w:p>
      <w:pPr>
        <w:pStyle w:val="Heading3"/>
      </w:pPr>
      <w:r>
        <w:t xml:space="preserve">3.2 Regime B — Explicit Nanoparticles via</w:t>
      </w:r>
      <w:r>
        <w:t xml:space="preserve"> </w:t>
      </w:r>
      <w:r>
        <w:rPr>
          <w:rStyle w:val="VerbatimChar"/>
        </w:rPr>
        <w:t xml:space="preserve">G4PVParameterised</w:t>
      </w:r>
    </w:p>
    <w:p>
      <w:pPr>
        <w:pStyle w:val="FirstParagraph"/>
      </w:pPr>
      <w:r>
        <w:t xml:space="preserve">Class</w:t>
      </w:r>
      <w:r>
        <w:t xml:space="preserve"> </w:t>
      </w:r>
      <w:r>
        <w:rPr>
          <w:rStyle w:val="VerbatimChar"/>
        </w:rPr>
        <w:t xml:space="preserve">NanoParticleParameterisation : public G4VPVParameterisation</w:t>
      </w:r>
      <w:r>
        <w:t xml:space="preserve"> </w:t>
      </w:r>
      <w:r>
        <w:t xml:space="preserve">is implemented in</w:t>
      </w:r>
      <w:r>
        <w:t xml:space="preserve"> </w:t>
      </w:r>
      <w:r>
        <w:rPr>
          <w:rStyle w:val="VerbatimChar"/>
        </w:rPr>
        <w:t xml:space="preserve">include/NanoParticleParameterisation.hh</w:t>
      </w:r>
      <w:r>
        <w:t xml:space="preserve"> </w:t>
      </w:r>
      <w:r>
        <w:t xml:space="preserve">and</w:t>
      </w:r>
      <w:r>
        <w:t xml:space="preserve"> </w:t>
      </w:r>
      <w:r>
        <w:rPr>
          <w:rStyle w:val="VerbatimChar"/>
        </w:rPr>
        <w:t xml:space="preserve">src/NanoParticleParameterisation.cc</w:t>
      </w:r>
      <w:r>
        <w:t xml:space="preserve">. Particle positions are sampled by random sequential addition (RSA) with a hard-sphere exclusion radius of</w:t>
      </w:r>
      <w:r>
        <w:t xml:space="preserve"> </w:t>
      </w:r>
      <m:oMath>
        <m:r>
          <m:t>2</m:t>
        </m:r>
        <m:r>
          <m:t>r</m:t>
        </m:r>
      </m:oMath>
      <w:r>
        <w:t xml:space="preserve"> </w:t>
      </w:r>
      <w:r>
        <w:t xml:space="preserve">inside an RVE cube. The parameterisation is wrapped in a</w:t>
      </w:r>
      <w:r>
        <w:t xml:space="preserve"> </w:t>
      </w:r>
      <w:r>
        <w:rPr>
          <w:rStyle w:val="VerbatimChar"/>
        </w:rPr>
        <w:t xml:space="preserve">G4PVParameterised</w:t>
      </w:r>
      <w:r>
        <w:t xml:space="preserve"> </w:t>
      </w:r>
      <w:r>
        <w:t xml:space="preserve">placement inside a matrix host logical volume:</w:t>
      </w:r>
    </w:p>
    <w:p>
      <w:pPr>
        <w:pStyle w:val="SourceCode"/>
      </w:pPr>
      <w:r>
        <w:rPr>
          <w:rStyle w:val="KeywordTok"/>
        </w:rPr>
        <w:t xml:space="preserve">new</w:t>
      </w:r>
      <w:r>
        <w:rPr>
          <w:rStyle w:val="NormalTok"/>
        </w:rPr>
        <w:t xml:space="preserve"> G4PVParameterised</w:t>
      </w:r>
      <w:r>
        <w:rPr>
          <w:rStyle w:val="OperatorTok"/>
        </w:rPr>
        <w:t xml:space="preserve">(</w:t>
      </w:r>
      <w:r>
        <w:rPr>
          <w:rStyle w:val="StringTok"/>
        </w:rPr>
        <w:t xml:space="preserve">"NPParam"</w:t>
      </w:r>
      <w:r>
        <w:rPr>
          <w:rStyle w:val="OperatorTok"/>
        </w:rPr>
        <w:t xml:space="preserve">,</w:t>
      </w:r>
      <w:r>
        <w:rPr>
          <w:rStyle w:val="NormalTok"/>
        </w:rPr>
        <w:t xml:space="preserve"> npLogic</w:t>
      </w:r>
      <w:r>
        <w:rPr>
          <w:rStyle w:val="OperatorTok"/>
        </w:rPr>
        <w:t xml:space="preserve">,</w:t>
      </w:r>
      <w:r>
        <w:rPr>
          <w:rStyle w:val="NormalTok"/>
        </w:rPr>
        <w:t xml:space="preserve"> rveLogic</w:t>
      </w:r>
      <w:r>
        <w:rPr>
          <w:rStyle w:val="OperatorTok"/>
        </w:rPr>
        <w:t xml:space="preserve">,</w:t>
      </w:r>
      <w:r>
        <w:br/>
      </w:r>
      <w:r>
        <w:rPr>
          <w:rStyle w:val="NormalTok"/>
        </w:rPr>
        <w:t xml:space="preserve">                      kUndefined</w:t>
      </w:r>
      <w:r>
        <w:rPr>
          <w:rStyle w:val="OperatorTok"/>
        </w:rPr>
        <w:t xml:space="preserve">,</w:t>
      </w:r>
      <w:r>
        <w:rPr>
          <w:rStyle w:val="NormalTok"/>
        </w:rPr>
        <w:t xml:space="preserve"> N</w:t>
      </w:r>
      <w:r>
        <w:rPr>
          <w:rStyle w:val="OperatorTok"/>
        </w:rPr>
        <w:t xml:space="preserve">,</w:t>
      </w:r>
      <w:r>
        <w:rPr>
          <w:rStyle w:val="NormalTok"/>
        </w:rPr>
        <w:t xml:space="preserve"> param</w:t>
      </w:r>
      <w:r>
        <w:rPr>
          <w:rStyle w:val="OperatorTok"/>
        </w:rPr>
        <w:t xml:space="preserve">);</w:t>
      </w:r>
    </w:p>
    <w:p>
      <w:pPr>
        <w:pStyle w:val="FirstParagraph"/>
      </w:pPr>
      <w:r>
        <w:t xml:space="preserve">The</w:t>
      </w:r>
      <w:r>
        <w:t xml:space="preserve"> </w:t>
      </w:r>
      <w:r>
        <w:rPr>
          <w:rStyle w:val="VerbatimChar"/>
        </w:rPr>
        <w:t xml:space="preserve">ComputeTransformation</w:t>
      </w:r>
      <w:r>
        <w:t xml:space="preserve"> </w:t>
      </w:r>
      <w:r>
        <w:t xml:space="preserve">callback applies only a translation per copy; no rotation is needed for monodisperse spheres.</w:t>
      </w:r>
    </w:p>
    <w:p>
      <w:pPr>
        <w:pStyle w:val="BodyText"/>
      </w:pPr>
      <w:r>
        <w:rPr>
          <w:b/>
          <w:bCs/>
        </w:rPr>
        <w:t xml:space="preserve">RVE geometry parameters (this study):</w:t>
      </w:r>
      <w:r>
        <w:t xml:space="preserve"> </w:t>
      </w:r>
      <w:r>
        <w:t xml:space="preserve">side = 1 µm,</w:t>
      </w:r>
      <w:r>
        <w:t xml:space="preserve"> </w:t>
      </w:r>
      <m:oMath>
        <m:r>
          <m:t>r</m:t>
        </m:r>
        <m:r>
          <m:rPr>
            <m:sty m:val="p"/>
          </m:rPr>
          <m:t>=</m:t>
        </m:r>
        <m:r>
          <m:t>25</m:t>
        </m:r>
      </m:oMath>
      <w:r>
        <w:t xml:space="preserve"> </w:t>
      </w:r>
      <w:r>
        <w:t xml:space="preserve">nm,</w:t>
      </w:r>
      <w:r>
        <w:t xml:space="preserve"> </w:t>
      </w:r>
      <m:oMath>
        <m:sSub>
          <m:e>
            <m:r>
              <m:t>ϕ</m:t>
            </m:r>
          </m:e>
          <m:sub>
            <m:r>
              <m:t>f</m:t>
            </m:r>
          </m:sub>
        </m:sSub>
        <m:r>
          <m:rPr>
            <m:sty m:val="p"/>
          </m:rPr>
          <m:t>=</m:t>
        </m:r>
        <m:r>
          <m:t>0.189</m:t>
        </m:r>
      </m:oMath>
      <w:r>
        <w:t xml:space="preserve">, max particles = 3,500, RSA seed = 22,222. RSA placed</w:t>
      </w:r>
      <w:r>
        <w:t xml:space="preserve"> </w:t>
      </w:r>
      <w:r>
        <w:rPr>
          <w:b/>
          <w:bCs/>
        </w:rPr>
        <w:t xml:space="preserve">2,888 / 2,888</w:t>
      </w:r>
      <w:r>
        <w:t xml:space="preserve"> </w:t>
      </w:r>
      <w:r>
        <w:t xml:space="preserve">target spheres (achieved</w:t>
      </w:r>
      <w:r>
        <w:t xml:space="preserve"> </w:t>
      </w:r>
      <m:oMath>
        <m:sSub>
          <m:e>
            <m:r>
              <m:t>ϕ</m:t>
            </m:r>
          </m:e>
          <m:sub>
            <m:r>
              <m:t>f</m:t>
            </m:r>
          </m:sub>
        </m:sSub>
        <m:r>
          <m:rPr>
            <m:sty m:val="p"/>
          </m:rPr>
          <m:t>=</m:t>
        </m:r>
        <m:r>
          <m:t>0.1890</m:t>
        </m:r>
      </m:oMath>
      <w:r>
        <w:t xml:space="preserve">).</w:t>
      </w:r>
    </w:p>
    <w:p>
      <w:pPr>
        <w:pStyle w:val="BodyText"/>
      </w:pPr>
      <w:r>
        <w:rPr>
          <w:b/>
          <w:bCs/>
        </w:rPr>
        <w:t xml:space="preserve">Scoring and output:</w:t>
      </w:r>
      <w:r>
        <w:t xml:space="preserve"> </w:t>
      </w:r>
      <w:r>
        <w:t xml:space="preserve">The world and scoring infrastructure remain the same as regime A. The RVE host box acts as the</w:t>
      </w:r>
      <w:r>
        <w:t xml:space="preserve"> </w:t>
      </w:r>
      <w:r>
        <w:t xml:space="preserve">“slab”</w:t>
      </w:r>
      <w:r>
        <w:t xml:space="preserve">; transmission is scored at the world exit face (±L/2 in x).</w:t>
      </w:r>
      <w:r>
        <w:t xml:space="preserve"> </w:t>
      </w:r>
      <w:r>
        <w:rPr>
          <w:rStyle w:val="VerbatimChar"/>
        </w:rPr>
        <w:t xml:space="preserve">GetTotalThickness()</w:t>
      </w:r>
      <w:r>
        <w:t xml:space="preserve"> </w:t>
      </w:r>
      <w:r>
        <w:t xml:space="preserve">returns</w:t>
      </w:r>
      <w:r>
        <w:t xml:space="preserve"> </w:t>
      </w:r>
      <m:oMath>
        <m:sSub>
          <m:e>
            <m:r>
              <m:t>L</m:t>
            </m:r>
          </m:e>
          <m:sub>
            <m:r>
              <m:rPr>
                <m:nor/>
                <m:sty m:val="p"/>
              </m:rPr>
              <m:t>RVE</m:t>
            </m:r>
          </m:sub>
        </m:sSub>
      </m:oMath>
      <w:r>
        <w:t xml:space="preserve"> </w:t>
      </w:r>
      <w:r>
        <w:t xml:space="preserve">from the pseudo-layer record, so</w:t>
      </w:r>
      <w:r>
        <w:t xml:space="preserve"> </w:t>
      </w:r>
      <m:oMath>
        <m:acc>
          <m:accPr>
            <m:chr m:val="̂"/>
          </m:accPr>
          <m:e>
            <m:r>
              <m:t>μ</m:t>
            </m:r>
          </m:e>
        </m:acc>
        <m:r>
          <m:rPr>
            <m:sty m:val="p"/>
          </m:rPr>
          <m:t>=</m:t>
        </m:r>
        <m:r>
          <m:rPr>
            <m:sty m:val="p"/>
          </m:rPr>
          <m:t>−</m:t>
        </m:r>
        <m:r>
          <m:rPr>
            <m:sty m:val="p"/>
          </m:rPr>
          <m:t>ln</m:t>
        </m:r>
        <m:r>
          <m:t>T</m:t>
        </m:r>
        <m:r>
          <m:rPr>
            <m:sty m:val="p"/>
          </m:rPr>
          <m:t>/</m:t>
        </m:r>
        <m:sSub>
          <m:e>
            <m:r>
              <m:t>L</m:t>
            </m:r>
          </m:e>
          <m:sub>
            <m:r>
              <m:rPr>
                <m:nor/>
                <m:sty m:val="p"/>
              </m:rPr>
              <m:t>RVE</m:t>
            </m:r>
          </m:sub>
        </m:sSub>
      </m:oMath>
      <w:r>
        <w:t xml:space="preserve"> </w:t>
      </w:r>
      <w:r>
        <w:t xml:space="preserve">is computed identically to regime A.</w:t>
      </w:r>
    </w:p>
    <w:p>
      <w:pPr>
        <w:pStyle w:val="BodyText"/>
      </w:pPr>
      <w:r>
        <w:rPr>
          <w:b/>
          <w:bCs/>
        </w:rPr>
        <w:t xml:space="preserve">Cost class:</w:t>
      </w:r>
      <w:r>
        <w:t xml:space="preserve"> </w:t>
      </w:r>
      <w:r>
        <w:t xml:space="preserve">geometry navigation scales near-logarithmically with</w:t>
      </w:r>
      <w:r>
        <w:t xml:space="preserve"> </w:t>
      </w:r>
      <m:oMath>
        <m:r>
          <m:t>N</m:t>
        </m:r>
      </m:oMath>
      <w:r>
        <w:t xml:space="preserve"> </w:t>
      </w:r>
      <w:r>
        <w:t xml:space="preserve">thanks to voxelisation.</w:t>
      </w:r>
    </w:p>
    <w:bookmarkEnd w:id="22"/>
    <w:bookmarkStart w:id="26" w:name="regime-c-g4multiunion-cluster"/>
    <w:p>
      <w:pPr>
        <w:pStyle w:val="Heading3"/>
      </w:pPr>
      <w:r>
        <w:t xml:space="preserve">3.3 Regime C —</w:t>
      </w:r>
      <w:r>
        <w:t xml:space="preserve"> </w:t>
      </w:r>
      <w:r>
        <w:rPr>
          <w:rStyle w:val="VerbatimChar"/>
        </w:rPr>
        <w:t xml:space="preserve">G4MultiUnion</w:t>
      </w:r>
      <w:r>
        <w:t xml:space="preserve"> </w:t>
      </w:r>
      <w:r>
        <w:t xml:space="preserve">Cluster</w:t>
      </w:r>
    </w:p>
    <w:p>
      <w:pPr>
        <w:pStyle w:val="FirstParagraph"/>
      </w:pPr>
      <w:r>
        <w:t xml:space="preserve">The same RSA particle list (seeded with 33,333 for an independent draw) is assembled into a single</w:t>
      </w:r>
      <w:r>
        <w:t xml:space="preserve"> </w:t>
      </w:r>
      <w:r>
        <w:rPr>
          <w:rStyle w:val="VerbatimChar"/>
        </w:rPr>
        <w:t xml:space="preserve">G4MultiUnion</w:t>
      </w:r>
      <w:r>
        <w:t xml:space="preserve"> </w:t>
      </w:r>
      <w:r>
        <w:t xml:space="preserve">solid:</w:t>
      </w:r>
    </w:p>
    <w:p>
      <w:pPr>
        <w:pStyle w:val="SourceCode"/>
      </w:pPr>
      <w:r>
        <w:rPr>
          <w:rStyle w:val="KeywordTok"/>
        </w:rPr>
        <w:t xml:space="preserve">auto</w:t>
      </w:r>
      <w:r>
        <w:rPr>
          <w:rStyle w:val="OperatorTok"/>
        </w:rPr>
        <w:t xml:space="preserve">*</w:t>
      </w:r>
      <w:r>
        <w:rPr>
          <w:rStyle w:val="NormalTok"/>
        </w:rPr>
        <w:t xml:space="preserve"> fillerUnion </w:t>
      </w:r>
      <w:r>
        <w:rPr>
          <w:rStyle w:val="OperatorTok"/>
        </w:rPr>
        <w:t xml:space="preserve">=</w:t>
      </w:r>
      <w:r>
        <w:rPr>
          <w:rStyle w:val="NormalTok"/>
        </w:rPr>
        <w:t xml:space="preserve"> </w:t>
      </w:r>
      <w:r>
        <w:rPr>
          <w:rStyle w:val="KeywordTok"/>
        </w:rPr>
        <w:t xml:space="preserve">new</w:t>
      </w:r>
      <w:r>
        <w:rPr>
          <w:rStyle w:val="NormalTok"/>
        </w:rPr>
        <w:t xml:space="preserve"> G4MultiUnion</w:t>
      </w:r>
      <w:r>
        <w:rPr>
          <w:rStyle w:val="OperatorTok"/>
        </w:rPr>
        <w:t xml:space="preserve">(</w:t>
      </w:r>
      <w:r>
        <w:rPr>
          <w:rStyle w:val="StringTok"/>
        </w:rPr>
        <w:t xml:space="preserve">"FillerUnion"</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pos </w:t>
      </w:r>
      <w:r>
        <w:rPr>
          <w:rStyle w:val="OperatorTok"/>
        </w:rPr>
        <w:t xml:space="preserve">:</w:t>
      </w:r>
      <w:r>
        <w:rPr>
          <w:rStyle w:val="NormalTok"/>
        </w:rPr>
        <w:t xml:space="preserve"> positions</w:t>
      </w:r>
      <w:r>
        <w:rPr>
          <w:rStyle w:val="OperatorTok"/>
        </w:rPr>
        <w:t xml:space="preserve">)</w:t>
      </w:r>
      <w:r>
        <w:rPr>
          <w:rStyle w:val="NormalTok"/>
        </w:rPr>
        <w:t xml:space="preserve"> </w:t>
      </w:r>
      <w:r>
        <w:rPr>
          <w:rStyle w:val="OperatorTok"/>
        </w:rPr>
        <w:t xml:space="preserve">{</w:t>
      </w:r>
      <w:r>
        <w:br/>
      </w:r>
      <w:r>
        <w:rPr>
          <w:rStyle w:val="NormalTok"/>
        </w:rPr>
        <w:t xml:space="preserve">    G4Transform3D </w:t>
      </w:r>
      <w:r>
        <w:rPr>
          <w:rStyle w:val="FunctionTok"/>
        </w:rPr>
        <w:t xml:space="preserve">tr</w:t>
      </w:r>
      <w:r>
        <w:rPr>
          <w:rStyle w:val="OperatorTok"/>
        </w:rPr>
        <w:t xml:space="preserve">(</w:t>
      </w:r>
      <w:r>
        <w:rPr>
          <w:rStyle w:val="NormalTok"/>
        </w:rPr>
        <w:t xml:space="preserve">identity</w:t>
      </w:r>
      <w:r>
        <w:rPr>
          <w:rStyle w:val="OperatorTok"/>
        </w:rPr>
        <w:t xml:space="preserve">,</w:t>
      </w:r>
      <w:r>
        <w:rPr>
          <w:rStyle w:val="NormalTok"/>
        </w:rPr>
        <w:t xml:space="preserve"> pos</w:t>
      </w:r>
      <w:r>
        <w:rPr>
          <w:rStyle w:val="OperatorTok"/>
        </w:rPr>
        <w:t xml:space="preserve">);</w:t>
      </w:r>
      <w:r>
        <w:br/>
      </w:r>
      <w:r>
        <w:rPr>
          <w:rStyle w:val="NormalTok"/>
        </w:rPr>
        <w:t xml:space="preserve">    fillerUnion</w:t>
      </w:r>
      <w:r>
        <w:rPr>
          <w:rStyle w:val="OperatorTok"/>
        </w:rPr>
        <w:t xml:space="preserve">-&gt;</w:t>
      </w:r>
      <w:r>
        <w:rPr>
          <w:rStyle w:val="NormalTok"/>
        </w:rPr>
        <w:t xml:space="preserve">AddNode</w:t>
      </w:r>
      <w:r>
        <w:rPr>
          <w:rStyle w:val="OperatorTok"/>
        </w:rPr>
        <w:t xml:space="preserve">(*</w:t>
      </w:r>
      <w:r>
        <w:rPr>
          <w:rStyle w:val="NormalTok"/>
        </w:rPr>
        <w:t xml:space="preserve">sphereTemplate</w:t>
      </w:r>
      <w:r>
        <w:rPr>
          <w:rStyle w:val="OperatorTok"/>
        </w:rPr>
        <w:t xml:space="preserve">,</w:t>
      </w:r>
      <w:r>
        <w:rPr>
          <w:rStyle w:val="NormalTok"/>
        </w:rPr>
        <w:t xml:space="preserve"> </w:t>
      </w:r>
      <w:r>
        <w:rPr>
          <w:rStyle w:val="FunctionTok"/>
        </w:rPr>
        <w:t xml:space="preserve">tr</w:t>
      </w:r>
      <w:r>
        <w:rPr>
          <w:rStyle w:val="OperatorTok"/>
        </w:rPr>
        <w:t xml:space="preserve">);</w:t>
      </w:r>
      <w:r>
        <w:br/>
      </w:r>
      <w:r>
        <w:rPr>
          <w:rStyle w:val="OperatorTok"/>
        </w:rPr>
        <w:t xml:space="preserve">}</w:t>
      </w:r>
      <w:r>
        <w:br/>
      </w:r>
      <w:r>
        <w:rPr>
          <w:rStyle w:val="NormalTok"/>
        </w:rPr>
        <w:t xml:space="preserve">fillerUnion</w:t>
      </w:r>
      <w:r>
        <w:rPr>
          <w:rStyle w:val="OperatorTok"/>
        </w:rPr>
        <w:t xml:space="preserve">-&gt;</w:t>
      </w:r>
      <w:r>
        <w:rPr>
          <w:rStyle w:val="NormalTok"/>
        </w:rPr>
        <w:t xml:space="preserve">Voxelize</w:t>
      </w:r>
      <w:r>
        <w:rPr>
          <w:rStyle w:val="OperatorTok"/>
        </w:rPr>
        <w:t xml:space="preserve">();</w:t>
      </w:r>
    </w:p>
    <w:p>
      <w:pPr>
        <w:pStyle w:val="FirstParagraph"/>
      </w:pPr>
      <w:r>
        <w:t xml:space="preserve">A single</w:t>
      </w:r>
      <w:r>
        <w:t xml:space="preserve"> </w:t>
      </w:r>
      <w:r>
        <w:rPr>
          <w:rStyle w:val="VerbatimChar"/>
        </w:rPr>
        <w:t xml:space="preserve">G4PVPlacement</w:t>
      </w:r>
      <w:r>
        <w:t xml:space="preserve"> </w:t>
      </w:r>
      <w:r>
        <w:t xml:space="preserve">is made into the RVE host box. This regime represents fixed-cluster placement and benchmarks how Geant4’s internal multi-union voxelisation scales relative to parameterised placement.</w:t>
      </w:r>
    </w:p>
    <w:p>
      <w:pPr>
        <w:pStyle w:val="BodyText"/>
      </w:pPr>
      <w:r>
        <w:rPr>
          <w:i/>
          <w:iCs/>
        </w:rPr>
        <w:t xml:space="preserve">In practice,</w:t>
      </w:r>
      <w:r>
        <w:rPr>
          <w:i/>
          <w:iCs/>
        </w:rPr>
        <w:t xml:space="preserve"> </w:t>
      </w:r>
      <w:r>
        <w:rPr>
          <w:rStyle w:val="VerbatimChar"/>
          <w:i/>
          <w:iCs/>
        </w:rPr>
        <w:t xml:space="preserve">G4MultiUnion::Voxelize()</w:t>
      </w:r>
      <w:r>
        <w:rPr>
          <w:i/>
          <w:iCs/>
        </w:rPr>
        <w:t xml:space="preserve"> </w:t>
      </w:r>
      <w:r>
        <w:rPr>
          <w:i/>
          <w:iCs/>
        </w:rPr>
        <w:t xml:space="preserve">is only feasible for</w:t>
      </w:r>
      <w:r>
        <w:rPr>
          <w:i/>
          <w:iCs/>
        </w:rPr>
        <w:t xml:space="preserve"> </w:t>
      </w:r>
      <m:oMath>
        <m:r>
          <m:t>N</m:t>
        </m:r>
        <m:r>
          <m:rPr>
            <m:sty m:val="p"/>
          </m:rPr>
          <m:t>≲</m:t>
        </m:r>
        <m:r>
          <m:t>50</m:t>
        </m:r>
      </m:oMath>
      <w:r>
        <w:rPr>
          <w:i/>
          <w:iCs/>
        </w:rPr>
        <w:t xml:space="preserve"> </w:t>
      </w:r>
      <w:r>
        <w:rPr>
          <w:i/>
          <w:iCs/>
        </w:rPr>
        <w:t xml:space="preserve">on 8 GB hardware; §5.3 documents the scalability characterisation and the adopted 250 nm /</w:t>
      </w:r>
      <w:r>
        <w:rPr>
          <w:i/>
          <w:iCs/>
        </w:rPr>
        <w:t xml:space="preserve"> </w:t>
      </w:r>
      <m:oMath>
        <m:r>
          <m:t>N</m:t>
        </m:r>
        <m:r>
          <m:rPr>
            <m:sty m:val="p"/>
          </m:rPr>
          <m:t>=</m:t>
        </m:r>
        <m:r>
          <m:t>45</m:t>
        </m:r>
      </m:oMath>
      <w:r>
        <w:rPr>
          <w:i/>
          <w:iCs/>
        </w:rPr>
        <w:t xml:space="preserve"> </w:t>
      </w:r>
      <w:r>
        <w:rPr>
          <w:i/>
          <w:iCs/>
        </w:rPr>
        <w:t xml:space="preserve">configuration.</w:t>
      </w:r>
    </w:p>
    <w:p>
      <w:pPr>
        <w:pStyle w:val="BodyText"/>
      </w:pPr>
      <w:r>
        <w:rPr>
          <w:b/>
          <w:bCs/>
        </w:rPr>
        <w:t xml:space="preserve">Cost class:</w:t>
      </w:r>
      <w:r>
        <w:t xml:space="preserve"> </w:t>
      </w:r>
      <w:r>
        <w:t xml:space="preserve">geometry construction is O(</w:t>
      </w:r>
      <m:oMath>
        <m:r>
          <m:t>N</m:t>
        </m:r>
      </m:oMath>
      <w:r>
        <w:t xml:space="preserve">) once; subsequent navigation is voxelised.</w:t>
      </w:r>
    </w:p>
    <w:p>
      <w:pPr>
        <w:pStyle w:val="BodyText"/>
      </w:pPr>
      <w:r>
        <w:t xml:space="preserve">Figure 1 summarises the three modelling regimes and the recommended workflow that emerges from the benchmark: regime A as the default production model, regime B as the scalable explicit-RVE validation geometry, and regime C as a limited</w:t>
      </w:r>
      <w:r>
        <w:t xml:space="preserve"> </w:t>
      </w:r>
      <w:r>
        <w:rPr>
          <w:rStyle w:val="VerbatimChar"/>
        </w:rPr>
        <w:t xml:space="preserve">G4MultiUnion</w:t>
      </w:r>
      <w:r>
        <w:t xml:space="preserve"> </w:t>
      </w:r>
      <w:r>
        <w:t xml:space="preserve">stress test for small RVEs.</w:t>
      </w:r>
    </w:p>
    <w:p>
      <w:pPr>
        <w:pStyle w:val="CaptionedFigure"/>
      </w:pPr>
      <w:r>
        <w:drawing>
          <wp:inline>
            <wp:extent cx="5067300" cy="1194230"/>
            <wp:effectExtent b="0" l="0" r="0" t="0"/>
            <wp:docPr descr="Figure 1. Conceptual regime map for the three Geant4 modelling strategies benchmarked in this paper. Regime A is the production default for bulk attenuation, regime B is the explicit-RVE validation geometry, and regime C is a small-RVE G4MultiUnion path constrained by voxelizer scaling." title="" id="24" name="Picture"/>
            <a:graphic>
              <a:graphicData uri="http://schemas.openxmlformats.org/drawingml/2006/picture">
                <pic:pic>
                  <pic:nvPicPr>
                    <pic:cNvPr descr="../../../results/paper3/figures/paper3_fig1_regime_map.png" id="25" name="Picture"/>
                    <pic:cNvPicPr>
                      <a:picLocks noChangeArrowheads="1" noChangeAspect="1"/>
                    </pic:cNvPicPr>
                  </pic:nvPicPr>
                  <pic:blipFill>
                    <a:blip r:embed="rId23"/>
                    <a:stretch>
                      <a:fillRect/>
                    </a:stretch>
                  </pic:blipFill>
                  <pic:spPr bwMode="auto">
                    <a:xfrm>
                      <a:off x="0" y="0"/>
                      <a:ext cx="5067300" cy="1194230"/>
                    </a:xfrm>
                    <a:prstGeom prst="rect">
                      <a:avLst/>
                    </a:prstGeom>
                    <a:noFill/>
                    <a:ln w="9525">
                      <a:noFill/>
                      <a:headEnd/>
                      <a:tailEnd/>
                    </a:ln>
                  </pic:spPr>
                </pic:pic>
              </a:graphicData>
            </a:graphic>
          </wp:inline>
        </w:drawing>
      </w:r>
    </w:p>
    <w:p>
      <w:pPr>
        <w:pStyle w:val="ImageCaption"/>
      </w:pPr>
      <w:r>
        <w:t xml:space="preserve">Figure 1. Conceptual regime map for the three Geant4 modelling strategies benchmarked in this paper. Regime A is the production default for bulk attenuation, regime B is the explicit-RVE validation geometry, and regime C is a small-RVE</w:t>
      </w:r>
      <w:r>
        <w:t xml:space="preserve"> </w:t>
      </w:r>
      <w:r>
        <w:rPr>
          <w:rStyle w:val="VerbatimChar"/>
        </w:rPr>
        <w:t xml:space="preserve">G4MultiUnion</w:t>
      </w:r>
      <w:r>
        <w:t xml:space="preserve"> </w:t>
      </w:r>
      <w:r>
        <w:t xml:space="preserve">path constrained by voxelizer scaling.</w:t>
      </w:r>
    </w:p>
    <w:p>
      <w:r>
        <w:pict>
          <v:rect style="width:0;height:1.5pt" o:hralign="center" o:hrstd="t" o:hr="t"/>
        </w:pict>
      </w:r>
    </w:p>
    <w:bookmarkEnd w:id="26"/>
    <w:bookmarkEnd w:id="27"/>
    <w:bookmarkStart w:id="34" w:name="benchmark-protocol"/>
    <w:p>
      <w:pPr>
        <w:pStyle w:val="Heading2"/>
      </w:pPr>
      <w:r>
        <w:t xml:space="preserve">4. Benchmark Protocol</w:t>
      </w:r>
    </w:p>
    <w:bookmarkStart w:id="28" w:name="material"/>
    <w:p>
      <w:pPr>
        <w:pStyle w:val="Heading3"/>
      </w:pPr>
      <w:r>
        <w:t xml:space="preserve">4.1 Material</w:t>
      </w:r>
    </w:p>
    <w:p>
      <w:pPr>
        <w:pStyle w:val="FirstParagraph"/>
      </w:pPr>
      <w:r>
        <w:t xml:space="preserve">For this paper the cross-regime benchmark material is HDPE/Bi₂O₃ at φ = 0.189 volume fraction. All three regimes use the following parameters: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Value</w:t>
            </w:r>
          </w:p>
        </w:tc>
        <w:tc>
          <w:tcPr/>
          <w:p>
            <w:pPr>
              <w:pStyle w:val="Compact"/>
            </w:pPr>
            <w:r>
              <w:t xml:space="preserve">Source</w:t>
            </w:r>
          </w:p>
        </w:tc>
      </w:tr>
      <w:tr>
        <w:tc>
          <w:tcPr/>
          <w:p>
            <w:pPr>
              <w:pStyle w:val="Compact"/>
            </w:pPr>
            <w:r>
              <w:t xml:space="preserve">Matrix</w:t>
            </w:r>
          </w:p>
        </w:tc>
        <w:tc>
          <w:tcPr/>
          <w:p>
            <w:pPr>
              <w:pStyle w:val="Compact"/>
            </w:pPr>
            <w:r>
              <w:t xml:space="preserve">HDPE (C₂H₄)</w:t>
            </w:r>
            <m:oMath>
              <m:sSub>
                <m:e>
                  <m:r>
                    <m:t>​</m:t>
                  </m:r>
                </m:e>
                <m:sub>
                  <m:r>
                    <m:t>n</m:t>
                  </m:r>
                </m:sub>
              </m:sSub>
            </m:oMath>
            <w:r>
              <w:t xml:space="preserve">,</w:t>
            </w:r>
            <w:r>
              <w:t xml:space="preserve"> </w:t>
            </w:r>
            <m:oMath>
              <m:sSub>
                <m:e>
                  <m:r>
                    <m:t>ρ</m:t>
                  </m:r>
                </m:e>
                <m:sub>
                  <m:r>
                    <m:t>m</m:t>
                  </m:r>
                </m:sub>
              </m:sSub>
              <m:r>
                <m:rPr>
                  <m:sty m:val="p"/>
                </m:rPr>
                <m:t>=</m:t>
              </m:r>
              <m:r>
                <m:t>0.95</m:t>
              </m:r>
            </m:oMath>
            <w:r>
              <w:t xml:space="preserve"> </w:t>
            </w:r>
            <w:r>
              <w:t xml:space="preserve">g cm</w:t>
            </w:r>
            <m:oMath>
              <m:sSup>
                <m:e>
                  <m:r>
                    <m:t>​</m:t>
                  </m:r>
                </m:e>
                <m:sup>
                  <m:r>
                    <m:rPr>
                      <m:sty m:val="p"/>
                    </m:rPr>
                    <m:t>−</m:t>
                  </m:r>
                  <m:r>
                    <m:t>3</m:t>
                  </m:r>
                </m:sup>
              </m:sSup>
            </m:oMath>
          </w:p>
        </w:tc>
        <w:tc>
          <w:tcPr/>
          <w:p>
            <w:pPr>
              <w:pStyle w:val="Compact"/>
            </w:pPr>
            <w:r>
              <w:t xml:space="preserve">NIST</w:t>
            </w:r>
          </w:p>
        </w:tc>
      </w:tr>
      <w:tr>
        <w:tc>
          <w:tcPr/>
          <w:p>
            <w:pPr>
              <w:pStyle w:val="Compact"/>
            </w:pPr>
            <w:r>
              <w:t xml:space="preserve">Filler</w:t>
            </w:r>
          </w:p>
        </w:tc>
        <w:tc>
          <w:tcPr/>
          <w:p>
            <w:pPr>
              <w:pStyle w:val="Compact"/>
            </w:pPr>
            <w:r>
              <w:t xml:space="preserve">Bi₂O₃,</w:t>
            </w:r>
            <w:r>
              <w:t xml:space="preserve"> </w:t>
            </w:r>
            <m:oMath>
              <m:sSub>
                <m:e>
                  <m:r>
                    <m:t>ρ</m:t>
                  </m:r>
                </m:e>
                <m:sub>
                  <m:r>
                    <m:t>f</m:t>
                  </m:r>
                </m:sub>
              </m:sSub>
              <m:r>
                <m:rPr>
                  <m:sty m:val="p"/>
                </m:rPr>
                <m:t>=</m:t>
              </m:r>
              <m:r>
                <m:t>8.9</m:t>
              </m:r>
            </m:oMath>
            <w:r>
              <w:t xml:space="preserve"> </w:t>
            </w:r>
            <w:r>
              <w:t xml:space="preserve">g cm</w:t>
            </w:r>
            <m:oMath>
              <m:sSup>
                <m:e>
                  <m:r>
                    <m:t>​</m:t>
                  </m:r>
                </m:e>
                <m:sup>
                  <m:r>
                    <m:rPr>
                      <m:sty m:val="p"/>
                    </m:rPr>
                    <m:t>−</m:t>
                  </m:r>
                  <m:r>
                    <m:t>3</m:t>
                  </m:r>
                </m:sup>
              </m:sSup>
            </m:oMath>
          </w:p>
        </w:tc>
        <w:tc>
          <w:tcPr/>
          <w:p>
            <w:pPr>
              <w:pStyle w:val="Compact"/>
            </w:pPr>
            <w:r>
              <w:t xml:space="preserve">literature</w:t>
            </w:r>
          </w:p>
        </w:tc>
      </w:tr>
      <w:tr>
        <w:tc>
          <w:tcPr/>
          <w:p>
            <w:pPr>
              <w:pStyle w:val="Compact"/>
            </w:pPr>
            <w:r>
              <w:t xml:space="preserve">Filler volume fraction</w:t>
            </w:r>
            <w:r>
              <w:t xml:space="preserve"> </w:t>
            </w:r>
            <m:oMath>
              <m:sSub>
                <m:e>
                  <m:r>
                    <m:t>ϕ</m:t>
                  </m:r>
                </m:e>
                <m:sub>
                  <m:r>
                    <m:t>f</m:t>
                  </m:r>
                </m:sub>
              </m:sSub>
            </m:oMath>
          </w:p>
        </w:tc>
        <w:tc>
          <w:tcPr/>
          <w:p>
            <w:pPr>
              <w:pStyle w:val="Compact"/>
            </w:pPr>
            <w:r>
              <w:t xml:space="preserve">0.189</w:t>
            </w:r>
          </w:p>
        </w:tc>
        <w:tc>
          <w:tcPr/>
          <w:p>
            <w:pPr>
              <w:pStyle w:val="Compact"/>
            </w:pPr>
            <w:r>
              <w:t xml:space="preserve">linear mixture rule</w:t>
            </w:r>
          </w:p>
        </w:tc>
      </w:tr>
      <w:tr>
        <w:tc>
          <w:tcPr/>
          <w:p>
            <w:pPr>
              <w:pStyle w:val="Compact"/>
            </w:pPr>
            <w:r>
              <w:t xml:space="preserve">Effective density</w:t>
            </w:r>
            <w:r>
              <w:t xml:space="preserve"> </w:t>
            </w:r>
            <m:oMath>
              <m:sSub>
                <m:e>
                  <m:r>
                    <m:t>ρ</m:t>
                  </m:r>
                </m:e>
                <m:sub>
                  <m:r>
                    <m:rPr>
                      <m:nor/>
                      <m:sty m:val="p"/>
                    </m:rPr>
                    <m:t>eff</m:t>
                  </m:r>
                </m:sub>
              </m:sSub>
            </m:oMath>
          </w:p>
        </w:tc>
        <w:tc>
          <w:tcPr/>
          <w:p>
            <w:pPr>
              <w:pStyle w:val="Compact"/>
            </w:pPr>
            <w:r>
              <w:t xml:space="preserve">2.452 g cm</w:t>
            </w:r>
            <m:oMath>
              <m:sSup>
                <m:e>
                  <m:r>
                    <m:t>​</m:t>
                  </m:r>
                </m:e>
                <m:sup>
                  <m:r>
                    <m:rPr>
                      <m:sty m:val="p"/>
                    </m:rPr>
                    <m:t>−</m:t>
                  </m:r>
                  <m:r>
                    <m:t>3</m:t>
                  </m:r>
                </m:sup>
              </m:sSup>
            </m:oMath>
          </w:p>
        </w:tc>
        <w:tc>
          <w:tcPr/>
          <w:p>
            <w:pPr>
              <w:pStyle w:val="Compact"/>
            </w:pPr>
            <m:oMath>
              <m:sSub>
                <m:e>
                  <m:r>
                    <m:t>ϕ</m:t>
                  </m:r>
                </m:e>
                <m:sub>
                  <m:r>
                    <m:t>f</m:t>
                  </m:r>
                </m:sub>
              </m:sSub>
              <m:sSub>
                <m:e>
                  <m:r>
                    <m:t>ρ</m:t>
                  </m:r>
                </m:e>
                <m:sub>
                  <m:r>
                    <m:t>f</m:t>
                  </m:r>
                </m:sub>
              </m:sSub>
              <m:r>
                <m:rPr>
                  <m:sty m:val="p"/>
                </m:rPr>
                <m:t>+</m:t>
              </m:r>
              <m:r>
                <m:rPr>
                  <m:sty m:val="p"/>
                </m:rPr>
                <m:t>(</m:t>
              </m:r>
              <m:r>
                <m:t>1</m:t>
              </m:r>
              <m:r>
                <m:rPr>
                  <m:sty m:val="p"/>
                </m:rPr>
                <m:t>−</m:t>
              </m:r>
              <m:sSub>
                <m:e>
                  <m:r>
                    <m:t>ϕ</m:t>
                  </m:r>
                </m:e>
                <m:sub>
                  <m:r>
                    <m:t>f</m:t>
                  </m:r>
                </m:sub>
              </m:sSub>
              <m:r>
                <m:rPr>
                  <m:sty m:val="p"/>
                </m:rPr>
                <m:t>)</m:t>
              </m:r>
              <m:sSub>
                <m:e>
                  <m:r>
                    <m:t>ρ</m:t>
                  </m:r>
                </m:e>
                <m:sub>
                  <m:r>
                    <m:t>m</m:t>
                  </m:r>
                </m:sub>
              </m:sSub>
            </m:oMath>
          </w:p>
        </w:tc>
      </w:tr>
      <w:tr>
        <w:tc>
          <w:tcPr/>
          <w:p>
            <w:pPr>
              <w:pStyle w:val="Compact"/>
            </w:pPr>
            <w:r>
              <w:t xml:space="preserve">Filler mass fraction</w:t>
            </w:r>
            <w:r>
              <w:t xml:space="preserve"> </w:t>
            </w:r>
            <m:oMath>
              <m:sSub>
                <m:e>
                  <m:r>
                    <m:t>w</m:t>
                  </m:r>
                </m:e>
                <m:sub>
                  <m:r>
                    <m:t>f</m:t>
                  </m:r>
                </m:sub>
              </m:sSub>
            </m:oMath>
          </w:p>
        </w:tc>
        <w:tc>
          <w:tcPr/>
          <w:p>
            <w:pPr>
              <w:pStyle w:val="Compact"/>
            </w:pPr>
            <w:r>
              <w:t xml:space="preserve">0.686 (68.6 wt% Bi₂O₃)</w:t>
            </w:r>
          </w:p>
        </w:tc>
        <w:tc>
          <w:tcPr/>
          <w:p>
            <w:pPr>
              <w:pStyle w:val="Compact"/>
            </w:pPr>
            <m:oMath>
              <m:sSub>
                <m:e>
                  <m:r>
                    <m:t>ϕ</m:t>
                  </m:r>
                </m:e>
                <m:sub>
                  <m:r>
                    <m:t>f</m:t>
                  </m:r>
                </m:sub>
              </m:sSub>
              <m:sSub>
                <m:e>
                  <m:r>
                    <m:t>ρ</m:t>
                  </m:r>
                </m:e>
                <m:sub>
                  <m:r>
                    <m:t>f</m:t>
                  </m:r>
                </m:sub>
              </m:sSub>
              <m:r>
                <m:rPr>
                  <m:sty m:val="p"/>
                </m:rPr>
                <m:t>/</m:t>
              </m:r>
              <m:sSub>
                <m:e>
                  <m:r>
                    <m:t>ρ</m:t>
                  </m:r>
                </m:e>
                <m:sub>
                  <m:r>
                    <m:rPr>
                      <m:nor/>
                      <m:sty m:val="p"/>
                    </m:rPr>
                    <m:t>eff</m:t>
                  </m:r>
                </m:sub>
              </m:sSub>
            </m:oMath>
          </w:p>
        </w:tc>
      </w:tr>
    </w:tbl>
    <w:p>
      <w:pPr>
        <w:pStyle w:val="BodyText"/>
      </w:pPr>
      <w:r>
        <w:t xml:space="preserve">A separate regime-A validation study at 30 wt% Bi₂O₃ (with</w:t>
      </w:r>
      <w:r>
        <w:t xml:space="preserve"> </w:t>
      </w:r>
      <m:oMath>
        <m:r>
          <m:t>ρ</m:t>
        </m:r>
        <m:r>
          <m:rPr>
            <m:sty m:val="p"/>
          </m:rPr>
          <m:t>=</m:t>
        </m:r>
        <m:r>
          <m:t>2.45</m:t>
        </m:r>
      </m:oMath>
      <w:r>
        <w:t xml:space="preserve"> </w:t>
      </w:r>
      <w:r>
        <w:t xml:space="preserve">g cm</w:t>
      </w:r>
      <m:oMath>
        <m:sSup>
          <m:e>
            <m:r>
              <m:t>​</m:t>
            </m:r>
          </m:e>
          <m:sup>
            <m:r>
              <m:rPr>
                <m:sty m:val="p"/>
              </m:rPr>
              <m:t>−</m:t>
            </m:r>
            <m:r>
              <m:t>3</m:t>
            </m:r>
          </m:sup>
        </m:sSup>
      </m:oMath>
      <w:r>
        <w:t xml:space="preserve"> </w:t>
      </w:r>
      <w:r>
        <w:t xml:space="preserve">as user-specified input) is also included to verify emlivermore vs XCOM at that composition; it is not used as the cross-regime baseline.</w:t>
      </w:r>
    </w:p>
    <w:bookmarkEnd w:id="28"/>
    <w:bookmarkStart w:id="29" w:name="source-spectra"/>
    <w:p>
      <w:pPr>
        <w:pStyle w:val="Heading3"/>
      </w:pPr>
      <w:r>
        <w:t xml:space="preserve">4.2 Source spectra</w:t>
      </w:r>
    </w:p>
    <w:p>
      <w:pPr>
        <w:pStyle w:val="FirstParagraph"/>
      </w:pPr>
      <w:r>
        <w:t xml:space="preserve">Mono-energetic photons at a 10-point energy grid: 30, 50, 80, 100, 150, 356, 511, 662, 1173, 1332 keV. Parallel pencil beam, zero beam width. Primary particle: gamma. Regime C uses a distributed beam sampling</w:t>
      </w:r>
      <w:r>
        <w:t xml:space="preserve"> </w:t>
      </w:r>
      <m:oMath>
        <m:r>
          <m:rPr>
            <m:sty m:val="p"/>
          </m:rPr>
          <m:t>(</m:t>
        </m:r>
        <m:r>
          <m:t>Y</m:t>
        </m:r>
        <m:r>
          <m:rPr>
            <m:sty m:val="p"/>
          </m:rPr>
          <m:t>,</m:t>
        </m:r>
        <m:r>
          <m:t>Z</m:t>
        </m:r>
        <m:r>
          <m:rPr>
            <m:sty m:val="p"/>
          </m:rPr>
          <m:t>)</m:t>
        </m:r>
        <m:r>
          <m:rPr>
            <m:sty m:val="p"/>
          </m:rPr>
          <m:t>∼</m:t>
        </m:r>
        <m:r>
          <m:rPr>
            <m:scr m:val="script"/>
            <m:sty m:val="p"/>
          </m:rPr>
          <m:t>U</m:t>
        </m:r>
        <m:r>
          <m:rPr>
            <m:sty m:val="p"/>
          </m:rPr>
          <m:t>[</m:t>
        </m:r>
        <m:r>
          <m:rPr>
            <m:sty m:val="p"/>
          </m:rPr>
          <m:t>−</m:t>
        </m:r>
        <m:r>
          <m:t>L</m:t>
        </m:r>
        <m:r>
          <m:rPr>
            <m:sty m:val="p"/>
          </m:rPr>
          <m:t>/</m:t>
        </m:r>
        <m:r>
          <m:t>2</m:t>
        </m:r>
        <m:r>
          <m:rPr>
            <m:sty m:val="p"/>
          </m:rPr>
          <m:t>,</m:t>
        </m:r>
        <m:r>
          <m:rPr>
            <m:sty m:val="p"/>
          </m:rPr>
          <m:t>+</m:t>
        </m:r>
        <m:r>
          <m:t>L</m:t>
        </m:r>
        <m:r>
          <m:rPr>
            <m:sty m:val="p"/>
          </m:rPr>
          <m:t>/</m:t>
        </m:r>
        <m:r>
          <m:t>2</m:t>
        </m:r>
        <m:sSup>
          <m:e>
            <m:r>
              <m:rPr>
                <m:sty m:val="p"/>
              </m:rPr>
              <m:t>]</m:t>
            </m:r>
          </m:e>
          <m:sup>
            <m:r>
              <m:t>2</m:t>
            </m:r>
          </m:sup>
        </m:sSup>
      </m:oMath>
      <w:r>
        <w:t xml:space="preserve"> </w:t>
      </w:r>
      <w:r>
        <w:t xml:space="preserve">per event to ensure ergodic averaging across the 250 nm RVE cross-section (§5.3).</w:t>
      </w:r>
    </w:p>
    <w:bookmarkEnd w:id="29"/>
    <w:bookmarkStart w:id="30" w:name="physics-list"/>
    <w:p>
      <w:pPr>
        <w:pStyle w:val="Heading3"/>
      </w:pPr>
      <w:r>
        <w:t xml:space="preserve">4.3 Physics list</w:t>
      </w:r>
    </w:p>
    <w:p>
      <w:pPr>
        <w:pStyle w:val="FirstParagraph"/>
      </w:pPr>
      <w:r>
        <w:rPr>
          <w:rStyle w:val="VerbatimChar"/>
        </w:rPr>
        <w:t xml:space="preserve">G4EmLivermorePhysics</w:t>
      </w:r>
      <w:r>
        <w:t xml:space="preserve"> </w:t>
      </w:r>
      <w:r>
        <w:t xml:space="preserve">for all runs. Geant4 version: 11.4 beta (geant4-11-04-beta-01). Tracking cuts: default (1 mm for slab; default for RVE).</w:t>
      </w:r>
      <w:r>
        <w:t xml:space="preserve"> </w:t>
      </w:r>
      <w:r>
        <w:rPr>
          <w:rStyle w:val="VerbatimChar"/>
        </w:rPr>
        <w:t xml:space="preserve">SHIELDLAB_PHYSICS_LIST=emlivermore</w:t>
      </w:r>
      <w:r>
        <w:t xml:space="preserve">.</w:t>
      </w:r>
    </w:p>
    <w:bookmarkEnd w:id="30"/>
    <w:bookmarkStart w:id="31" w:name="histories"/>
    <w:p>
      <w:pPr>
        <w:pStyle w:val="Heading3"/>
      </w:pPr>
      <w:r>
        <w:t xml:space="preserve">4.4 Histories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Regime</w:t>
            </w:r>
          </w:p>
        </w:tc>
        <w:tc>
          <w:tcPr/>
          <w:p>
            <w:pPr>
              <w:pStyle w:val="Compact"/>
            </w:pPr>
            <w:r>
              <w:t xml:space="preserve">Histories per energy point</w:t>
            </w:r>
          </w:p>
        </w:tc>
        <w:tc>
          <w:tcPr/>
          <w:p>
            <w:pPr>
              <w:pStyle w:val="Compact"/>
            </w:pPr>
            <w:r>
              <w:t xml:space="preserve">Total events</w:t>
            </w:r>
          </w:p>
        </w:tc>
      </w:tr>
      <w:tr>
        <w:tc>
          <w:tcPr/>
          <w:p>
            <w:pPr>
              <w:pStyle w:val="Compact"/>
            </w:pPr>
            <w:r>
              <w:t xml:space="preserve">A</w:t>
            </w:r>
          </w:p>
        </w:tc>
        <w:tc>
          <w:tcPr/>
          <w:p>
            <w:pPr>
              <w:pStyle w:val="Compact"/>
            </w:pPr>
            <m:oMath>
              <m:sSup>
                <m:e>
                  <m:r>
                    <m:t>10</m:t>
                  </m:r>
                </m:e>
                <m:sup>
                  <m:r>
                    <m:t>6</m:t>
                  </m:r>
                </m:sup>
              </m:sSup>
            </m:oMath>
          </w:p>
        </w:tc>
        <w:tc>
          <w:tcPr/>
          <w:p>
            <w:pPr>
              <w:pStyle w:val="Compact"/>
            </w:pPr>
            <m:oMath>
              <m:r>
                <m:t>1.0</m:t>
              </m:r>
              <m:r>
                <m:rPr>
                  <m:sty m:val="p"/>
                </m:rPr>
                <m:t>×</m:t>
              </m:r>
              <m:sSup>
                <m:e>
                  <m:r>
                    <m:t>10</m:t>
                  </m:r>
                </m:e>
                <m:sup>
                  <m:r>
                    <m:t>7</m:t>
                  </m:r>
                </m:sup>
              </m:sSup>
            </m:oMath>
          </w:p>
        </w:tc>
      </w:tr>
      <w:tr>
        <w:tc>
          <w:tcPr/>
          <w:p>
            <w:pPr>
              <w:pStyle w:val="Compact"/>
            </w:pPr>
            <w:r>
              <w:t xml:space="preserve">B</w:t>
            </w:r>
          </w:p>
        </w:tc>
        <w:tc>
          <w:tcPr/>
          <w:p>
            <w:pPr>
              <w:pStyle w:val="Compact"/>
            </w:pPr>
            <m:oMath>
              <m:sSup>
                <m:e>
                  <m:r>
                    <m:t>10</m:t>
                  </m:r>
                </m:e>
                <m:sup>
                  <m:r>
                    <m:t>7</m:t>
                  </m:r>
                </m:sup>
              </m:sSup>
            </m:oMath>
          </w:p>
        </w:tc>
        <w:tc>
          <w:tcPr/>
          <w:p>
            <w:pPr>
              <w:pStyle w:val="Compact"/>
            </w:pPr>
            <m:oMath>
              <m:r>
                <m:t>1.0</m:t>
              </m:r>
              <m:r>
                <m:rPr>
                  <m:sty m:val="p"/>
                </m:rPr>
                <m:t>×</m:t>
              </m:r>
              <m:sSup>
                <m:e>
                  <m:r>
                    <m:t>10</m:t>
                  </m:r>
                </m:e>
                <m:sup>
                  <m:r>
                    <m:t>8</m:t>
                  </m:r>
                </m:sup>
              </m:sSup>
            </m:oMath>
          </w:p>
        </w:tc>
      </w:tr>
      <w:tr>
        <w:tc>
          <w:tcPr/>
          <w:p>
            <w:pPr>
              <w:pStyle w:val="Compact"/>
            </w:pPr>
            <w:r>
              <w:t xml:space="preserve">C</w:t>
            </w:r>
          </w:p>
        </w:tc>
        <w:tc>
          <w:tcPr/>
          <w:p>
            <w:pPr>
              <w:pStyle w:val="Compact"/>
            </w:pPr>
            <m:oMath>
              <m:sSup>
                <m:e>
                  <m:r>
                    <m:t>10</m:t>
                  </m:r>
                </m:e>
                <m:sup>
                  <m:r>
                    <m:t>7</m:t>
                  </m:r>
                </m:sup>
              </m:sSup>
            </m:oMath>
          </w:p>
        </w:tc>
        <w:tc>
          <w:tcPr/>
          <w:p>
            <w:pPr>
              <w:pStyle w:val="Compact"/>
            </w:pPr>
            <m:oMath>
              <m:r>
                <m:t>1.0</m:t>
              </m:r>
              <m:r>
                <m:rPr>
                  <m:sty m:val="p"/>
                </m:rPr>
                <m:t>×</m:t>
              </m:r>
              <m:sSup>
                <m:e>
                  <m:r>
                    <m:t>10</m:t>
                  </m:r>
                </m:e>
                <m:sup>
                  <m:r>
                    <m:t>8</m:t>
                  </m:r>
                </m:sup>
              </m:sSup>
            </m:oMath>
          </w:p>
        </w:tc>
      </w:tr>
    </w:tbl>
    <w:p>
      <w:pPr>
        <w:pStyle w:val="BodyText"/>
      </w:pPr>
      <w:r>
        <w:t xml:space="preserve">Regime A uses</w:t>
      </w:r>
      <w:r>
        <w:t xml:space="preserve"> </w:t>
      </w:r>
      <m:oMath>
        <m:sSup>
          <m:e>
            <m:r>
              <m:t>10</m:t>
            </m:r>
          </m:e>
          <m:sup>
            <m:r>
              <m:t>6</m:t>
            </m:r>
          </m:sup>
        </m:sSup>
      </m:oMath>
      <w:r>
        <w:t xml:space="preserve"> </w:t>
      </w:r>
      <w:r>
        <w:t xml:space="preserve">histories (the established ShieldLab paper-3 acceptance standard). Regimes B and C use</w:t>
      </w:r>
      <w:r>
        <w:t xml:space="preserve"> </w:t>
      </w:r>
      <m:oMath>
        <m:sSup>
          <m:e>
            <m:r>
              <m:t>10</m:t>
            </m:r>
          </m:e>
          <m:sup>
            <m:r>
              <m:t>7</m:t>
            </m:r>
          </m:sup>
        </m:sSup>
      </m:oMath>
      <w:r>
        <w:t xml:space="preserve"> </w:t>
      </w:r>
      <w:r>
        <w:t xml:space="preserve">histories because the low interaction probability in a 1 µm RVE (</w:t>
      </w:r>
      <m:oMath>
        <m:r>
          <m:t>μ</m:t>
        </m:r>
        <m:r>
          <m:t>L</m:t>
        </m:r>
        <m:r>
          <m:rPr>
            <m:sty m:val="p"/>
          </m:rPr>
          <m:t>≈</m:t>
        </m:r>
        <m:r>
          <m:t>2</m:t>
        </m:r>
        <m:r>
          <m:rPr>
            <m:sty m:val="p"/>
          </m:rPr>
          <m:t>×</m:t>
        </m:r>
        <m:sSup>
          <m:e>
            <m:r>
              <m:t>10</m:t>
            </m:r>
          </m:e>
          <m:sup>
            <m:r>
              <m:rPr>
                <m:sty m:val="p"/>
              </m:rPr>
              <m:t>−</m:t>
            </m:r>
            <m:r>
              <m:t>3</m:t>
            </m:r>
          </m:sup>
        </m:sSup>
      </m:oMath>
      <w:r>
        <w:t xml:space="preserve"> </w:t>
      </w:r>
      <w:r>
        <w:t xml:space="preserve">at 100 keV) requires more events to achieve comparable relative uncertainty in</w:t>
      </w:r>
      <w:r>
        <w:t xml:space="preserve"> </w:t>
      </w:r>
      <m:oMath>
        <m:acc>
          <m:accPr>
            <m:chr m:val="̂"/>
          </m:accPr>
          <m:e>
            <m:r>
              <m:t>μ</m:t>
            </m:r>
          </m:e>
        </m:acc>
      </m:oMath>
      <w:r>
        <w:t xml:space="preserve">.</w:t>
      </w:r>
    </w:p>
    <w:bookmarkEnd w:id="31"/>
    <w:bookmarkStart w:id="32" w:name="acceptance-criteria"/>
    <w:p>
      <w:pPr>
        <w:pStyle w:val="Heading3"/>
      </w:pPr>
      <w:r>
        <w:t xml:space="preserve">4.5 Acceptance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Metric</w:t>
            </w:r>
          </w:p>
        </w:tc>
        <w:tc>
          <w:tcPr/>
          <w:p>
            <w:pPr>
              <w:pStyle w:val="Compact"/>
            </w:pPr>
            <w:r>
              <w:t xml:space="preserve">Gate</w:t>
            </w:r>
          </w:p>
        </w:tc>
      </w:tr>
      <w:tr>
        <w:tc>
          <w:tcPr/>
          <w:p>
            <w:pPr>
              <w:pStyle w:val="Compact"/>
            </w:pPr>
            <w:r>
              <w:t xml:space="preserve">Regime A vs XCOM</w:t>
            </w:r>
          </w:p>
        </w:tc>
        <w:tc>
          <w:tcPr/>
          <w:p>
            <w:pPr>
              <w:pStyle w:val="Compact"/>
            </w:pPr>
            <w:r>
              <w:t xml:space="preserve">mean</w:t>
            </w:r>
            <w:r>
              <w:t xml:space="preserve"> </w:t>
            </w:r>
            <m:oMath>
              <m:r>
                <m:rPr>
                  <m:sty m:val="p"/>
                </m:rPr>
                <m:t>|</m:t>
              </m:r>
              <m:r>
                <m:rPr>
                  <m:sty m:val="p"/>
                </m:rPr>
                <m:t>Δ</m:t>
              </m:r>
              <m:r>
                <m:rPr>
                  <m:sty m:val="p"/>
                </m:rPr>
                <m:t>(</m:t>
              </m:r>
              <m:r>
                <m:t>μ</m:t>
              </m:r>
              <m:r>
                <m:rPr>
                  <m:sty m:val="p"/>
                </m:rPr>
                <m:t>/</m:t>
              </m:r>
              <m:r>
                <m:t>ρ</m:t>
              </m:r>
              <m:r>
                <m:rPr>
                  <m:sty m:val="p"/>
                </m:rPr>
                <m:t>)</m:t>
              </m:r>
              <m:r>
                <m:rPr>
                  <m:sty m:val="p"/>
                </m:rPr>
                <m:t>|</m:t>
              </m:r>
            </m:oMath>
            <w:r>
              <w:t xml:space="preserve"> </w:t>
            </w:r>
            <w:r>
              <w:t xml:space="preserve">over 10 energies</w:t>
            </w:r>
          </w:p>
        </w:tc>
        <w:tc>
          <w:tcPr/>
          <w:p>
            <w:pPr>
              <w:pStyle w:val="Compact"/>
            </w:pPr>
            <m:oMath>
              <m:r>
                <m:rPr>
                  <m:sty m:val="p"/>
                </m:rPr>
                <m:t>≤</m:t>
              </m:r>
              <m:r>
                <m:t>1.5</m:t>
              </m:r>
              <m:r>
                <m:rPr>
                  <m:sty m:val="p"/>
                </m:rPr>
                <m:t>%</m:t>
              </m:r>
            </m:oMath>
          </w:p>
        </w:tc>
      </w:tr>
      <w:tr>
        <w:tc>
          <w:tcPr/>
          <w:p>
            <w:pPr>
              <w:pStyle w:val="Compact"/>
            </w:pPr>
            <w:r>
              <w:t xml:space="preserve">Regime A vs XCOM</w:t>
            </w:r>
          </w:p>
        </w:tc>
        <w:tc>
          <w:tcPr/>
          <w:p>
            <w:pPr>
              <w:pStyle w:val="Compact"/>
            </w:pPr>
            <w:r>
              <w:t xml:space="preserve">max</w:t>
            </w:r>
            <w:r>
              <w:t xml:space="preserve"> </w:t>
            </w:r>
            <m:oMath>
              <m:r>
                <m:rPr>
                  <m:sty m:val="p"/>
                </m:rPr>
                <m:t>|</m:t>
              </m:r>
              <m:r>
                <m:rPr>
                  <m:sty m:val="p"/>
                </m:rPr>
                <m:t>Δ</m:t>
              </m:r>
              <m:r>
                <m:rPr>
                  <m:sty m:val="p"/>
                </m:rPr>
                <m:t>(</m:t>
              </m:r>
              <m:r>
                <m:t>μ</m:t>
              </m:r>
              <m:r>
                <m:rPr>
                  <m:sty m:val="p"/>
                </m:rPr>
                <m:t>/</m:t>
              </m:r>
              <m:r>
                <m:t>ρ</m:t>
              </m:r>
              <m:r>
                <m:rPr>
                  <m:sty m:val="p"/>
                </m:rPr>
                <m:t>)</m:t>
              </m:r>
              <m:r>
                <m:rPr>
                  <m:sty m:val="p"/>
                </m:rPr>
                <m:t>|</m:t>
              </m:r>
            </m:oMath>
            <w:r>
              <w:t xml:space="preserve"> </w:t>
            </w:r>
            <w:r>
              <w:t xml:space="preserve">over 10 energies</w:t>
            </w:r>
          </w:p>
        </w:tc>
        <w:tc>
          <w:tcPr/>
          <w:p>
            <w:pPr>
              <w:pStyle w:val="Compact"/>
            </w:pPr>
            <m:oMath>
              <m:r>
                <m:rPr>
                  <m:sty m:val="p"/>
                </m:rPr>
                <m:t>≤</m:t>
              </m:r>
              <m:r>
                <m:t>5.0</m:t>
              </m:r>
              <m:r>
                <m:rPr>
                  <m:sty m:val="p"/>
                </m:rPr>
                <m:t>%</m:t>
              </m:r>
            </m:oMath>
          </w:p>
        </w:tc>
      </w:tr>
      <w:tr>
        <w:tc>
          <w:tcPr/>
          <w:p>
            <w:pPr>
              <w:pStyle w:val="Compact"/>
            </w:pPr>
            <w:r>
              <w:t xml:space="preserve">H1 cross-regime</w:t>
            </w:r>
          </w:p>
        </w:tc>
        <w:tc>
          <w:tcPr/>
          <w:p>
            <w:pPr>
              <w:pStyle w:val="Compact"/>
            </w:pPr>
            <m:oMath>
              <m:r>
                <m:rPr>
                  <m:sty m:val="p"/>
                </m:rPr>
                <m:t>|</m:t>
              </m:r>
              <m:sSub>
                <m:e>
                  <m:r>
                    <m:t>μ</m:t>
                  </m:r>
                </m:e>
                <m:sub>
                  <m:r>
                    <m:t>B</m:t>
                  </m:r>
                </m:sub>
              </m:sSub>
              <m:r>
                <m:rPr>
                  <m:sty m:val="p"/>
                </m:rPr>
                <m:t>/</m:t>
              </m:r>
              <m:sSub>
                <m:e>
                  <m:r>
                    <m:t>μ</m:t>
                  </m:r>
                </m:e>
                <m:sub>
                  <m:r>
                    <m:t>A</m:t>
                  </m:r>
                </m:sub>
              </m:sSub>
              <m:r>
                <m:rPr>
                  <m:sty m:val="p"/>
                </m:rPr>
                <m:t>−</m:t>
              </m:r>
              <m:r>
                <m:t>1</m:t>
              </m:r>
              <m:r>
                <m:rPr>
                  <m:sty m:val="p"/>
                </m:rPr>
                <m:t>|</m:t>
              </m:r>
            </m:oMath>
            <w:r>
              <w:t xml:space="preserve"> </w:t>
            </w:r>
            <w:r>
              <w:t xml:space="preserve">at each energy</w:t>
            </w:r>
          </w:p>
        </w:tc>
        <w:tc>
          <w:tcPr/>
          <w:p>
            <w:pPr>
              <w:pStyle w:val="Compact"/>
            </w:pPr>
            <m:oMath>
              <m:r>
                <m:rPr>
                  <m:sty m:val="p"/>
                </m:rPr>
                <m:t>≤</m:t>
              </m:r>
              <m:r>
                <m:t>3</m:t>
              </m:r>
              <m:r>
                <m:rPr>
                  <m:sty m:val="p"/>
                </m:rPr>
                <m:t>%</m:t>
              </m:r>
            </m:oMath>
            <w:r>
              <w:t xml:space="preserve"> </w:t>
            </w:r>
            <w:r>
              <w:t xml:space="preserve">(2σ dominated by regime B/C statistics)</w:t>
            </w:r>
          </w:p>
        </w:tc>
      </w:tr>
    </w:tbl>
    <w:bookmarkEnd w:id="32"/>
    <w:bookmarkStart w:id="33" w:name="reproducibility"/>
    <w:p>
      <w:pPr>
        <w:pStyle w:val="Heading3"/>
      </w:pPr>
      <w:r>
        <w:t xml:space="preserve">4.6 Reproducibility</w:t>
      </w:r>
    </w:p>
    <w:p>
      <w:pPr>
        <w:pStyle w:val="FirstParagraph"/>
      </w:pPr>
      <w:r>
        <w:t xml:space="preserve">Every run produces a JSON manifest including: Geant4 version, git SHA, physics list, random seed, macro SHA-256, raw scorer outputs, and derived metrics. Manifests are committed under</w:t>
      </w:r>
      <w:r>
        <w:t xml:space="preserve"> </w:t>
      </w:r>
      <w:r>
        <w:rPr>
          <w:rStyle w:val="VerbatimChar"/>
        </w:rPr>
        <w:t xml:space="preserve">results/paper3/</w:t>
      </w:r>
      <w:r>
        <w:t xml:space="preserve">. Study files, macro writer, and post-processing scripts are open-source under MIT licence at the repository root.</w:t>
      </w:r>
    </w:p>
    <w:p>
      <w:r>
        <w:pict>
          <v:rect style="width:0;height:1.5pt" o:hralign="center" o:hrstd="t" o:hr="t"/>
        </w:pict>
      </w:r>
    </w:p>
    <w:bookmarkEnd w:id="33"/>
    <w:bookmarkEnd w:id="34"/>
    <w:bookmarkStart w:id="60" w:name="results"/>
    <w:p>
      <w:pPr>
        <w:pStyle w:val="Heading2"/>
      </w:pPr>
      <w:r>
        <w:t xml:space="preserve">5. Results</w:t>
      </w:r>
    </w:p>
    <w:bookmarkStart w:id="47" w:name="regime-a-effective-medium-studies"/>
    <w:p>
      <w:pPr>
        <w:pStyle w:val="Heading3"/>
      </w:pPr>
      <w:r>
        <w:t xml:space="preserve">5.1 Regime A — Effective-Medium Studies</w:t>
      </w:r>
    </w:p>
    <w:p>
      <w:pPr>
        <w:pStyle w:val="FirstParagraph"/>
      </w:pPr>
      <w:r>
        <w:t xml:space="preserve">Two regime-A runs are reported. The first (§5.1.1–5.1.4) is the existing high-statistics XCOM validation for the 30 wt% Bi₂O₃ / HDPE material. The second (§5.1.5) is the new phi0p189 run at the composition consistent with φ = 0.189 (68.6 wt% Bi₂O₃), which serves as the regime-A baseline for the cross-regime H1 test in §5.4.</w:t>
      </w:r>
    </w:p>
    <w:bookmarkStart w:id="35" w:name="X64d9ae7498b90788761a22a6af54fbb30d25cea"/>
    <w:p>
      <w:pPr>
        <w:pStyle w:val="Heading4"/>
      </w:pPr>
      <w:r>
        <w:t xml:space="preserve">5.1.0 Regime A(30wt) — XCOM Validation Run (separate study)</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configs/studies/paper3_hdpe_bi2o3_regime_a_highstat.json</w:t>
      </w:r>
      <w:r>
        <w:t xml:space="preserve">, physics list</w:t>
      </w:r>
      <w:r>
        <w:t xml:space="preserve"> </w:t>
      </w:r>
      <w:r>
        <w:rPr>
          <w:rStyle w:val="VerbatimChar"/>
        </w:rPr>
        <w:t xml:space="preserve">emlivermore</w:t>
      </w:r>
      <w:r>
        <w:t xml:space="preserve">,</w:t>
      </w:r>
      <w:r>
        <w:t xml:space="preserve"> </w:t>
      </w:r>
      <m:oMath>
        <m:sSup>
          <m:e>
            <m:r>
              <m:t>10</m:t>
            </m:r>
          </m:e>
          <m:sup>
            <m:r>
              <m:t>6</m:t>
            </m:r>
          </m:sup>
        </m:sSup>
      </m:oMath>
      <w:r>
        <w:t xml:space="preserve"> </w:t>
      </w:r>
      <w:r>
        <w:t xml:space="preserve">histories per energy, Geant4 11.4, WSL Ubuntu, result directory</w:t>
      </w:r>
      <w:r>
        <w:t xml:space="preserve"> </w:t>
      </w:r>
      <w:r>
        <w:rPr>
          <w:rStyle w:val="VerbatimChar"/>
        </w:rPr>
        <w:t xml:space="preserve">results/paper3/regime_a_hdpe_bi2o3_highstat/</w:t>
      </w:r>
      <w:r>
        <w:t xml:space="preserve">.</w:t>
      </w:r>
    </w:p>
    <w:p>
      <w:pPr>
        <w:pStyle w:val="BodyText"/>
      </w:pPr>
      <w:r>
        <w:rPr>
          <w:i/>
          <w:iCs/>
        </w:rPr>
        <w:t xml:space="preserve">Note: this material (30 wt% Bi₂O₃, ρ = 2.45 g cm⁻³) uses a user-supplied density that is physically inconsistent with the two-phase mixture rule (the correct density for 30 wt% Bi₂O₃/HDPE is approximately 1.30 g cm⁻³). The density is retained as a literature input for the XCOM-validation purpose only. The cross-regime comparison in §5.2–5.4 uses the phi0p189 material described in §5.1.5.</w:t>
      </w:r>
    </w:p>
    <w:bookmarkEnd w:id="35"/>
    <w:bookmarkStart w:id="36" w:name="acceptance-gate-30-wt-xcom-validation"/>
    <w:p>
      <w:pPr>
        <w:pStyle w:val="Heading4"/>
      </w:pPr>
      <w:r>
        <w:t xml:space="preserve">5.1.1 Acceptance gate (30 wt% XCOM validation)</w:t>
      </w:r>
    </w:p>
    <w:p>
      <w:pPr>
        <w:pStyle w:val="FirstParagraph"/>
      </w:pPr>
      <w:r>
        <w:t xml:space="preserve">The machine-enforced acceptance gate in</w:t>
      </w:r>
      <w:r>
        <w:t xml:space="preserve"> </w:t>
      </w:r>
      <w:r>
        <w:rPr>
          <w:rStyle w:val="VerbatimChar"/>
        </w:rPr>
        <w:t xml:space="preserve">paper3_acceptance.json</w:t>
      </w:r>
      <w:r>
        <w:t xml:space="preserve"> </w:t>
      </w:r>
      <w:r>
        <w:rPr>
          <w:b/>
          <w:bCs/>
        </w:rPr>
        <w:t xml:space="preserve">passed</w:t>
      </w:r>
      <w:r>
        <w:t xml:space="preserve"> </w:t>
      </w:r>
      <w:r>
        <w:t xml:space="preserve">for the full 10-point energy grid:</w:t>
      </w:r>
    </w:p>
    <w:p>
      <w:pPr>
        <w:pStyle w:val="Compact"/>
        <w:numPr>
          <w:ilvl w:val="0"/>
          <w:numId w:val="1003"/>
        </w:numPr>
      </w:pPr>
      <w:r>
        <w:t xml:space="preserve">Mean absolute percent difference in</w:t>
      </w:r>
      <w:r>
        <w:t xml:space="preserve"> </w:t>
      </w:r>
      <m:oMath>
        <m:r>
          <m:t>μ</m:t>
        </m:r>
        <m:r>
          <m:rPr>
            <m:sty m:val="p"/>
          </m:rPr>
          <m:t>/</m:t>
        </m:r>
        <m:r>
          <m:t>ρ</m:t>
        </m:r>
      </m:oMath>
      <w:r>
        <w:t xml:space="preserve"> </w:t>
      </w:r>
      <w:r>
        <w:t xml:space="preserve">vs XCOM:</w:t>
      </w:r>
      <w:r>
        <w:t xml:space="preserve"> </w:t>
      </w:r>
      <w:r>
        <w:rPr>
          <w:b/>
          <w:bCs/>
        </w:rPr>
        <w:t xml:space="preserve">0.549%</w:t>
      </w:r>
      <w:r>
        <w:t xml:space="preserve"> </w:t>
      </w:r>
      <w:r>
        <w:t xml:space="preserve">(gate: ≤ 1.5%)</w:t>
      </w:r>
    </w:p>
    <w:p>
      <w:pPr>
        <w:pStyle w:val="Compact"/>
        <w:numPr>
          <w:ilvl w:val="0"/>
          <w:numId w:val="1003"/>
        </w:numPr>
      </w:pPr>
      <w:r>
        <w:t xml:space="preserve">Maximum absolute percent difference in</w:t>
      </w:r>
      <w:r>
        <w:t xml:space="preserve"> </w:t>
      </w:r>
      <m:oMath>
        <m:r>
          <m:t>μ</m:t>
        </m:r>
        <m:r>
          <m:rPr>
            <m:sty m:val="p"/>
          </m:rPr>
          <m:t>/</m:t>
        </m:r>
        <m:r>
          <m:t>ρ</m:t>
        </m:r>
      </m:oMath>
      <w:r>
        <w:t xml:space="preserve"> </w:t>
      </w:r>
      <w:r>
        <w:t xml:space="preserve">vs XCOM:</w:t>
      </w:r>
      <w:r>
        <w:t xml:space="preserve"> </w:t>
      </w:r>
      <w:r>
        <w:rPr>
          <w:b/>
          <w:bCs/>
        </w:rPr>
        <w:t xml:space="preserve">2.013%</w:t>
      </w:r>
      <w:r>
        <w:t xml:space="preserve"> </w:t>
      </w:r>
      <w:r>
        <w:t xml:space="preserve">at 80 keV (gate: ≤ 5.0%)</w:t>
      </w:r>
    </w:p>
    <w:bookmarkEnd w:id="36"/>
    <w:bookmarkStart w:id="37" w:name="mass-attenuation-coefficient-table"/>
    <w:p>
      <w:pPr>
        <w:pStyle w:val="Heading4"/>
      </w:pPr>
      <w:r>
        <w:t xml:space="preserve">5.1.2 Mass attenuation coefficient table</w:t>
      </w:r>
    </w:p>
    <w:p>
      <w:pPr>
        <w:pStyle w:val="FirstParagraph"/>
      </w:pPr>
      <w:r>
        <w:t xml:space="preserve">Table 1 lists the full 10-point regime A results. Column headers: energy</w:t>
      </w:r>
      <w:r>
        <w:t xml:space="preserve"> </w:t>
      </w:r>
      <m:oMath>
        <m:r>
          <m:t>E</m:t>
        </m:r>
      </m:oMath>
      <w:r>
        <w:t xml:space="preserve">, per-energy slab thickness</w:t>
      </w:r>
      <w:r>
        <w:t xml:space="preserve"> </w:t>
      </w:r>
      <m:oMath>
        <m:r>
          <m:t>t</m:t>
        </m:r>
      </m:oMath>
      <w:r>
        <w:t xml:space="preserve"> </w:t>
      </w:r>
      <w:r>
        <w:t xml:space="preserve">adjusted to target</w:t>
      </w:r>
      <w:r>
        <w:t xml:space="preserve"> </w:t>
      </w:r>
      <m:oMath>
        <m:r>
          <m:t>T</m:t>
        </m:r>
        <m:r>
          <m:rPr>
            <m:sty m:val="p"/>
          </m:rPr>
          <m:t>≈</m:t>
        </m:r>
        <m:r>
          <m:t>0.65</m:t>
        </m:r>
      </m:oMath>
      <w:r>
        <w:t xml:space="preserve">, number of primary events</w:t>
      </w:r>
      <w:r>
        <w:t xml:space="preserve"> </w:t>
      </w:r>
      <m:oMath>
        <m:r>
          <m:t>N</m:t>
        </m:r>
      </m:oMath>
      <w:r>
        <w:t xml:space="preserve">, transmission fraction</w:t>
      </w:r>
      <w:r>
        <w:t xml:space="preserve"> </w:t>
      </w:r>
      <m:oMath>
        <m:r>
          <m:t>T</m:t>
        </m:r>
      </m:oMath>
      <w:r>
        <w:t xml:space="preserve">, simulated linear attenuation coefficient</w:t>
      </w:r>
      <w:r>
        <w:t xml:space="preserve"> </w:t>
      </w:r>
      <m:oMath>
        <m:sSub>
          <m:e>
            <m:r>
              <m:t>μ</m:t>
            </m:r>
          </m:e>
          <m:sub>
            <m:r>
              <m:rPr>
                <m:nor/>
                <m:sty m:val="p"/>
              </m:rPr>
              <m:t>sim</m:t>
            </m:r>
          </m:sub>
        </m:sSub>
      </m:oMath>
      <w:r>
        <w:t xml:space="preserve">, simulated mass attenuation coefficient</w:t>
      </w:r>
      <w:r>
        <w:t xml:space="preserve"> </w:t>
      </w:r>
      <m:oMath>
        <m:r>
          <m:rPr>
            <m:sty m:val="p"/>
          </m:rPr>
          <m:t>(</m:t>
        </m:r>
        <m:r>
          <m:t>μ</m:t>
        </m:r>
        <m:r>
          <m:rPr>
            <m:sty m:val="p"/>
          </m:rPr>
          <m:t>/</m:t>
        </m:r>
        <m:r>
          <m:t>ρ</m:t>
        </m:r>
        <m:sSub>
          <m:e>
            <m:r>
              <m:rPr>
                <m:sty m:val="p"/>
              </m:rPr>
              <m:t>)</m:t>
            </m:r>
          </m:e>
          <m:sub>
            <m:r>
              <m:rPr>
                <m:nor/>
                <m:sty m:val="p"/>
              </m:rPr>
              <m:t>sim</m:t>
            </m:r>
          </m:sub>
        </m:sSub>
      </m:oMath>
      <w:r>
        <w:t xml:space="preserve">, NIST XCOM reference</w:t>
      </w:r>
      <w:r>
        <w:t xml:space="preserve"> </w:t>
      </w:r>
      <m:oMath>
        <m:r>
          <m:rPr>
            <m:sty m:val="p"/>
          </m:rPr>
          <m:t>(</m:t>
        </m:r>
        <m:r>
          <m:t>μ</m:t>
        </m:r>
        <m:r>
          <m:rPr>
            <m:sty m:val="p"/>
          </m:rPr>
          <m:t>/</m:t>
        </m:r>
        <m:r>
          <m:t>ρ</m:t>
        </m:r>
        <m:sSub>
          <m:e>
            <m:r>
              <m:rPr>
                <m:sty m:val="p"/>
              </m:rPr>
              <m:t>)</m:t>
            </m:r>
          </m:e>
          <m:sub>
            <m:r>
              <m:rPr>
                <m:nor/>
                <m:sty m:val="p"/>
              </m:rPr>
              <m:t>XCOM</m:t>
            </m:r>
          </m:sub>
        </m:sSub>
      </m:oMath>
      <w:r>
        <w:t xml:space="preserve">, and relative deviation</w:t>
      </w:r>
      <w:r>
        <w:t xml:space="preserve"> </w:t>
      </w:r>
      <m:oMath>
        <m:r>
          <m:rPr>
            <m:sty m:val="p"/>
          </m:rPr>
          <m:t>Δ</m:t>
        </m:r>
        <m:r>
          <m:rPr>
            <m:sty m:val="p"/>
          </m:rPr>
          <m:t>=</m:t>
        </m:r>
        <m:r>
          <m:t>100</m:t>
        </m:r>
        <m:r>
          <m:rPr>
            <m:sty m:val="p"/>
          </m:rPr>
          <m:t>×</m:t>
        </m:r>
        <m:r>
          <m:rPr>
            <m:sty m:val="p"/>
          </m:rPr>
          <m:t>[</m:t>
        </m:r>
        <m:r>
          <m:rPr>
            <m:sty m:val="p"/>
          </m:rPr>
          <m:t>(</m:t>
        </m:r>
        <m:r>
          <m:t>μ</m:t>
        </m:r>
        <m:r>
          <m:rPr>
            <m:sty m:val="p"/>
          </m:rPr>
          <m:t>/</m:t>
        </m:r>
        <m:r>
          <m:t>ρ</m:t>
        </m:r>
        <m:sSub>
          <m:e>
            <m:r>
              <m:rPr>
                <m:sty m:val="p"/>
              </m:rPr>
              <m:t>)</m:t>
            </m:r>
          </m:e>
          <m:sub>
            <m:r>
              <m:rPr>
                <m:nor/>
                <m:sty m:val="p"/>
              </m:rPr>
              <m:t>sim</m:t>
            </m:r>
          </m:sub>
        </m:sSub>
        <m:r>
          <m:rPr>
            <m:sty m:val="p"/>
          </m:rPr>
          <m:t>/</m:t>
        </m:r>
        <m:r>
          <m:rPr>
            <m:sty m:val="p"/>
          </m:rPr>
          <m:t>(</m:t>
        </m:r>
        <m:r>
          <m:t>μ</m:t>
        </m:r>
        <m:r>
          <m:rPr>
            <m:sty m:val="p"/>
          </m:rPr>
          <m:t>/</m:t>
        </m:r>
        <m:r>
          <m:t>ρ</m:t>
        </m:r>
        <m:sSub>
          <m:e>
            <m:r>
              <m:rPr>
                <m:sty m:val="p"/>
              </m:rPr>
              <m:t>)</m:t>
            </m:r>
          </m:e>
          <m:sub>
            <m:r>
              <m:rPr>
                <m:nor/>
                <m:sty m:val="p"/>
              </m:rPr>
              <m:t>XCOM</m:t>
            </m:r>
          </m:sub>
        </m:sSub>
        <m:r>
          <m:rPr>
            <m:sty m:val="p"/>
          </m:rPr>
          <m:t>−</m:t>
        </m:r>
        <m:r>
          <m:t>1</m:t>
        </m:r>
        <m:r>
          <m:rPr>
            <m:sty m:val="p"/>
          </m:rPr>
          <m:t>]</m:t>
        </m:r>
      </m:oMath>
      <w:r>
        <w:t xml:space="preserve">.</w:t>
      </w:r>
    </w:p>
    <w:p>
      <w:pPr>
        <w:pStyle w:val="BodyText"/>
      </w:pPr>
      <w:r>
        <w:rPr>
          <w:b/>
          <w:bCs/>
        </w:rPr>
        <w:t xml:space="preserve">Table 1.</w:t>
      </w:r>
      <w:r>
        <w:t xml:space="preserve"> </w:t>
      </w:r>
      <w:r>
        <w:t xml:space="preserve">Regime A(30wt) mass attenuation coefficients for HDPE/Bi₂O₃ 30 wt% (</w:t>
      </w:r>
      <m:oMath>
        <m:r>
          <m:t>ρ</m:t>
        </m:r>
        <m:r>
          <m:rPr>
            <m:sty m:val="p"/>
          </m:rPr>
          <m:t>=</m:t>
        </m:r>
        <m:r>
          <m:t>2.45</m:t>
        </m:r>
      </m:oMath>
      <w:r>
        <w:t xml:space="preserve"> </w:t>
      </w:r>
      <w:r>
        <w:t xml:space="preserve">g cm</w:t>
      </w:r>
      <m:oMath>
        <m:sSup>
          <m:e>
            <m:r>
              <m:t>​</m:t>
            </m:r>
          </m:e>
          <m:sup>
            <m:r>
              <m:rPr>
                <m:sty m:val="p"/>
              </m:rPr>
              <m:t>−</m:t>
            </m:r>
            <m:r>
              <m:t>3</m:t>
            </m:r>
          </m:sup>
        </m:sSup>
      </m:oMath>
      <w:r>
        <w:t xml:space="preserve">, user-specified density) vs NIST XCOM.</w:t>
      </w:r>
      <w:r>
        <w:t xml:space="preserve"> </w:t>
      </w:r>
      <w:r>
        <w:rPr>
          <w:i/>
          <w:iCs/>
        </w:rPr>
        <w:t xml:space="preserve">This material is used for emlivermore XCOM validation only, not for the cross-regime comparison.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pPr>
            <m:oMath>
              <m:r>
                <m:t>E</m:t>
              </m:r>
            </m:oMath>
            <w:r>
              <w:t xml:space="preserve"> </w:t>
            </w:r>
            <w:r>
              <w:t xml:space="preserve">(keV)</w:t>
            </w:r>
          </w:p>
        </w:tc>
        <w:tc>
          <w:tcPr/>
          <w:p>
            <w:pPr>
              <w:pStyle w:val="Compact"/>
              <w:jc w:val="right"/>
            </w:pPr>
            <m:oMath>
              <m:r>
                <m:t>t</m:t>
              </m:r>
            </m:oMath>
            <w:r>
              <w:t xml:space="preserve"> </w:t>
            </w:r>
            <w:r>
              <w:t xml:space="preserve">(cm)</w:t>
            </w:r>
          </w:p>
        </w:tc>
        <w:tc>
          <w:tcPr/>
          <w:p>
            <w:pPr>
              <w:pStyle w:val="Compact"/>
              <w:jc w:val="right"/>
            </w:pPr>
            <m:oMath>
              <m:r>
                <m:t>N</m:t>
              </m:r>
            </m:oMath>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r>
                <m:rPr>
                  <m:sty m:val="p"/>
                </m:rPr>
                <m:t>Δ</m:t>
              </m:r>
            </m:oMath>
            <w:r>
              <w:t xml:space="preserve"> </w:t>
            </w:r>
            <w:r>
              <w:t xml:space="preserve">(%)</w:t>
            </w:r>
          </w:p>
        </w:tc>
      </w:tr>
      <w:tr>
        <w:tc>
          <w:tcPr/>
          <w:p>
            <w:pPr>
              <w:pStyle w:val="Compact"/>
              <w:jc w:val="right"/>
            </w:pPr>
            <w:r>
              <w:t xml:space="preserve">30</w:t>
            </w:r>
          </w:p>
        </w:tc>
        <w:tc>
          <w:tcPr/>
          <w:p>
            <w:pPr>
              <w:pStyle w:val="Compact"/>
              <w:jc w:val="right"/>
            </w:pPr>
            <w:r>
              <w:t xml:space="preserve">0.02025</w:t>
            </w:r>
          </w:p>
        </w:tc>
        <w:tc>
          <w:tcPr/>
          <w:p>
            <w:pPr>
              <w:pStyle w:val="Compact"/>
              <w:jc w:val="right"/>
            </w:pPr>
            <m:oMath>
              <m:sSup>
                <m:e>
                  <m:r>
                    <m:t>10</m:t>
                  </m:r>
                </m:e>
                <m:sup>
                  <m:r>
                    <m:t>6</m:t>
                  </m:r>
                </m:sup>
              </m:sSup>
            </m:oMath>
          </w:p>
        </w:tc>
        <w:tc>
          <w:tcPr/>
          <w:p>
            <w:pPr>
              <w:pStyle w:val="Compact"/>
              <w:jc w:val="right"/>
            </w:pPr>
            <w:r>
              <w:t xml:space="preserve">0.6494</w:t>
            </w:r>
          </w:p>
        </w:tc>
        <w:tc>
          <w:tcPr/>
          <w:p>
            <w:pPr>
              <w:pStyle w:val="Compact"/>
              <w:jc w:val="right"/>
            </w:pPr>
            <w:r>
              <w:t xml:space="preserve">21.322</w:t>
            </w:r>
          </w:p>
        </w:tc>
        <w:tc>
          <w:tcPr/>
          <w:p>
            <w:pPr>
              <w:pStyle w:val="Compact"/>
              <w:jc w:val="right"/>
            </w:pPr>
            <w:r>
              <w:t xml:space="preserve">8.703</w:t>
            </w:r>
          </w:p>
        </w:tc>
        <w:tc>
          <w:tcPr/>
          <w:p>
            <w:pPr>
              <w:pStyle w:val="Compact"/>
              <w:jc w:val="right"/>
            </w:pPr>
            <w:r>
              <w:t xml:space="preserve">8.683</w:t>
            </w:r>
          </w:p>
        </w:tc>
        <w:tc>
          <w:tcPr/>
          <w:p>
            <w:pPr>
              <w:pStyle w:val="Compact"/>
              <w:jc w:val="right"/>
            </w:pPr>
            <w:r>
              <w:t xml:space="preserve">+0.228</w:t>
            </w:r>
          </w:p>
        </w:tc>
      </w:tr>
      <w:tr>
        <w:tc>
          <w:tcPr/>
          <w:p>
            <w:pPr>
              <w:pStyle w:val="Compact"/>
              <w:jc w:val="right"/>
            </w:pPr>
            <w:r>
              <w:t xml:space="preserve">50</w:t>
            </w:r>
          </w:p>
        </w:tc>
        <w:tc>
          <w:tcPr/>
          <w:p>
            <w:pPr>
              <w:pStyle w:val="Compact"/>
              <w:jc w:val="right"/>
            </w:pPr>
            <w:r>
              <w:t xml:space="preserve">0.07304</w:t>
            </w:r>
          </w:p>
        </w:tc>
        <w:tc>
          <w:tcPr/>
          <w:p>
            <w:pPr>
              <w:pStyle w:val="Compact"/>
              <w:jc w:val="right"/>
            </w:pPr>
            <m:oMath>
              <m:sSup>
                <m:e>
                  <m:r>
                    <m:t>10</m:t>
                  </m:r>
                </m:e>
                <m:sup>
                  <m:r>
                    <m:t>6</m:t>
                  </m:r>
                </m:sup>
              </m:sSup>
            </m:oMath>
          </w:p>
        </w:tc>
        <w:tc>
          <w:tcPr/>
          <w:p>
            <w:pPr>
              <w:pStyle w:val="Compact"/>
              <w:jc w:val="right"/>
            </w:pPr>
            <w:r>
              <w:t xml:space="preserve">0.6504</w:t>
            </w:r>
          </w:p>
        </w:tc>
        <w:tc>
          <w:tcPr/>
          <w:p>
            <w:pPr>
              <w:pStyle w:val="Compact"/>
              <w:jc w:val="right"/>
            </w:pPr>
            <w:r>
              <w:t xml:space="preserve">5.890</w:t>
            </w:r>
          </w:p>
        </w:tc>
        <w:tc>
          <w:tcPr/>
          <w:p>
            <w:pPr>
              <w:pStyle w:val="Compact"/>
              <w:jc w:val="right"/>
            </w:pPr>
            <w:r>
              <w:t xml:space="preserve">2.404</w:t>
            </w:r>
          </w:p>
        </w:tc>
        <w:tc>
          <w:tcPr/>
          <w:p>
            <w:pPr>
              <w:pStyle w:val="Compact"/>
              <w:jc w:val="right"/>
            </w:pPr>
            <w:r>
              <w:t xml:space="preserve">2.407</w:t>
            </w:r>
          </w:p>
        </w:tc>
        <w:tc>
          <w:tcPr/>
          <w:p>
            <w:pPr>
              <w:pStyle w:val="Compact"/>
              <w:jc w:val="right"/>
            </w:pPr>
            <w:r>
              <w:t xml:space="preserve">−0.134</w:t>
            </w:r>
          </w:p>
        </w:tc>
      </w:tr>
      <w:tr>
        <w:tc>
          <w:tcPr/>
          <w:p>
            <w:pPr>
              <w:pStyle w:val="Compact"/>
              <w:jc w:val="right"/>
            </w:pPr>
            <w:r>
              <w:t xml:space="preserve">80</w:t>
            </w:r>
          </w:p>
        </w:tc>
        <w:tc>
          <w:tcPr/>
          <w:p>
            <w:pPr>
              <w:pStyle w:val="Compact"/>
              <w:jc w:val="right"/>
            </w:pPr>
            <w:r>
              <w:t xml:space="preserve">0.2167</w:t>
            </w:r>
          </w:p>
        </w:tc>
        <w:tc>
          <w:tcPr/>
          <w:p>
            <w:pPr>
              <w:pStyle w:val="Compact"/>
              <w:jc w:val="right"/>
            </w:pPr>
            <m:oMath>
              <m:sSup>
                <m:e>
                  <m:r>
                    <m:t>10</m:t>
                  </m:r>
                </m:e>
                <m:sup>
                  <m:r>
                    <m:t>6</m:t>
                  </m:r>
                </m:sup>
              </m:sSup>
            </m:oMath>
          </w:p>
        </w:tc>
        <w:tc>
          <w:tcPr/>
          <w:p>
            <w:pPr>
              <w:pStyle w:val="Compact"/>
              <w:jc w:val="right"/>
            </w:pPr>
            <w:r>
              <w:t xml:space="preserve">0.6557</w:t>
            </w:r>
          </w:p>
        </w:tc>
        <w:tc>
          <w:tcPr/>
          <w:p>
            <w:pPr>
              <w:pStyle w:val="Compact"/>
              <w:jc w:val="right"/>
            </w:pPr>
            <w:r>
              <w:t xml:space="preserve">1.948</w:t>
            </w:r>
          </w:p>
        </w:tc>
        <w:tc>
          <w:tcPr/>
          <w:p>
            <w:pPr>
              <w:pStyle w:val="Compact"/>
              <w:jc w:val="right"/>
            </w:pPr>
            <w:r>
              <w:t xml:space="preserve">0.7951</w:t>
            </w:r>
          </w:p>
        </w:tc>
        <w:tc>
          <w:tcPr/>
          <w:p>
            <w:pPr>
              <w:pStyle w:val="Compact"/>
              <w:jc w:val="right"/>
            </w:pPr>
            <w:r>
              <w:t xml:space="preserve">0.8114</w:t>
            </w:r>
          </w:p>
        </w:tc>
        <w:tc>
          <w:tcPr/>
          <w:p>
            <w:pPr>
              <w:pStyle w:val="Compact"/>
              <w:jc w:val="right"/>
            </w:pPr>
            <w:r>
              <w:t xml:space="preserve">−2.013</w:t>
            </w:r>
          </w:p>
        </w:tc>
      </w:tr>
      <w:tr>
        <w:tc>
          <w:tcPr/>
          <w:p>
            <w:pPr>
              <w:pStyle w:val="Compact"/>
              <w:jc w:val="right"/>
            </w:pPr>
            <w:r>
              <w:t xml:space="preserve">100</w:t>
            </w:r>
          </w:p>
        </w:tc>
        <w:tc>
          <w:tcPr/>
          <w:p>
            <w:pPr>
              <w:pStyle w:val="Compact"/>
              <w:jc w:val="right"/>
            </w:pPr>
            <w:r>
              <w:t xml:space="preserve">0.1053</w:t>
            </w:r>
          </w:p>
        </w:tc>
        <w:tc>
          <w:tcPr/>
          <w:p>
            <w:pPr>
              <w:pStyle w:val="Compact"/>
              <w:jc w:val="right"/>
            </w:pPr>
            <m:oMath>
              <m:sSup>
                <m:e>
                  <m:r>
                    <m:t>10</m:t>
                  </m:r>
                </m:e>
                <m:sup>
                  <m:r>
                    <m:t>6</m:t>
                  </m:r>
                </m:sup>
              </m:sSup>
            </m:oMath>
          </w:p>
        </w:tc>
        <w:tc>
          <w:tcPr/>
          <w:p>
            <w:pPr>
              <w:pStyle w:val="Compact"/>
              <w:jc w:val="right"/>
            </w:pPr>
            <w:r>
              <w:t xml:space="preserve">0.6510</w:t>
            </w:r>
          </w:p>
        </w:tc>
        <w:tc>
          <w:tcPr/>
          <w:p>
            <w:pPr>
              <w:pStyle w:val="Compact"/>
              <w:jc w:val="right"/>
            </w:pPr>
            <w:r>
              <w:t xml:space="preserve">4.076</w:t>
            </w:r>
          </w:p>
        </w:tc>
        <w:tc>
          <w:tcPr/>
          <w:p>
            <w:pPr>
              <w:pStyle w:val="Compact"/>
              <w:jc w:val="right"/>
            </w:pPr>
            <w:r>
              <w:t xml:space="preserve">1.664</w:t>
            </w:r>
          </w:p>
        </w:tc>
        <w:tc>
          <w:tcPr/>
          <w:p>
            <w:pPr>
              <w:pStyle w:val="Compact"/>
              <w:jc w:val="right"/>
            </w:pPr>
            <w:r>
              <w:t xml:space="preserve">1.670</w:t>
            </w:r>
          </w:p>
        </w:tc>
        <w:tc>
          <w:tcPr/>
          <w:p>
            <w:pPr>
              <w:pStyle w:val="Compact"/>
              <w:jc w:val="right"/>
            </w:pPr>
            <w:r>
              <w:t xml:space="preserve">−0.358</w:t>
            </w:r>
          </w:p>
        </w:tc>
      </w:tr>
      <w:tr>
        <w:tc>
          <w:tcPr/>
          <w:p>
            <w:pPr>
              <w:pStyle w:val="Compact"/>
              <w:jc w:val="right"/>
            </w:pPr>
            <w:r>
              <w:t xml:space="preserve">150</w:t>
            </w:r>
          </w:p>
        </w:tc>
        <w:tc>
          <w:tcPr/>
          <w:p>
            <w:pPr>
              <w:pStyle w:val="Compact"/>
              <w:jc w:val="right"/>
            </w:pPr>
            <w:r>
              <w:t xml:space="preserve">0.2617</w:t>
            </w:r>
          </w:p>
        </w:tc>
        <w:tc>
          <w:tcPr/>
          <w:p>
            <w:pPr>
              <w:pStyle w:val="Compact"/>
              <w:jc w:val="right"/>
            </w:pPr>
            <m:oMath>
              <m:sSup>
                <m:e>
                  <m:r>
                    <m:t>10</m:t>
                  </m:r>
                </m:e>
                <m:sup>
                  <m:r>
                    <m:t>6</m:t>
                  </m:r>
                </m:sup>
              </m:sSup>
            </m:oMath>
          </w:p>
        </w:tc>
        <w:tc>
          <w:tcPr/>
          <w:p>
            <w:pPr>
              <w:pStyle w:val="Compact"/>
              <w:jc w:val="right"/>
            </w:pPr>
            <w:r>
              <w:t xml:space="preserve">0.6502</w:t>
            </w:r>
          </w:p>
        </w:tc>
        <w:tc>
          <w:tcPr/>
          <w:p>
            <w:pPr>
              <w:pStyle w:val="Compact"/>
              <w:jc w:val="right"/>
            </w:pPr>
            <w:r>
              <w:t xml:space="preserve">1.645</w:t>
            </w:r>
          </w:p>
        </w:tc>
        <w:tc>
          <w:tcPr/>
          <w:p>
            <w:pPr>
              <w:pStyle w:val="Compact"/>
              <w:jc w:val="right"/>
            </w:pPr>
            <w:r>
              <w:t xml:space="preserve">0.6714</w:t>
            </w:r>
          </w:p>
        </w:tc>
        <w:tc>
          <w:tcPr/>
          <w:p>
            <w:pPr>
              <w:pStyle w:val="Compact"/>
              <w:jc w:val="right"/>
            </w:pPr>
            <w:r>
              <w:t xml:space="preserve">0.6719</w:t>
            </w:r>
          </w:p>
        </w:tc>
        <w:tc>
          <w:tcPr/>
          <w:p>
            <w:pPr>
              <w:pStyle w:val="Compact"/>
              <w:jc w:val="right"/>
            </w:pPr>
            <w:r>
              <w:t xml:space="preserve">−0.075</w:t>
            </w:r>
          </w:p>
        </w:tc>
      </w:tr>
      <w:tr>
        <w:tc>
          <w:tcPr/>
          <w:p>
            <w:pPr>
              <w:pStyle w:val="Compact"/>
              <w:jc w:val="right"/>
            </w:pPr>
            <w:r>
              <w:t xml:space="preserve">356</w:t>
            </w:r>
          </w:p>
        </w:tc>
        <w:tc>
          <w:tcPr/>
          <w:p>
            <w:pPr>
              <w:pStyle w:val="Compact"/>
              <w:jc w:val="right"/>
            </w:pPr>
            <w:r>
              <w:t xml:space="preserve">1.0762</w:t>
            </w:r>
          </w:p>
        </w:tc>
        <w:tc>
          <w:tcPr/>
          <w:p>
            <w:pPr>
              <w:pStyle w:val="Compact"/>
              <w:jc w:val="right"/>
            </w:pPr>
            <m:oMath>
              <m:sSup>
                <m:e>
                  <m:r>
                    <m:t>10</m:t>
                  </m:r>
                </m:e>
                <m:sup>
                  <m:r>
                    <m:t>6</m:t>
                  </m:r>
                </m:sup>
              </m:sSup>
            </m:oMath>
          </w:p>
        </w:tc>
        <w:tc>
          <w:tcPr/>
          <w:p>
            <w:pPr>
              <w:pStyle w:val="Compact"/>
              <w:jc w:val="right"/>
            </w:pPr>
            <w:r>
              <w:t xml:space="preserve">0.6522</w:t>
            </w:r>
          </w:p>
        </w:tc>
        <w:tc>
          <w:tcPr/>
          <w:p>
            <w:pPr>
              <w:pStyle w:val="Compact"/>
              <w:jc w:val="right"/>
            </w:pPr>
            <w:r>
              <w:t xml:space="preserve">0.3971</w:t>
            </w:r>
          </w:p>
        </w:tc>
        <w:tc>
          <w:tcPr/>
          <w:p>
            <w:pPr>
              <w:pStyle w:val="Compact"/>
              <w:jc w:val="right"/>
            </w:pPr>
            <w:r>
              <w:t xml:space="preserve">0.1621</w:t>
            </w:r>
          </w:p>
        </w:tc>
        <w:tc>
          <w:tcPr/>
          <w:p>
            <w:pPr>
              <w:pStyle w:val="Compact"/>
              <w:jc w:val="right"/>
            </w:pPr>
            <w:r>
              <w:t xml:space="preserve">0.1634</w:t>
            </w:r>
          </w:p>
        </w:tc>
        <w:tc>
          <w:tcPr/>
          <w:p>
            <w:pPr>
              <w:pStyle w:val="Compact"/>
              <w:jc w:val="right"/>
            </w:pPr>
            <w:r>
              <w:t xml:space="preserve">−0.799</w:t>
            </w:r>
          </w:p>
        </w:tc>
      </w:tr>
      <w:tr>
        <w:tc>
          <w:tcPr/>
          <w:p>
            <w:pPr>
              <w:pStyle w:val="Compact"/>
              <w:jc w:val="right"/>
            </w:pPr>
            <w:r>
              <w:t xml:space="preserve">511</w:t>
            </w:r>
          </w:p>
        </w:tc>
        <w:tc>
          <w:tcPr/>
          <w:p>
            <w:pPr>
              <w:pStyle w:val="Compact"/>
              <w:jc w:val="right"/>
            </w:pPr>
            <w:r>
              <w:t xml:space="preserve">1.5309</w:t>
            </w:r>
          </w:p>
        </w:tc>
        <w:tc>
          <w:tcPr/>
          <w:p>
            <w:pPr>
              <w:pStyle w:val="Compact"/>
              <w:jc w:val="right"/>
            </w:pPr>
            <m:oMath>
              <m:sSup>
                <m:e>
                  <m:r>
                    <m:t>10</m:t>
                  </m:r>
                </m:e>
                <m:sup>
                  <m:r>
                    <m:t>6</m:t>
                  </m:r>
                </m:sup>
              </m:sSup>
            </m:oMath>
          </w:p>
        </w:tc>
        <w:tc>
          <w:tcPr/>
          <w:p>
            <w:pPr>
              <w:pStyle w:val="Compact"/>
              <w:jc w:val="right"/>
            </w:pPr>
            <w:r>
              <w:t xml:space="preserve">0.6512</w:t>
            </w:r>
          </w:p>
        </w:tc>
        <w:tc>
          <w:tcPr/>
          <w:p>
            <w:pPr>
              <w:pStyle w:val="Compact"/>
              <w:jc w:val="right"/>
            </w:pPr>
            <w:r>
              <w:t xml:space="preserve">0.2801</w:t>
            </w:r>
          </w:p>
        </w:tc>
        <w:tc>
          <w:tcPr/>
          <w:p>
            <w:pPr>
              <w:pStyle w:val="Compact"/>
              <w:jc w:val="right"/>
            </w:pPr>
            <w:r>
              <w:t xml:space="preserve">0.1143</w:t>
            </w:r>
          </w:p>
        </w:tc>
        <w:tc>
          <w:tcPr/>
          <w:p>
            <w:pPr>
              <w:pStyle w:val="Compact"/>
              <w:jc w:val="right"/>
            </w:pPr>
            <w:r>
              <w:t xml:space="preserve">0.1149</w:t>
            </w:r>
          </w:p>
        </w:tc>
        <w:tc>
          <w:tcPr/>
          <w:p>
            <w:pPr>
              <w:pStyle w:val="Compact"/>
              <w:jc w:val="right"/>
            </w:pPr>
            <w:r>
              <w:t xml:space="preserve">−0.445</w:t>
            </w:r>
          </w:p>
        </w:tc>
      </w:tr>
      <w:tr>
        <w:tc>
          <w:tcPr/>
          <w:p>
            <w:pPr>
              <w:pStyle w:val="Compact"/>
              <w:jc w:val="right"/>
            </w:pPr>
            <w:r>
              <w:t xml:space="preserve">662</w:t>
            </w:r>
          </w:p>
        </w:tc>
        <w:tc>
          <w:tcPr/>
          <w:p>
            <w:pPr>
              <w:pStyle w:val="Compact"/>
              <w:jc w:val="right"/>
            </w:pPr>
            <w:r>
              <w:t xml:space="preserve">1.8605</w:t>
            </w:r>
          </w:p>
        </w:tc>
        <w:tc>
          <w:tcPr/>
          <w:p>
            <w:pPr>
              <w:pStyle w:val="Compact"/>
              <w:jc w:val="right"/>
            </w:pPr>
            <m:oMath>
              <m:sSup>
                <m:e>
                  <m:r>
                    <m:t>10</m:t>
                  </m:r>
                </m:e>
                <m:sup>
                  <m:r>
                    <m:t>6</m:t>
                  </m:r>
                </m:sup>
              </m:sSup>
            </m:oMath>
          </w:p>
        </w:tc>
        <w:tc>
          <w:tcPr/>
          <w:p>
            <w:pPr>
              <w:pStyle w:val="Compact"/>
              <w:jc w:val="right"/>
            </w:pPr>
            <w:r>
              <w:t xml:space="preserve">0.6519</w:t>
            </w:r>
          </w:p>
        </w:tc>
        <w:tc>
          <w:tcPr/>
          <w:p>
            <w:pPr>
              <w:pStyle w:val="Compact"/>
              <w:jc w:val="right"/>
            </w:pPr>
            <w:r>
              <w:t xml:space="preserve">0.2300</w:t>
            </w:r>
          </w:p>
        </w:tc>
        <w:tc>
          <w:tcPr/>
          <w:p>
            <w:pPr>
              <w:pStyle w:val="Compact"/>
              <w:jc w:val="right"/>
            </w:pPr>
            <w:r>
              <w:t xml:space="preserve">0.09386</w:t>
            </w:r>
          </w:p>
        </w:tc>
        <w:tc>
          <w:tcPr/>
          <w:p>
            <w:pPr>
              <w:pStyle w:val="Compact"/>
              <w:jc w:val="right"/>
            </w:pPr>
            <w:r>
              <w:t xml:space="preserve">0.09451</w:t>
            </w:r>
          </w:p>
        </w:tc>
        <w:tc>
          <w:tcPr/>
          <w:p>
            <w:pPr>
              <w:pStyle w:val="Compact"/>
              <w:jc w:val="right"/>
            </w:pPr>
            <w:r>
              <w:t xml:space="preserve">−0.686</w:t>
            </w:r>
          </w:p>
        </w:tc>
      </w:tr>
      <w:tr>
        <w:tc>
          <w:tcPr/>
          <w:p>
            <w:pPr>
              <w:pStyle w:val="Compact"/>
              <w:jc w:val="right"/>
            </w:pPr>
            <w:r>
              <w:t xml:space="preserve">1173</w:t>
            </w:r>
          </w:p>
        </w:tc>
        <w:tc>
          <w:tcPr/>
          <w:p>
            <w:pPr>
              <w:pStyle w:val="Compact"/>
              <w:jc w:val="right"/>
            </w:pPr>
            <w:r>
              <w:t xml:space="preserve">2.6772</w:t>
            </w:r>
          </w:p>
        </w:tc>
        <w:tc>
          <w:tcPr/>
          <w:p>
            <w:pPr>
              <w:pStyle w:val="Compact"/>
              <w:jc w:val="right"/>
            </w:pPr>
            <m:oMath>
              <m:sSup>
                <m:e>
                  <m:r>
                    <m:t>10</m:t>
                  </m:r>
                </m:e>
                <m:sup>
                  <m:r>
                    <m:t>6</m:t>
                  </m:r>
                </m:sup>
              </m:sSup>
            </m:oMath>
          </w:p>
        </w:tc>
        <w:tc>
          <w:tcPr/>
          <w:p>
            <w:pPr>
              <w:pStyle w:val="Compact"/>
              <w:jc w:val="right"/>
            </w:pPr>
            <w:r>
              <w:t xml:space="preserve">0.6515</w:t>
            </w:r>
          </w:p>
        </w:tc>
        <w:tc>
          <w:tcPr/>
          <w:p>
            <w:pPr>
              <w:pStyle w:val="Compact"/>
              <w:jc w:val="right"/>
            </w:pPr>
            <w:r>
              <w:t xml:space="preserve">0.1601</w:t>
            </w:r>
          </w:p>
        </w:tc>
        <w:tc>
          <w:tcPr/>
          <w:p>
            <w:pPr>
              <w:pStyle w:val="Compact"/>
              <w:jc w:val="right"/>
            </w:pPr>
            <w:r>
              <w:t xml:space="preserve">0.06533</w:t>
            </w:r>
          </w:p>
        </w:tc>
        <w:tc>
          <w:tcPr/>
          <w:p>
            <w:pPr>
              <w:pStyle w:val="Compact"/>
              <w:jc w:val="right"/>
            </w:pPr>
            <w:r>
              <w:t xml:space="preserve">0.06568</w:t>
            </w:r>
          </w:p>
        </w:tc>
        <w:tc>
          <w:tcPr/>
          <w:p>
            <w:pPr>
              <w:pStyle w:val="Compact"/>
              <w:jc w:val="right"/>
            </w:pPr>
            <w:r>
              <w:t xml:space="preserve">−0.532</w:t>
            </w:r>
          </w:p>
        </w:tc>
      </w:tr>
      <w:tr>
        <w:tc>
          <w:tcPr/>
          <w:p>
            <w:pPr>
              <w:pStyle w:val="Compact"/>
              <w:jc w:val="right"/>
            </w:pPr>
            <w:r>
              <w:t xml:space="preserve">1332</w:t>
            </w:r>
          </w:p>
        </w:tc>
        <w:tc>
          <w:tcPr/>
          <w:p>
            <w:pPr>
              <w:pStyle w:val="Compact"/>
              <w:jc w:val="right"/>
            </w:pPr>
            <w:r>
              <w:t xml:space="preserve">2.8791</w:t>
            </w:r>
          </w:p>
        </w:tc>
        <w:tc>
          <w:tcPr/>
          <w:p>
            <w:pPr>
              <w:pStyle w:val="Compact"/>
              <w:jc w:val="right"/>
            </w:pPr>
            <m:oMath>
              <m:sSup>
                <m:e>
                  <m:r>
                    <m:t>10</m:t>
                  </m:r>
                </m:e>
                <m:sup>
                  <m:r>
                    <m:t>6</m:t>
                  </m:r>
                </m:sup>
              </m:sSup>
            </m:oMath>
          </w:p>
        </w:tc>
        <w:tc>
          <w:tcPr/>
          <w:p>
            <w:pPr>
              <w:pStyle w:val="Compact"/>
              <w:jc w:val="right"/>
            </w:pPr>
            <w:r>
              <w:t xml:space="preserve">0.6506</w:t>
            </w:r>
          </w:p>
        </w:tc>
        <w:tc>
          <w:tcPr/>
          <w:p>
            <w:pPr>
              <w:pStyle w:val="Compact"/>
              <w:jc w:val="right"/>
            </w:pPr>
            <w:r>
              <w:t xml:space="preserve">0.1493</w:t>
            </w:r>
          </w:p>
        </w:tc>
        <w:tc>
          <w:tcPr/>
          <w:p>
            <w:pPr>
              <w:pStyle w:val="Compact"/>
              <w:jc w:val="right"/>
            </w:pPr>
            <w:r>
              <w:t xml:space="preserve">0.06094</w:t>
            </w:r>
          </w:p>
        </w:tc>
        <w:tc>
          <w:tcPr/>
          <w:p>
            <w:pPr>
              <w:pStyle w:val="Compact"/>
              <w:jc w:val="right"/>
            </w:pPr>
            <w:r>
              <w:t xml:space="preserve">0.06107</w:t>
            </w:r>
          </w:p>
        </w:tc>
        <w:tc>
          <w:tcPr/>
          <w:p>
            <w:pPr>
              <w:pStyle w:val="Compact"/>
              <w:jc w:val="right"/>
            </w:pPr>
            <w:r>
              <w:t xml:space="preserve">−0.220</w:t>
            </w:r>
          </w:p>
        </w:tc>
      </w:tr>
    </w:tbl>
    <w:p>
      <w:pPr>
        <w:pStyle w:val="BodyText"/>
      </w:pPr>
      <w:r>
        <w:t xml:space="preserve">Uncertainties (1σ statistical) on</w:t>
      </w:r>
      <w:r>
        <w:t xml:space="preserve"> </w:t>
      </w:r>
      <m:oMath>
        <m:r>
          <m:rPr>
            <m:sty m:val="p"/>
          </m:rPr>
          <m:t>(</m:t>
        </m:r>
        <m:r>
          <m:t>μ</m:t>
        </m:r>
        <m:r>
          <m:rPr>
            <m:sty m:val="p"/>
          </m:rPr>
          <m:t>/</m:t>
        </m:r>
        <m:r>
          <m:t>ρ</m:t>
        </m:r>
        <m:sSub>
          <m:e>
            <m:r>
              <m:rPr>
                <m:sty m:val="p"/>
              </m:rPr>
              <m:t>)</m:t>
            </m:r>
          </m:e>
          <m:sub>
            <m:r>
              <m:rPr>
                <m:nor/>
                <m:sty m:val="p"/>
              </m:rPr>
              <m:t>sim</m:t>
            </m:r>
          </m:sub>
        </m:sSub>
      </m:oMath>
      <w:r>
        <w:t xml:space="preserve"> </w:t>
      </w:r>
      <w:r>
        <w:t xml:space="preserve">range from 0.037 cm</w:t>
      </w:r>
      <m:oMath>
        <m:sSup>
          <m:e>
            <m:r>
              <m:t>​</m:t>
            </m:r>
          </m:e>
          <m:sup>
            <m:r>
              <m:t>2</m:t>
            </m:r>
          </m:sup>
        </m:sSup>
      </m:oMath>
      <w:r>
        <w:t xml:space="preserve"> </w:t>
      </w:r>
      <w:r>
        <w:t xml:space="preserve">g</w:t>
      </w:r>
      <m:oMath>
        <m:sSup>
          <m:e>
            <m:r>
              <m:t>​</m:t>
            </m:r>
          </m:e>
          <m:sup>
            <m:r>
              <m:rPr>
                <m:sty m:val="p"/>
              </m:rPr>
              <m:t>−</m:t>
            </m:r>
            <m:r>
              <m:t>1</m:t>
            </m:r>
          </m:sup>
        </m:sSup>
      </m:oMath>
      <w:r>
        <w:t xml:space="preserve"> </w:t>
      </w:r>
      <w:r>
        <w:t xml:space="preserve">at 30 keV to 0.0001 cm</w:t>
      </w:r>
      <m:oMath>
        <m:sSup>
          <m:e>
            <m:r>
              <m:t>​</m:t>
            </m:r>
          </m:e>
          <m:sup>
            <m:r>
              <m:t>2</m:t>
            </m:r>
          </m:sup>
        </m:sSup>
      </m:oMath>
      <w:r>
        <w:t xml:space="preserve"> </w:t>
      </w:r>
      <w:r>
        <w:t xml:space="preserve">g</w:t>
      </w:r>
      <m:oMath>
        <m:sSup>
          <m:e>
            <m:r>
              <m:t>​</m:t>
            </m:r>
          </m:e>
          <m:sup>
            <m:r>
              <m:rPr>
                <m:sty m:val="p"/>
              </m:rPr>
              <m:t>−</m:t>
            </m:r>
            <m:r>
              <m:t>1</m:t>
            </m:r>
          </m:sup>
        </m:sSup>
      </m:oMath>
      <w:r>
        <w:t xml:space="preserve"> </w:t>
      </w:r>
      <w:r>
        <w:t xml:space="preserve">at 1332 keV; all are smaller than the reported deviations and do not affect the pass/fail conclusion.</w:t>
      </w:r>
    </w:p>
    <w:bookmarkEnd w:id="37"/>
    <w:bookmarkStart w:id="41" w:name="discussion-of-regime-a-accuracy"/>
    <w:p>
      <w:pPr>
        <w:pStyle w:val="Heading4"/>
      </w:pPr>
      <w:r>
        <w:t xml:space="preserve">5.1.3 Discussion of regime A accuracy</w:t>
      </w:r>
    </w:p>
    <w:p>
      <w:pPr>
        <w:pStyle w:val="FirstParagraph"/>
      </w:pPr>
      <w:r>
        <w:t xml:space="preserve">The largest deviation (−2.013% at 80 keV) falls near the Bi K-edge complex. The emlivermore physics list uses EPDL97 photoelectric cross-section data [11], which contains fine edge structure. Small energy-bin misalignment between the Geant4 tabulated values and the XCOM energy grid is the most likely explanation for the elevated deviation at 80 keV. The deviation is statistically significant at approximately 12σ (normalised residual from</w:t>
      </w:r>
      <w:r>
        <w:t xml:space="preserve"> </w:t>
      </w:r>
      <w:r>
        <w:rPr>
          <w:rStyle w:val="VerbatimChar"/>
        </w:rPr>
        <w:t xml:space="preserve">reference_comparison.csv</w:t>
      </w:r>
      <w:r>
        <w:t xml:space="preserve">) but remains within the pre-registered 5% maximum gate. All other energy points deviate by less than 0.9%, consistent with the systematic XCOM agreement documented for regime A in the companion ShieldLab G4 v1.0 scientific report.</w:t>
      </w:r>
    </w:p>
    <w:p>
      <w:pPr>
        <w:pStyle w:val="BodyText"/>
      </w:pPr>
      <w:r>
        <w:t xml:space="preserve">Figure 2 visualises the regime-A validation curve against XCOM with 95% statistical confidence intervals. The plotted uncertainties are much smaller than the observed Bi-edge deviation, supporting the interpretation that the residual at 80 keV reflects tabulation/interpolation mismatch rather than Monte Carlo noise.</w:t>
      </w:r>
    </w:p>
    <w:p>
      <w:pPr>
        <w:pStyle w:val="CaptionedFigure"/>
      </w:pPr>
      <w:r>
        <w:drawing>
          <wp:inline>
            <wp:extent cx="4533900" cy="3089322"/>
            <wp:effectExtent b="0" l="0" r="0" t="0"/>
            <wp:docPr descr="Figure 2. Regime A(30 wt%) mass attenuation coefficient benchmark against NIST XCOM with 95% statistical confidence intervals on the simulated points. The largest residual occurs near the Bi K-edge complex but remains within the pre-registered acceptance gate." title="" id="39" name="Picture"/>
            <a:graphic>
              <a:graphicData uri="http://schemas.openxmlformats.org/drawingml/2006/picture">
                <pic:pic>
                  <pic:nvPicPr>
                    <pic:cNvPr descr="../../../results/paper3/figures/paper3_fig2_regime_a_validation.png" id="40" name="Picture"/>
                    <pic:cNvPicPr>
                      <a:picLocks noChangeArrowheads="1" noChangeAspect="1"/>
                    </pic:cNvPicPr>
                  </pic:nvPicPr>
                  <pic:blipFill>
                    <a:blip r:embed="rId38"/>
                    <a:stretch>
                      <a:fillRect/>
                    </a:stretch>
                  </pic:blipFill>
                  <pic:spPr bwMode="auto">
                    <a:xfrm>
                      <a:off x="0" y="0"/>
                      <a:ext cx="4533900" cy="3089322"/>
                    </a:xfrm>
                    <a:prstGeom prst="rect">
                      <a:avLst/>
                    </a:prstGeom>
                    <a:noFill/>
                    <a:ln w="9525">
                      <a:noFill/>
                      <a:headEnd/>
                      <a:tailEnd/>
                    </a:ln>
                  </pic:spPr>
                </pic:pic>
              </a:graphicData>
            </a:graphic>
          </wp:inline>
        </w:drawing>
      </w:r>
    </w:p>
    <w:p>
      <w:pPr>
        <w:pStyle w:val="ImageCaption"/>
      </w:pPr>
      <w:r>
        <w:t xml:space="preserve">Figure 2. Regime A(30 wt%) mass attenuation coefficient benchmark against NIST XCOM with 95% statistical confidence intervals on the simulated points. The largest residual occurs near the Bi K-edge complex but remains within the pre-registered acceptance gate.</w:t>
      </w:r>
    </w:p>
    <w:bookmarkEnd w:id="41"/>
    <w:bookmarkStart w:id="45" w:name="buildup-observable-regime-a-30wt"/>
    <w:p>
      <w:pPr>
        <w:pStyle w:val="Heading4"/>
      </w:pPr>
      <w:r>
        <w:t xml:space="preserve">5.1.4 Buildup observable (regime A 30wt)</w:t>
      </w:r>
    </w:p>
    <w:p>
      <w:pPr>
        <w:pStyle w:val="FirstParagraph"/>
      </w:pPr>
      <w:r>
        <w:t xml:space="preserve">The high-statistics 30 wt% run also produced downstream spectrum data:</w:t>
      </w:r>
    </w:p>
    <w:p>
      <w:pPr>
        <w:pStyle w:val="Compact"/>
        <w:numPr>
          <w:ilvl w:val="0"/>
          <w:numId w:val="1004"/>
        </w:numPr>
      </w:pPr>
      <w:r>
        <w:t xml:space="preserve">At 100 keV, buildup observable:</w:t>
      </w:r>
      <w:r>
        <w:t xml:space="preserve"> </w:t>
      </w:r>
      <w:r>
        <w:rPr>
          <w:b/>
          <w:bCs/>
        </w:rPr>
        <w:t xml:space="preserve">1.1363</w:t>
      </w:r>
      <w:r>
        <w:t xml:space="preserve"> </w:t>
      </w:r>
      <w:r>
        <w:t xml:space="preserve">(count),</w:t>
      </w:r>
      <w:r>
        <w:t xml:space="preserve"> </w:t>
      </w:r>
      <w:r>
        <w:rPr>
          <w:b/>
          <w:bCs/>
        </w:rPr>
        <w:t xml:space="preserve">1.1075</w:t>
      </w:r>
      <w:r>
        <w:t xml:space="preserve"> </w:t>
      </w:r>
      <w:r>
        <w:t xml:space="preserve">(energy).</w:t>
      </w:r>
    </w:p>
    <w:p>
      <w:pPr>
        <w:pStyle w:val="Compact"/>
        <w:numPr>
          <w:ilvl w:val="0"/>
          <w:numId w:val="1004"/>
        </w:numPr>
      </w:pPr>
      <w:r>
        <w:t xml:space="preserve">At 150 keV, buildup observable:</w:t>
      </w:r>
      <w:r>
        <w:t xml:space="preserve"> </w:t>
      </w:r>
      <w:r>
        <w:rPr>
          <w:b/>
          <w:bCs/>
        </w:rPr>
        <w:t xml:space="preserve">1.0992</w:t>
      </w:r>
      <w:r>
        <w:t xml:space="preserve"> </w:t>
      </w:r>
      <w:r>
        <w:t xml:space="preserve">(count),</w:t>
      </w:r>
      <w:r>
        <w:t xml:space="preserve"> </w:t>
      </w:r>
      <w:r>
        <w:rPr>
          <w:b/>
          <w:bCs/>
        </w:rPr>
        <w:t xml:space="preserve">1.0522</w:t>
      </w:r>
      <w:r>
        <w:t xml:space="preserve"> </w:t>
      </w:r>
      <w:r>
        <w:t xml:space="preserve">(energy).</w:t>
      </w:r>
    </w:p>
    <w:p>
      <w:pPr>
        <w:pStyle w:val="Compact"/>
        <w:numPr>
          <w:ilvl w:val="0"/>
          <w:numId w:val="1004"/>
        </w:numPr>
      </w:pPr>
      <w:r>
        <w:t xml:space="preserve">At 662 keV, buildup observable:</w:t>
      </w:r>
      <w:r>
        <w:t xml:space="preserve"> </w:t>
      </w:r>
      <w:r>
        <w:rPr>
          <w:b/>
          <w:bCs/>
        </w:rPr>
        <w:t xml:space="preserve">1.0115</w:t>
      </w:r>
      <w:r>
        <w:t xml:space="preserve"> </w:t>
      </w:r>
      <w:r>
        <w:t xml:space="preserve">(count),</w:t>
      </w:r>
      <w:r>
        <w:t xml:space="preserve"> </w:t>
      </w:r>
      <w:r>
        <w:rPr>
          <w:b/>
          <w:bCs/>
        </w:rPr>
        <w:t xml:space="preserve">1.0015</w:t>
      </w:r>
      <w:r>
        <w:t xml:space="preserve"> </w:t>
      </w:r>
      <w:r>
        <w:t xml:space="preserve">(energy).</w:t>
      </w:r>
    </w:p>
    <w:p>
      <w:pPr>
        <w:pStyle w:val="Compact"/>
        <w:numPr>
          <w:ilvl w:val="0"/>
          <w:numId w:val="1004"/>
        </w:numPr>
      </w:pPr>
      <w:r>
        <w:t xml:space="preserve">At 1332 keV, buildup observable:</w:t>
      </w:r>
      <w:r>
        <w:t xml:space="preserve"> </w:t>
      </w:r>
      <w:r>
        <w:rPr>
          <w:b/>
          <w:bCs/>
        </w:rPr>
        <w:t xml:space="preserve">1.0085</w:t>
      </w:r>
      <w:r>
        <w:t xml:space="preserve"> </w:t>
      </w:r>
      <w:r>
        <w:t xml:space="preserve">(count),</w:t>
      </w:r>
      <w:r>
        <w:t xml:space="preserve"> </w:t>
      </w:r>
      <w:r>
        <w:rPr>
          <w:b/>
          <w:bCs/>
        </w:rPr>
        <w:t xml:space="preserve">1.0012</w:t>
      </w:r>
      <w:r>
        <w:t xml:space="preserve"> </w:t>
      </w:r>
      <w:r>
        <w:t xml:space="preserve">(energy).</w:t>
      </w:r>
    </w:p>
    <w:p>
      <w:pPr>
        <w:pStyle w:val="FirstParagraph"/>
      </w:pPr>
      <w:r>
        <w:t xml:space="preserve">The trend is physically expected: Compton scattered secondaries contribute increasingly to downstream particle counts at intermediate energies, reducing to near-unity at high energies where forward scattering is dominant and at low energies where photoelectric absorption dominates.</w:t>
      </w:r>
    </w:p>
    <w:p>
      <w:pPr>
        <w:pStyle w:val="BodyText"/>
      </w:pPr>
      <w:r>
        <w:t xml:space="preserve">Figure 3 makes this secondary-field behaviour visible. Panel A shows that the count and energy buildup observables peak at intermediate photon energies, while panel B shows the downstream gamma spectra used to interpret that trend.</w:t>
      </w:r>
    </w:p>
    <w:p>
      <w:pPr>
        <w:pStyle w:val="CaptionedFigure"/>
      </w:pPr>
      <w:r>
        <w:drawing>
          <wp:inline>
            <wp:extent cx="5334000" cy="2155847"/>
            <wp:effectExtent b="0" l="0" r="0" t="0"/>
            <wp:docPr descr="Figure 3. Regime A downstream observables. (A) Monte Carlo buildup observables from count-based and energy-based estimators versus incident photon energy. (B) Downstream gamma spectra for representative incident energies, showing the secondary-field structure behind the buildup trend." title="" id="43" name="Picture"/>
            <a:graphic>
              <a:graphicData uri="http://schemas.openxmlformats.org/drawingml/2006/picture">
                <pic:pic>
                  <pic:nvPicPr>
                    <pic:cNvPr descr="../../../results/paper3/figures/paper3_fig3_buildup_and_spectrum.png" id="44" name="Picture"/>
                    <pic:cNvPicPr>
                      <a:picLocks noChangeArrowheads="1" noChangeAspect="1"/>
                    </pic:cNvPicPr>
                  </pic:nvPicPr>
                  <pic:blipFill>
                    <a:blip r:embed="rId42"/>
                    <a:stretch>
                      <a:fillRect/>
                    </a:stretch>
                  </pic:blipFill>
                  <pic:spPr bwMode="auto">
                    <a:xfrm>
                      <a:off x="0" y="0"/>
                      <a:ext cx="5334000" cy="2155847"/>
                    </a:xfrm>
                    <a:prstGeom prst="rect">
                      <a:avLst/>
                    </a:prstGeom>
                    <a:noFill/>
                    <a:ln w="9525">
                      <a:noFill/>
                      <a:headEnd/>
                      <a:tailEnd/>
                    </a:ln>
                  </pic:spPr>
                </pic:pic>
              </a:graphicData>
            </a:graphic>
          </wp:inline>
        </w:drawing>
      </w:r>
    </w:p>
    <w:p>
      <w:pPr>
        <w:pStyle w:val="ImageCaption"/>
      </w:pPr>
      <w:r>
        <w:t xml:space="preserve">Figure 3. Regime A downstream observables. (A) Monte Carlo buildup observables from count-based and energy-based estimators versus incident photon energy. (B) Downstream gamma spectra for representative incident energies, showing the secondary-field structure behind the buildup trend.</w:t>
      </w:r>
    </w:p>
    <w:bookmarkEnd w:id="45"/>
    <w:bookmarkStart w:id="46" w:name="Xf121db4894fa69f805128360fbc38a62ba24419"/>
    <w:p>
      <w:pPr>
        <w:pStyle w:val="Heading4"/>
      </w:pPr>
      <w:r>
        <w:t xml:space="preserve">5.1.5 Regime A(phi0p189) — Cross-Regime Companion Run</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configs/studies/paper3_hdpe_bi2o3_regime_a_phi0p189.json</w:t>
      </w:r>
      <w:r>
        <w:t xml:space="preserve">, physics list</w:t>
      </w:r>
      <w:r>
        <w:t xml:space="preserve"> </w:t>
      </w:r>
      <w:r>
        <w:rPr>
          <w:rStyle w:val="VerbatimChar"/>
        </w:rPr>
        <w:t xml:space="preserve">emlivermore</w:t>
      </w:r>
      <w:r>
        <w:t xml:space="preserve">,</w:t>
      </w:r>
      <w:r>
        <w:t xml:space="preserve"> </w:t>
      </w:r>
      <m:oMath>
        <m:sSup>
          <m:e>
            <m:r>
              <m:t>10</m:t>
            </m:r>
          </m:e>
          <m:sup>
            <m:r>
              <m:t>6</m:t>
            </m:r>
          </m:sup>
        </m:sSup>
      </m:oMath>
      <w:r>
        <w:t xml:space="preserve"> </w:t>
      </w:r>
      <w:r>
        <w:t xml:space="preserve">histories per energy, Geant4 11.4, result directory</w:t>
      </w:r>
      <w:r>
        <w:t xml:space="preserve"> </w:t>
      </w:r>
      <w:r>
        <w:rPr>
          <w:rStyle w:val="VerbatimChar"/>
        </w:rPr>
        <w:t xml:space="preserve">results/paper3/regime_a_hdpe_bi2o3_phi0p189/</w:t>
      </w:r>
      <w:r>
        <w:t xml:space="preserve">. All 10 energies complete.</w:t>
      </w:r>
    </w:p>
    <w:p>
      <w:pPr>
        <w:pStyle w:val="BodyText"/>
      </w:pPr>
      <w:r>
        <w:rPr>
          <w:b/>
          <w:bCs/>
        </w:rPr>
        <w:t xml:space="preserve">Material:</w:t>
      </w:r>
      <w:r>
        <w:t xml:space="preserve"> </w:t>
      </w:r>
      <w:r>
        <w:t xml:space="preserve">P3_HDPE_Bi2O3_phi0p189 — HDPE (31.4 wt%) + Bi₂O₃ (68.6 wt%) at</w:t>
      </w:r>
      <w:r>
        <w:t xml:space="preserve"> </w:t>
      </w:r>
      <m:oMath>
        <m:r>
          <m:t>ρ</m:t>
        </m:r>
        <m:r>
          <m:rPr>
            <m:sty m:val="p"/>
          </m:rPr>
          <m:t>=</m:t>
        </m:r>
        <m:r>
          <m:t>2.452</m:t>
        </m:r>
      </m:oMath>
      <w:r>
        <w:t xml:space="preserve"> </w:t>
      </w:r>
      <w:r>
        <w:t xml:space="preserve">g cm</w:t>
      </w:r>
      <m:oMath>
        <m:sSup>
          <m:e>
            <m:r>
              <m:t>​</m:t>
            </m:r>
          </m:e>
          <m:sup>
            <m:r>
              <m:rPr>
                <m:sty m:val="p"/>
              </m:rPr>
              <m:t>−</m:t>
            </m:r>
            <m:r>
              <m:t>3</m:t>
            </m:r>
          </m:sup>
        </m:sSup>
      </m:oMath>
      <w:r>
        <w:t xml:space="preserve">. This is the effective-medium representation of the same two-phase system used in the regime-B and regime-C RVEs: at</w:t>
      </w:r>
      <w:r>
        <w:t xml:space="preserve"> </w:t>
      </w:r>
      <m:oMath>
        <m:sSub>
          <m:e>
            <m:r>
              <m:t>ϕ</m:t>
            </m:r>
          </m:e>
          <m:sub>
            <m:r>
              <m:t>f</m:t>
            </m:r>
          </m:sub>
        </m:sSub>
        <m:r>
          <m:rPr>
            <m:sty m:val="p"/>
          </m:rPr>
          <m:t>=</m:t>
        </m:r>
        <m:r>
          <m:t>0.189</m:t>
        </m:r>
      </m:oMath>
      <w:r>
        <w:t xml:space="preserve"> </w:t>
      </w:r>
      <w:r>
        <w:t xml:space="preserve">of Bi₂O₃ (</w:t>
      </w:r>
      <m:oMath>
        <m:sSub>
          <m:e>
            <m:r>
              <m:t>ρ</m:t>
            </m:r>
          </m:e>
          <m:sub>
            <m:r>
              <m:t>f</m:t>
            </m:r>
          </m:sub>
        </m:sSub>
        <m:r>
          <m:rPr>
            <m:sty m:val="p"/>
          </m:rPr>
          <m:t>=</m:t>
        </m:r>
        <m:r>
          <m:t>8.9</m:t>
        </m:r>
      </m:oMath>
      <w:r>
        <w:t xml:space="preserve">) in HDPE (</w:t>
      </w:r>
      <m:oMath>
        <m:sSub>
          <m:e>
            <m:r>
              <m:t>ρ</m:t>
            </m:r>
          </m:e>
          <m:sub>
            <m:r>
              <m:t>m</m:t>
            </m:r>
          </m:sub>
        </m:sSub>
        <m:r>
          <m:rPr>
            <m:sty m:val="p"/>
          </m:rPr>
          <m:t>=</m:t>
        </m:r>
        <m:r>
          <m:t>0.95</m:t>
        </m:r>
      </m:oMath>
      <w:r>
        <w:t xml:space="preserve">), the linear mixture rule gives exactly</w:t>
      </w:r>
      <w:r>
        <w:t xml:space="preserve"> </w:t>
      </w:r>
      <m:oMath>
        <m:sSub>
          <m:e>
            <m:r>
              <m:t>ρ</m:t>
            </m:r>
          </m:e>
          <m:sub>
            <m:r>
              <m:rPr>
                <m:nor/>
                <m:sty m:val="p"/>
              </m:rPr>
              <m:t>eff</m:t>
            </m:r>
          </m:sub>
        </m:sSub>
        <m:r>
          <m:rPr>
            <m:sty m:val="p"/>
          </m:rPr>
          <m:t>=</m:t>
        </m:r>
        <m:r>
          <m:t>2.452</m:t>
        </m:r>
      </m:oMath>
      <w:r>
        <w:t xml:space="preserve"> </w:t>
      </w:r>
      <w:r>
        <w:t xml:space="preserve">g cm</w:t>
      </w:r>
      <m:oMath>
        <m:sSup>
          <m:e>
            <m:r>
              <m:t>​</m:t>
            </m:r>
          </m:e>
          <m:sup>
            <m:r>
              <m:rPr>
                <m:sty m:val="p"/>
              </m:rPr>
              <m:t>−</m:t>
            </m:r>
            <m:r>
              <m:t>3</m:t>
            </m:r>
          </m:sup>
        </m:sSup>
      </m:oMath>
      <w:r>
        <w:t xml:space="preserve"> </w:t>
      </w:r>
      <w:r>
        <w:t xml:space="preserve">and</w:t>
      </w:r>
      <w:r>
        <w:t xml:space="preserve"> </w:t>
      </w:r>
      <m:oMath>
        <m:sSub>
          <m:e>
            <m:r>
              <m:t>w</m:t>
            </m:r>
          </m:e>
          <m:sub>
            <m:r>
              <m:t>f</m:t>
            </m:r>
          </m:sub>
        </m:sSub>
        <m:r>
          <m:rPr>
            <m:sty m:val="p"/>
          </m:rPr>
          <m:t>=</m:t>
        </m:r>
        <m:r>
          <m:t>68.6</m:t>
        </m:r>
      </m:oMath>
      <w:r>
        <w:t xml:space="preserve"> </w:t>
      </w:r>
      <w:r>
        <w:t xml:space="preserve">wt%.</w:t>
      </w:r>
    </w:p>
    <w:p>
      <w:pPr>
        <w:pStyle w:val="BodyText"/>
      </w:pPr>
      <w:r>
        <w:rPr>
          <w:b/>
          <w:bCs/>
        </w:rPr>
        <w:t xml:space="preserve">Table 1b.</w:t>
      </w:r>
      <w:r>
        <w:t xml:space="preserve"> </w:t>
      </w:r>
      <w:r>
        <w:t xml:space="preserve">Regime A(phi0p189) mass attenuation coefficients for HDPE/Bi₂O₃ φ = 0.189 (68.6 wt%,</w:t>
      </w:r>
      <w:r>
        <w:t xml:space="preserve"> </w:t>
      </w:r>
      <m:oMath>
        <m:r>
          <m:t>ρ</m:t>
        </m:r>
        <m:r>
          <m:rPr>
            <m:sty m:val="p"/>
          </m:rPr>
          <m:t>=</m:t>
        </m:r>
        <m:r>
          <m:t>2.452</m:t>
        </m:r>
      </m:oMath>
      <w:r>
        <w:t xml:space="preserve"> </w:t>
      </w:r>
      <w:r>
        <w:t xml:space="preserve">g cm</w:t>
      </w:r>
      <m:oMath>
        <m:sSup>
          <m:e>
            <m:r>
              <m:t>​</m:t>
            </m:r>
          </m:e>
          <m:sup>
            <m:r>
              <m:rPr>
                <m:sty m:val="p"/>
              </m:rPr>
              <m:t>−</m:t>
            </m:r>
            <m:r>
              <m:t>3</m:t>
            </m:r>
          </m:sup>
        </m:sSup>
      </m:oMath>
      <w:r>
        <w:t xml:space="preserve">) vs NIST XCOM. Benchmark:</w:t>
      </w:r>
      <w:r>
        <w:t xml:space="preserve"> </w:t>
      </w:r>
      <w:r>
        <w:rPr>
          <w:b/>
          <w:bCs/>
        </w:rPr>
        <w:t xml:space="preserve">passed</w:t>
      </w:r>
      <w:r>
        <w:t xml:space="preserve"> </w:t>
      </w:r>
      <w:r>
        <w:t xml:space="preserve">(mean |Δ| = 0.72%, max |Δ| = 2.45%).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m:oMath>
              <m:r>
                <m:t>E</m:t>
              </m:r>
            </m:oMath>
            <w:r>
              <w:t xml:space="preserve"> </w:t>
            </w:r>
            <w:r>
              <w:t xml:space="preserve">(keV)</w:t>
            </w:r>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r>
              <w:t xml:space="preserve"> </w:t>
            </w:r>
            <w:r>
              <w:t xml:space="preserve">(68.6 wt%)</w:t>
            </w:r>
          </w:p>
        </w:tc>
        <w:tc>
          <w:tcPr/>
          <w:p>
            <w:pPr>
              <w:pStyle w:val="Compact"/>
              <w:jc w:val="right"/>
            </w:pPr>
            <m:oMath>
              <m:r>
                <m:rPr>
                  <m:sty m:val="p"/>
                </m:rPr>
                <m:t>Δ</m:t>
              </m:r>
            </m:oMath>
            <w:r>
              <w:t xml:space="preserve"> </w:t>
            </w:r>
            <w:r>
              <w:t xml:space="preserve">(%)</w:t>
            </w:r>
          </w:p>
        </w:tc>
      </w:tr>
      <w:tr>
        <w:tc>
          <w:tcPr/>
          <w:p>
            <w:pPr>
              <w:pStyle w:val="Compact"/>
              <w:jc w:val="right"/>
            </w:pPr>
            <w:r>
              <w:t xml:space="preserve">30</w:t>
            </w:r>
          </w:p>
        </w:tc>
        <w:tc>
          <w:tcPr/>
          <w:p>
            <w:pPr>
              <w:pStyle w:val="Compact"/>
              <w:jc w:val="right"/>
            </w:pPr>
            <w:r>
              <w:t xml:space="preserve">0.649496</w:t>
            </w:r>
          </w:p>
        </w:tc>
        <w:tc>
          <w:tcPr/>
          <w:p>
            <w:pPr>
              <w:pStyle w:val="Compact"/>
              <w:jc w:val="right"/>
            </w:pPr>
            <w:r>
              <w:t xml:space="preserve">47.9176</w:t>
            </w:r>
          </w:p>
        </w:tc>
        <w:tc>
          <w:tcPr/>
          <w:p>
            <w:pPr>
              <w:pStyle w:val="Compact"/>
              <w:jc w:val="right"/>
            </w:pPr>
            <w:r>
              <w:t xml:space="preserve">19.542</w:t>
            </w:r>
          </w:p>
        </w:tc>
        <w:tc>
          <w:tcPr/>
          <w:p>
            <w:pPr>
              <w:pStyle w:val="Compact"/>
              <w:jc w:val="right"/>
            </w:pPr>
            <w:r>
              <w:t xml:space="preserve">19.507</w:t>
            </w:r>
          </w:p>
        </w:tc>
        <w:tc>
          <w:tcPr/>
          <w:p>
            <w:pPr>
              <w:pStyle w:val="Compact"/>
              <w:jc w:val="right"/>
            </w:pPr>
            <w:r>
              <w:t xml:space="preserve">+0.18</w:t>
            </w:r>
          </w:p>
        </w:tc>
      </w:tr>
      <w:tr>
        <w:tc>
          <w:tcPr/>
          <w:p>
            <w:pPr>
              <w:pStyle w:val="Compact"/>
              <w:jc w:val="right"/>
            </w:pPr>
            <w:r>
              <w:t xml:space="preserve">50</w:t>
            </w:r>
          </w:p>
        </w:tc>
        <w:tc>
          <w:tcPr/>
          <w:p>
            <w:pPr>
              <w:pStyle w:val="Compact"/>
              <w:jc w:val="right"/>
            </w:pPr>
            <w:r>
              <w:t xml:space="preserve">0.650992</w:t>
            </w:r>
          </w:p>
        </w:tc>
        <w:tc>
          <w:tcPr/>
          <w:p>
            <w:pPr>
              <w:pStyle w:val="Compact"/>
              <w:jc w:val="right"/>
            </w:pPr>
            <w:r>
              <w:t xml:space="preserve">12.7942</w:t>
            </w:r>
          </w:p>
        </w:tc>
        <w:tc>
          <w:tcPr/>
          <w:p>
            <w:pPr>
              <w:pStyle w:val="Compact"/>
              <w:jc w:val="right"/>
            </w:pPr>
            <w:r>
              <w:t xml:space="preserve">5.218</w:t>
            </w:r>
          </w:p>
        </w:tc>
        <w:tc>
          <w:tcPr/>
          <w:p>
            <w:pPr>
              <w:pStyle w:val="Compact"/>
              <w:jc w:val="right"/>
            </w:pPr>
            <w:r>
              <w:t xml:space="preserve">5.236</w:t>
            </w:r>
          </w:p>
        </w:tc>
        <w:tc>
          <w:tcPr/>
          <w:p>
            <w:pPr>
              <w:pStyle w:val="Compact"/>
              <w:jc w:val="right"/>
            </w:pPr>
            <w:r>
              <w:t xml:space="preserve">−0.35</w:t>
            </w:r>
          </w:p>
        </w:tc>
      </w:tr>
      <w:tr>
        <w:tc>
          <w:tcPr/>
          <w:p>
            <w:pPr>
              <w:pStyle w:val="Compact"/>
              <w:jc w:val="right"/>
            </w:pPr>
            <w:r>
              <w:t xml:space="preserve">80</w:t>
            </w:r>
          </w:p>
        </w:tc>
        <w:tc>
          <w:tcPr/>
          <w:p>
            <w:pPr>
              <w:pStyle w:val="Compact"/>
              <w:jc w:val="right"/>
            </w:pPr>
            <w:r>
              <w:t xml:space="preserve">0.656895</w:t>
            </w:r>
          </w:p>
        </w:tc>
        <w:tc>
          <w:tcPr/>
          <w:p>
            <w:pPr>
              <w:pStyle w:val="Compact"/>
              <w:jc w:val="right"/>
            </w:pPr>
            <w:r>
              <w:t xml:space="preserve">3.87727</w:t>
            </w:r>
          </w:p>
        </w:tc>
        <w:tc>
          <w:tcPr/>
          <w:p>
            <w:pPr>
              <w:pStyle w:val="Compact"/>
              <w:jc w:val="right"/>
            </w:pPr>
            <w:r>
              <w:t xml:space="preserve">1.581</w:t>
            </w:r>
          </w:p>
        </w:tc>
        <w:tc>
          <w:tcPr/>
          <w:p>
            <w:pPr>
              <w:pStyle w:val="Compact"/>
              <w:jc w:val="right"/>
            </w:pPr>
            <w:r>
              <w:t xml:space="preserve">1.621</w:t>
            </w:r>
          </w:p>
        </w:tc>
        <w:tc>
          <w:tcPr/>
          <w:p>
            <w:pPr>
              <w:pStyle w:val="Compact"/>
              <w:jc w:val="right"/>
            </w:pPr>
            <w:r>
              <w:t xml:space="preserve">−2.45</w:t>
            </w:r>
          </w:p>
        </w:tc>
      </w:tr>
      <w:tr>
        <w:tc>
          <w:tcPr/>
          <w:p>
            <w:pPr>
              <w:pStyle w:val="Compact"/>
              <w:jc w:val="right"/>
            </w:pPr>
            <w:r>
              <w:t xml:space="preserve">100</w:t>
            </w:r>
          </w:p>
        </w:tc>
        <w:tc>
          <w:tcPr/>
          <w:p>
            <w:pPr>
              <w:pStyle w:val="Compact"/>
              <w:jc w:val="right"/>
            </w:pPr>
            <w:r>
              <w:t xml:space="preserve">0.651467</w:t>
            </w:r>
          </w:p>
        </w:tc>
        <w:tc>
          <w:tcPr/>
          <w:p>
            <w:pPr>
              <w:pStyle w:val="Compact"/>
              <w:jc w:val="right"/>
            </w:pPr>
            <w:r>
              <w:t xml:space="preserve">8.77216</w:t>
            </w:r>
          </w:p>
        </w:tc>
        <w:tc>
          <w:tcPr/>
          <w:p>
            <w:pPr>
              <w:pStyle w:val="Compact"/>
              <w:jc w:val="right"/>
            </w:pPr>
            <w:r>
              <w:t xml:space="preserve">3.578</w:t>
            </w:r>
          </w:p>
        </w:tc>
        <w:tc>
          <w:tcPr/>
          <w:p>
            <w:pPr>
              <w:pStyle w:val="Compact"/>
              <w:jc w:val="right"/>
            </w:pPr>
            <w:r>
              <w:t xml:space="preserve">3.596</w:t>
            </w:r>
          </w:p>
        </w:tc>
        <w:tc>
          <w:tcPr/>
          <w:p>
            <w:pPr>
              <w:pStyle w:val="Compact"/>
              <w:jc w:val="right"/>
            </w:pPr>
            <w:r>
              <w:t xml:space="preserve">−0.52</w:t>
            </w:r>
          </w:p>
        </w:tc>
      </w:tr>
      <w:tr>
        <w:tc>
          <w:tcPr/>
          <w:p>
            <w:pPr>
              <w:pStyle w:val="Compact"/>
              <w:jc w:val="right"/>
            </w:pPr>
            <w:r>
              <w:t xml:space="preserve">150</w:t>
            </w:r>
          </w:p>
        </w:tc>
        <w:tc>
          <w:tcPr/>
          <w:p>
            <w:pPr>
              <w:pStyle w:val="Compact"/>
              <w:jc w:val="right"/>
            </w:pPr>
            <w:r>
              <w:t xml:space="preserve">0.650565</w:t>
            </w:r>
          </w:p>
        </w:tc>
        <w:tc>
          <w:tcPr/>
          <w:p>
            <w:pPr>
              <w:pStyle w:val="Compact"/>
              <w:jc w:val="right"/>
            </w:pPr>
            <w:r>
              <w:t xml:space="preserve">3.27643</w:t>
            </w:r>
          </w:p>
        </w:tc>
        <w:tc>
          <w:tcPr/>
          <w:p>
            <w:pPr>
              <w:pStyle w:val="Compact"/>
              <w:jc w:val="right"/>
            </w:pPr>
            <w:r>
              <w:t xml:space="preserve">1.336</w:t>
            </w:r>
          </w:p>
        </w:tc>
        <w:tc>
          <w:tcPr/>
          <w:p>
            <w:pPr>
              <w:pStyle w:val="Compact"/>
              <w:jc w:val="right"/>
            </w:pPr>
            <w:r>
              <w:t xml:space="preserve">1.339</w:t>
            </w:r>
          </w:p>
        </w:tc>
        <w:tc>
          <w:tcPr/>
          <w:p>
            <w:pPr>
              <w:pStyle w:val="Compact"/>
              <w:jc w:val="right"/>
            </w:pPr>
            <w:r>
              <w:t xml:space="preserve">−0.20</w:t>
            </w:r>
          </w:p>
        </w:tc>
      </w:tr>
      <w:tr>
        <w:tc>
          <w:tcPr/>
          <w:p>
            <w:pPr>
              <w:pStyle w:val="Compact"/>
              <w:jc w:val="right"/>
            </w:pPr>
            <w:r>
              <w:t xml:space="preserve">356</w:t>
            </w:r>
          </w:p>
        </w:tc>
        <w:tc>
          <w:tcPr/>
          <w:p>
            <w:pPr>
              <w:pStyle w:val="Compact"/>
              <w:jc w:val="right"/>
            </w:pPr>
            <w:r>
              <w:t xml:space="preserve">0.652574</w:t>
            </w:r>
          </w:p>
        </w:tc>
        <w:tc>
          <w:tcPr/>
          <w:p>
            <w:pPr>
              <w:pStyle w:val="Compact"/>
              <w:jc w:val="right"/>
            </w:pPr>
            <w:r>
              <w:t xml:space="preserve">0.55156</w:t>
            </w:r>
          </w:p>
        </w:tc>
        <w:tc>
          <w:tcPr/>
          <w:p>
            <w:pPr>
              <w:pStyle w:val="Compact"/>
              <w:jc w:val="right"/>
            </w:pPr>
            <w:r>
              <w:t xml:space="preserve">0.2249</w:t>
            </w:r>
          </w:p>
        </w:tc>
        <w:tc>
          <w:tcPr/>
          <w:p>
            <w:pPr>
              <w:pStyle w:val="Compact"/>
              <w:jc w:val="right"/>
            </w:pPr>
            <w:r>
              <w:t xml:space="preserve">0.2270</w:t>
            </w:r>
          </w:p>
        </w:tc>
        <w:tc>
          <w:tcPr/>
          <w:p>
            <w:pPr>
              <w:pStyle w:val="Compact"/>
              <w:jc w:val="right"/>
            </w:pPr>
            <w:r>
              <w:t xml:space="preserve">−0.92</w:t>
            </w:r>
          </w:p>
        </w:tc>
      </w:tr>
      <w:tr>
        <w:tc>
          <w:tcPr/>
          <w:p>
            <w:pPr>
              <w:pStyle w:val="Compact"/>
              <w:jc w:val="right"/>
            </w:pPr>
            <w:r>
              <w:t xml:space="preserve">511</w:t>
            </w:r>
          </w:p>
        </w:tc>
        <w:tc>
          <w:tcPr/>
          <w:p>
            <w:pPr>
              <w:pStyle w:val="Compact"/>
              <w:jc w:val="right"/>
            </w:pPr>
            <w:r>
              <w:t xml:space="preserve">0.651168</w:t>
            </w:r>
          </w:p>
        </w:tc>
        <w:tc>
          <w:tcPr/>
          <w:p>
            <w:pPr>
              <w:pStyle w:val="Compact"/>
              <w:jc w:val="right"/>
            </w:pPr>
            <w:r>
              <w:t xml:space="preserve">0.33170</w:t>
            </w:r>
          </w:p>
        </w:tc>
        <w:tc>
          <w:tcPr/>
          <w:p>
            <w:pPr>
              <w:pStyle w:val="Compact"/>
              <w:jc w:val="right"/>
            </w:pPr>
            <w:r>
              <w:t xml:space="preserve">0.1353</w:t>
            </w:r>
          </w:p>
        </w:tc>
        <w:tc>
          <w:tcPr/>
          <w:p>
            <w:pPr>
              <w:pStyle w:val="Compact"/>
              <w:jc w:val="right"/>
            </w:pPr>
            <w:r>
              <w:t xml:space="preserve">0.1358</w:t>
            </w:r>
          </w:p>
        </w:tc>
        <w:tc>
          <w:tcPr/>
          <w:p>
            <w:pPr>
              <w:pStyle w:val="Compact"/>
              <w:jc w:val="right"/>
            </w:pPr>
            <w:r>
              <w:t xml:space="preserve">−0.42</w:t>
            </w:r>
          </w:p>
        </w:tc>
      </w:tr>
      <w:tr>
        <w:tc>
          <w:tcPr/>
          <w:p>
            <w:pPr>
              <w:pStyle w:val="Compact"/>
              <w:jc w:val="right"/>
            </w:pPr>
            <w:r>
              <w:t xml:space="preserve">662</w:t>
            </w:r>
          </w:p>
        </w:tc>
        <w:tc>
          <w:tcPr/>
          <w:p>
            <w:pPr>
              <w:pStyle w:val="Compact"/>
              <w:jc w:val="right"/>
            </w:pPr>
            <w:r>
              <w:t xml:space="preserve">0.65216</w:t>
            </w:r>
          </w:p>
        </w:tc>
        <w:tc>
          <w:tcPr/>
          <w:p>
            <w:pPr>
              <w:pStyle w:val="Compact"/>
              <w:jc w:val="right"/>
            </w:pPr>
            <w:r>
              <w:t xml:space="preserve">0.25037</w:t>
            </w:r>
          </w:p>
        </w:tc>
        <w:tc>
          <w:tcPr/>
          <w:p>
            <w:pPr>
              <w:pStyle w:val="Compact"/>
              <w:jc w:val="right"/>
            </w:pPr>
            <w:r>
              <w:t xml:space="preserve">0.1021</w:t>
            </w:r>
          </w:p>
        </w:tc>
        <w:tc>
          <w:tcPr/>
          <w:p>
            <w:pPr>
              <w:pStyle w:val="Compact"/>
              <w:jc w:val="right"/>
            </w:pPr>
            <w:r>
              <w:t xml:space="preserve">0.1029</w:t>
            </w:r>
          </w:p>
        </w:tc>
        <w:tc>
          <w:tcPr/>
          <w:p>
            <w:pPr>
              <w:pStyle w:val="Compact"/>
              <w:jc w:val="right"/>
            </w:pPr>
            <w:r>
              <w:t xml:space="preserve">−0.77</w:t>
            </w:r>
          </w:p>
        </w:tc>
      </w:tr>
      <w:tr>
        <w:tc>
          <w:tcPr/>
          <w:p>
            <w:pPr>
              <w:pStyle w:val="Compact"/>
              <w:jc w:val="right"/>
            </w:pPr>
            <w:r>
              <w:t xml:space="preserve">1173</w:t>
            </w:r>
          </w:p>
        </w:tc>
        <w:tc>
          <w:tcPr/>
          <w:p>
            <w:pPr>
              <w:pStyle w:val="Compact"/>
              <w:jc w:val="right"/>
            </w:pPr>
            <w:r>
              <w:t xml:space="preserve">0.651123</w:t>
            </w:r>
          </w:p>
        </w:tc>
        <w:tc>
          <w:tcPr/>
          <w:p>
            <w:pPr>
              <w:pStyle w:val="Compact"/>
              <w:jc w:val="right"/>
            </w:pPr>
            <w:r>
              <w:t xml:space="preserve">0.15608</w:t>
            </w:r>
          </w:p>
        </w:tc>
        <w:tc>
          <w:tcPr/>
          <w:p>
            <w:pPr>
              <w:pStyle w:val="Compact"/>
              <w:jc w:val="right"/>
            </w:pPr>
            <w:r>
              <w:t xml:space="preserve">0.06365</w:t>
            </w:r>
          </w:p>
        </w:tc>
        <w:tc>
          <w:tcPr/>
          <w:p>
            <w:pPr>
              <w:pStyle w:val="Compact"/>
              <w:jc w:val="right"/>
            </w:pPr>
            <w:r>
              <w:t xml:space="preserve">0.06391</w:t>
            </w:r>
          </w:p>
        </w:tc>
        <w:tc>
          <w:tcPr/>
          <w:p>
            <w:pPr>
              <w:pStyle w:val="Compact"/>
              <w:jc w:val="right"/>
            </w:pPr>
            <w:r>
              <w:t xml:space="preserve">−0.40</w:t>
            </w:r>
          </w:p>
        </w:tc>
      </w:tr>
      <w:tr>
        <w:tc>
          <w:tcPr/>
          <w:p>
            <w:pPr>
              <w:pStyle w:val="Compact"/>
              <w:jc w:val="right"/>
            </w:pPr>
            <w:r>
              <w:t xml:space="preserve">1332</w:t>
            </w:r>
          </w:p>
        </w:tc>
        <w:tc>
          <w:tcPr/>
          <w:p>
            <w:pPr>
              <w:pStyle w:val="Compact"/>
              <w:jc w:val="right"/>
            </w:pPr>
            <w:r>
              <w:t xml:space="preserve">0.652863</w:t>
            </w:r>
          </w:p>
        </w:tc>
        <w:tc>
          <w:tcPr/>
          <w:p>
            <w:pPr>
              <w:pStyle w:val="Compact"/>
              <w:jc w:val="right"/>
            </w:pPr>
            <w:r>
              <w:t xml:space="preserve">0.14266</w:t>
            </w:r>
          </w:p>
        </w:tc>
        <w:tc>
          <w:tcPr/>
          <w:p>
            <w:pPr>
              <w:pStyle w:val="Compact"/>
              <w:jc w:val="right"/>
            </w:pPr>
            <w:r>
              <w:t xml:space="preserve">0.05818</w:t>
            </w:r>
          </w:p>
        </w:tc>
        <w:tc>
          <w:tcPr/>
          <w:p>
            <w:pPr>
              <w:pStyle w:val="Compact"/>
              <w:jc w:val="right"/>
            </w:pPr>
            <w:r>
              <w:t xml:space="preserve">0.05878</w:t>
            </w:r>
          </w:p>
        </w:tc>
        <w:tc>
          <w:tcPr/>
          <w:p>
            <w:pPr>
              <w:pStyle w:val="Compact"/>
              <w:jc w:val="right"/>
            </w:pPr>
            <w:r>
              <w:t xml:space="preserve">−1.02</w:t>
            </w:r>
          </w:p>
        </w:tc>
      </w:tr>
    </w:tbl>
    <w:p>
      <w:r>
        <w:pict>
          <v:rect style="width:0;height:1.5pt" o:hralign="center" o:hrstd="t" o:hr="t"/>
        </w:pict>
      </w:r>
    </w:p>
    <w:bookmarkEnd w:id="46"/>
    <w:bookmarkEnd w:id="47"/>
    <w:bookmarkStart w:id="50" w:name="Xbd851a1b6f81e22b53bfab8e1648d0c53346e80"/>
    <w:p>
      <w:pPr>
        <w:pStyle w:val="Heading3"/>
      </w:pPr>
      <w:r>
        <w:t xml:space="preserve">5.2 Regime B — Explicit RVE via</w:t>
      </w:r>
      <w:r>
        <w:t xml:space="preserve"> </w:t>
      </w:r>
      <w:r>
        <w:rPr>
          <w:rStyle w:val="VerbatimChar"/>
        </w:rPr>
        <w:t xml:space="preserve">G4PVParameterised</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configs/studies/paper3_hdpe_bi2o3_regime_b_rve.json</w:t>
      </w:r>
      <w:r>
        <w:t xml:space="preserve">, physics list</w:t>
      </w:r>
      <w:r>
        <w:t xml:space="preserve"> </w:t>
      </w:r>
      <w:r>
        <w:rPr>
          <w:rStyle w:val="VerbatimChar"/>
        </w:rPr>
        <w:t xml:space="preserve">emlivermore</w:t>
      </w:r>
      <w:r>
        <w:t xml:space="preserve">,</w:t>
      </w:r>
      <w:r>
        <w:t xml:space="preserve"> </w:t>
      </w:r>
      <m:oMath>
        <m:sSup>
          <m:e>
            <m:r>
              <m:t>10</m:t>
            </m:r>
          </m:e>
          <m:sup>
            <m:r>
              <m:t>7</m:t>
            </m:r>
          </m:sup>
        </m:sSup>
      </m:oMath>
      <w:r>
        <w:t xml:space="preserve"> </w:t>
      </w:r>
      <w:r>
        <w:t xml:space="preserve">histories per energy, Geant4 11.4, result directory</w:t>
      </w:r>
      <w:r>
        <w:t xml:space="preserve"> </w:t>
      </w:r>
      <w:r>
        <w:rPr>
          <w:rStyle w:val="VerbatimChar"/>
        </w:rPr>
        <w:t xml:space="preserve">results/paper3/regime_b_hdpe_bi2o3/</w:t>
      </w:r>
      <w:r>
        <w:t xml:space="preserve">.</w:t>
      </w:r>
    </w:p>
    <w:bookmarkStart w:id="48" w:name="geometry-verification"/>
    <w:p>
      <w:pPr>
        <w:pStyle w:val="Heading4"/>
      </w:pPr>
      <w:r>
        <w:t xml:space="preserve">5.2.1 Geometry verification</w:t>
      </w:r>
    </w:p>
    <w:p>
      <w:pPr>
        <w:pStyle w:val="FirstParagraph"/>
      </w:pPr>
      <w:r>
        <w:t xml:space="preserve">Geant4 confirmed the RVE geometry at initialisation:</w:t>
      </w:r>
    </w:p>
    <w:p>
      <w:pPr>
        <w:pStyle w:val="SourceCode"/>
      </w:pPr>
      <w:r>
        <w:rPr>
          <w:rStyle w:val="VerbatimChar"/>
        </w:rPr>
        <w:t xml:space="preserve">RVE RSA: placed 2888/2888  achieved phi=0.189019</w:t>
      </w:r>
      <w:r>
        <w:br/>
      </w:r>
      <w:r>
        <w:rPr>
          <w:rStyle w:val="VerbatimChar"/>
        </w:rPr>
        <w:t xml:space="preserve">ShieldLab-G4 geometry (RVE parameterised):</w:t>
      </w:r>
      <w:r>
        <w:br/>
      </w:r>
      <w:r>
        <w:rPr>
          <w:rStyle w:val="VerbatimChar"/>
        </w:rPr>
        <w:t xml:space="preserve">  side:   1 um</w:t>
      </w:r>
      <w:r>
        <w:br/>
      </w:r>
      <w:r>
        <w:rPr>
          <w:rStyle w:val="VerbatimChar"/>
        </w:rPr>
        <w:t xml:space="preserve">  radius: 25 nm</w:t>
      </w:r>
      <w:r>
        <w:br/>
      </w:r>
      <w:r>
        <w:rPr>
          <w:rStyle w:val="VerbatimChar"/>
        </w:rPr>
        <w:t xml:space="preserve">  placed: 2888 particles</w:t>
      </w:r>
    </w:p>
    <w:p>
      <w:pPr>
        <w:pStyle w:val="FirstParagraph"/>
      </w:pPr>
      <w:r>
        <w:t xml:space="preserve">The RSA algorithm placed all 2,888 target spheres, achieving</w:t>
      </w:r>
      <w:r>
        <w:t xml:space="preserve"> </w:t>
      </w:r>
      <m:oMath>
        <m:sSub>
          <m:e>
            <m:r>
              <m:t>ϕ</m:t>
            </m:r>
          </m:e>
          <m:sub>
            <m:r>
              <m:t>f</m:t>
            </m:r>
          </m:sub>
        </m:sSub>
        <m:r>
          <m:rPr>
            <m:sty m:val="p"/>
          </m:rPr>
          <m:t>=</m:t>
        </m:r>
        <m:r>
          <m:t>0.1890</m:t>
        </m:r>
      </m:oMath>
      <w:r>
        <w:t xml:space="preserve"> </w:t>
      </w:r>
      <w:r>
        <w:t xml:space="preserve">(target: 0.189). No overlap rejections were reported — the packing fraction is well below the random close-packing limit (</w:t>
      </w:r>
      <m:oMath>
        <m:sSub>
          <m:e>
            <m:r>
              <m:t>ϕ</m:t>
            </m:r>
          </m:e>
          <m:sub>
            <m:r>
              <m:rPr>
                <m:nor/>
                <m:sty m:val="p"/>
              </m:rPr>
              <m:t>RCP</m:t>
            </m:r>
          </m:sub>
        </m:sSub>
        <m:r>
          <m:rPr>
            <m:sty m:val="p"/>
          </m:rPr>
          <m:t>≈</m:t>
        </m:r>
        <m:r>
          <m:t>0.64</m:t>
        </m:r>
      </m:oMath>
      <w:r>
        <w:t xml:space="preserve">).</w:t>
      </w:r>
    </w:p>
    <w:bookmarkEnd w:id="48"/>
    <w:bookmarkStart w:id="49" w:name="transmission-and-µ-results"/>
    <w:p>
      <w:pPr>
        <w:pStyle w:val="Heading4"/>
      </w:pPr>
      <w:r>
        <w:t xml:space="preserve">5.2.2 Transmission and µ results</w:t>
      </w:r>
    </w:p>
    <w:p>
      <w:pPr>
        <w:pStyle w:val="FirstParagraph"/>
      </w:pPr>
      <w:r>
        <w:rPr>
          <w:i/>
          <w:iCs/>
        </w:rPr>
        <w:t xml:space="preserve">XCOM reference values for 68.6 wt% Bi₂O₃ / HDPE at</w:t>
      </w:r>
      <w:r>
        <w:rPr>
          <w:i/>
          <w:iCs/>
        </w:rPr>
        <w:t xml:space="preserve"> </w:t>
      </w:r>
      <m:oMath>
        <m:r>
          <m:t>ρ</m:t>
        </m:r>
        <m:r>
          <m:rPr>
            <m:sty m:val="p"/>
          </m:rPr>
          <m:t>=</m:t>
        </m:r>
        <m:r>
          <m:t>2.452</m:t>
        </m:r>
      </m:oMath>
      <w:r>
        <w:rPr>
          <w:i/>
          <w:iCs/>
        </w:rPr>
        <w:t xml:space="preserve"> </w:t>
      </w:r>
      <w:r>
        <w:rPr>
          <w:i/>
          <w:iCs/>
        </w:rPr>
        <w:t xml:space="preserve">g cm</w:t>
      </w:r>
      <m:oMath>
        <m:sSup>
          <m:e>
            <m:r>
              <m:t>​</m:t>
            </m:r>
          </m:e>
          <m:sup>
            <m:r>
              <m:rPr>
                <m:sty m:val="p"/>
              </m:rPr>
              <m:t>−</m:t>
            </m:r>
            <m:r>
              <m:t>3</m:t>
            </m:r>
          </m:sup>
        </m:sSup>
      </m:oMath>
      <w:r>
        <w:rPr>
          <w:i/>
          <w:iCs/>
        </w:rPr>
        <w:t xml:space="preserve"> </w:t>
      </w:r>
      <w:r>
        <w:rPr>
          <w:i/>
          <w:iCs/>
        </w:rPr>
        <w:t xml:space="preserve">are from</w:t>
      </w:r>
      <w:r>
        <w:rPr>
          <w:i/>
          <w:iCs/>
        </w:rPr>
        <w:t xml:space="preserve"> </w:t>
      </w:r>
      <w:r>
        <w:rPr>
          <w:rStyle w:val="VerbatimChar"/>
          <w:i/>
          <w:iCs/>
        </w:rPr>
        <w:t xml:space="preserve">paper3_results.py</w:t>
      </w:r>
      <w:r>
        <w:rPr>
          <w:i/>
          <w:iCs/>
        </w:rPr>
        <w:t xml:space="preserve"> </w:t>
      </w:r>
      <w:r>
        <w:rPr>
          <w:i/>
          <w:iCs/>
        </w:rPr>
        <w:t xml:space="preserve">via the NIST XCOM additive rule. All</w:t>
      </w:r>
      <w:r>
        <w:rPr>
          <w:i/>
          <w:iCs/>
        </w:rPr>
        <w:t xml:space="preserve"> </w:t>
      </w:r>
      <m:oMath>
        <m:r>
          <m:t>μ</m:t>
        </m:r>
        <m:r>
          <m:rPr>
            <m:sty m:val="p"/>
          </m:rPr>
          <m:t>/</m:t>
        </m:r>
        <m:r>
          <m:t>ρ</m:t>
        </m:r>
      </m:oMath>
      <w:r>
        <w:rPr>
          <w:i/>
          <w:iCs/>
        </w:rPr>
        <w:t xml:space="preserve"> </w:t>
      </w:r>
      <w:r>
        <w:rPr>
          <w:i/>
          <w:iCs/>
        </w:rPr>
        <w:t xml:space="preserve">values use</w:t>
      </w:r>
      <w:r>
        <w:rPr>
          <w:i/>
          <w:iCs/>
        </w:rPr>
        <w:t xml:space="preserve"> </w:t>
      </w:r>
      <m:oMath>
        <m:r>
          <m:t>ρ</m:t>
        </m:r>
        <m:r>
          <m:rPr>
            <m:sty m:val="p"/>
          </m:rPr>
          <m:t>=</m:t>
        </m:r>
        <m:r>
          <m:t>2.452</m:t>
        </m:r>
      </m:oMath>
      <w:r>
        <w:rPr>
          <w:i/>
          <w:iCs/>
        </w:rPr>
        <w:t xml:space="preserve"> </w:t>
      </w:r>
      <w:r>
        <w:rPr>
          <w:i/>
          <w:iCs/>
        </w:rPr>
        <w:t xml:space="preserve">g cm</w:t>
      </w:r>
      <m:oMath>
        <m:sSup>
          <m:e>
            <m:r>
              <m:t>​</m:t>
            </m:r>
          </m:e>
          <m:sup>
            <m:r>
              <m:rPr>
                <m:sty m:val="p"/>
              </m:rPr>
              <m:t>−</m:t>
            </m:r>
            <m:r>
              <m:t>3</m:t>
            </m:r>
          </m:sup>
        </m:sSup>
      </m:oMath>
      <w:r>
        <w:rPr>
          <w:i/>
          <w:iCs/>
        </w:rPr>
        <w:t xml:space="preserve">.</w:t>
      </w:r>
    </w:p>
    <w:p>
      <w:pPr>
        <w:pStyle w:val="BodyText"/>
      </w:pPr>
      <w:r>
        <w:rPr>
          <w:b/>
          <w:bCs/>
        </w:rPr>
        <w:t xml:space="preserve">Table 2.</w:t>
      </w:r>
      <w:r>
        <w:t xml:space="preserve"> </w:t>
      </w:r>
      <w:r>
        <w:t xml:space="preserve">Regime B mass attenuation coefficients (G4PVParameterised explicit RVE, 1 µm, 2888 spheres,</w:t>
      </w:r>
      <w:r>
        <w:t xml:space="preserve"> </w:t>
      </w:r>
      <m:oMath>
        <m:sSup>
          <m:e>
            <m:r>
              <m:t>10</m:t>
            </m:r>
          </m:e>
          <m:sup>
            <m:r>
              <m:t>7</m:t>
            </m:r>
          </m:sup>
        </m:sSup>
      </m:oMath>
      <w:r>
        <w:t xml:space="preserve"> </w:t>
      </w:r>
      <w:r>
        <w:t xml:space="preserve">histories per point). Statistical uncertainty (</w:t>
      </w:r>
      <m:oMath>
        <m:r>
          <m:t>1</m:t>
        </m:r>
        <m:r>
          <m:t>σ</m:t>
        </m:r>
      </m:oMath>
      <w:r>
        <w:t xml:space="preserve">) in µ is approximately</w:t>
      </w:r>
      <w:r>
        <w:t xml:space="preserve"> </w:t>
      </w:r>
      <m:oMath>
        <m:r>
          <m:t>1</m:t>
        </m:r>
        <m:r>
          <m:rPr>
            <m:sty m:val="p"/>
          </m:rPr>
          <m:t>/</m:t>
        </m:r>
        <m:rad>
          <m:radPr>
            <m:degHide m:val="on"/>
          </m:radPr>
          <m:deg/>
          <m:e>
            <m:sSub>
              <m:e>
                <m:r>
                  <m:t>N</m:t>
                </m:r>
              </m:e>
              <m:sub>
                <m:r>
                  <m:rPr>
                    <m:nor/>
                    <m:sty m:val="p"/>
                  </m:rPr>
                  <m:t>att</m:t>
                </m:r>
              </m:sub>
            </m:sSub>
          </m:e>
        </m:rad>
      </m:oMath>
      <w:r>
        <w:t xml:space="preserve"> </w:t>
      </w:r>
      <w:r>
        <w:t xml:space="preserve">where</w:t>
      </w:r>
      <w:r>
        <w:t xml:space="preserve"> </w:t>
      </w:r>
      <m:oMath>
        <m:sSub>
          <m:e>
            <m:r>
              <m:t>N</m:t>
            </m:r>
          </m:e>
          <m:sub>
            <m:r>
              <m:rPr>
                <m:nor/>
                <m:sty m:val="p"/>
              </m:rPr>
              <m:t>att</m:t>
            </m:r>
          </m:sub>
        </m:sSub>
        <m:r>
          <m:rPr>
            <m:sty m:val="p"/>
          </m:rPr>
          <m:t>=</m:t>
        </m:r>
        <m:r>
          <m:t>N</m:t>
        </m:r>
        <m:r>
          <m:rPr>
            <m:sty m:val="p"/>
          </m:rPr>
          <m:t>(</m:t>
        </m:r>
        <m:r>
          <m:t>1</m:t>
        </m:r>
        <m:r>
          <m:rPr>
            <m:sty m:val="p"/>
          </m:rPr>
          <m:t>−</m:t>
        </m:r>
        <m:r>
          <m:t>T</m:t>
        </m:r>
        <m:r>
          <m:rPr>
            <m:sty m:val="p"/>
          </m:rPr>
          <m:t>)</m:t>
        </m:r>
      </m:oMath>
      <w:r>
        <w:t xml:space="preserve"> </w:t>
      </w:r>
      <w:r>
        <w:t xml:space="preserve">is the number of attenuated primaries.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right"/>
            </w:pPr>
            <m:oMath>
              <m:r>
                <m:t>E</m:t>
              </m:r>
            </m:oMath>
            <w:r>
              <w:t xml:space="preserve"> </w:t>
            </w:r>
            <w:r>
              <w:t xml:space="preserve">(keV)</w:t>
            </w:r>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sSub>
                <m:e>
                  <m:r>
                    <m:t>N</m:t>
                  </m:r>
                </m:e>
                <m:sub>
                  <m:r>
                    <m:rPr>
                      <m:nor/>
                      <m:sty m:val="p"/>
                    </m:rPr>
                    <m:t>att</m:t>
                  </m:r>
                </m:sub>
              </m:sSub>
            </m:oMath>
          </w:p>
        </w:tc>
        <w:tc>
          <w:tcPr/>
          <w:p>
            <w:pPr>
              <w:pStyle w:val="Compact"/>
              <w:jc w:val="right"/>
            </w:pPr>
            <m:oMath>
              <m:sSub>
                <m:e>
                  <m:r>
                    <m:t>σ</m:t>
                  </m:r>
                </m:e>
                <m:sub>
                  <m:r>
                    <m:t>μ</m:t>
                  </m:r>
                </m:sub>
              </m:sSub>
              <m:r>
                <m:rPr>
                  <m:sty m:val="p"/>
                </m:rPr>
                <m:t>/</m:t>
              </m:r>
              <m:r>
                <m:t>μ</m:t>
              </m:r>
            </m:oMath>
            <w:r>
              <w:t xml:space="preserve"> </w:t>
            </w:r>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p>
        </w:tc>
        <w:tc>
          <w:tcPr/>
          <w:p>
            <w:pPr>
              <w:pStyle w:val="Compact"/>
              <w:jc w:val="right"/>
            </w:pPr>
            <m:oMath>
              <m:sSub>
                <m:e>
                  <m:r>
                    <m:rPr>
                      <m:sty m:val="p"/>
                    </m:rPr>
                    <m:t>Δ</m:t>
                  </m:r>
                </m:e>
                <m:sub>
                  <m:r>
                    <m:t>B</m:t>
                  </m:r>
                </m:sub>
              </m:sSub>
            </m:oMath>
            <w:r>
              <w:t xml:space="preserve"> </w:t>
            </w:r>
            <w:r>
              <w:t xml:space="preserve">(%)</w:t>
            </w:r>
          </w:p>
        </w:tc>
        <w:tc>
          <w:tcPr/>
          <w:p>
            <w:pPr>
              <w:pStyle w:val="Compact"/>
              <w:jc w:val="right"/>
            </w:pPr>
            <m:oMath>
              <m:sSub>
                <m:e>
                  <m:r>
                    <m:t>μ</m:t>
                  </m:r>
                </m:e>
                <m:sub>
                  <m:r>
                    <m:t>B</m:t>
                  </m:r>
                </m:sub>
              </m:sSub>
              <m:r>
                <m:rPr>
                  <m:sty m:val="p"/>
                </m:rPr>
                <m:t>/</m:t>
              </m:r>
              <m:sSub>
                <m:e>
                  <m:r>
                    <m:t>μ</m:t>
                  </m:r>
                </m:e>
                <m:sub>
                  <m:r>
                    <m:t>A</m:t>
                  </m:r>
                  <m:r>
                    <m:rPr>
                      <m:sty m:val="p"/>
                    </m:rPr>
                    <m:t>,</m:t>
                  </m:r>
                  <m:r>
                    <m:t>ϕ</m:t>
                  </m:r>
                </m:sub>
              </m:sSub>
            </m:oMath>
          </w:p>
        </w:tc>
      </w:tr>
      <w:tr>
        <w:tc>
          <w:tcPr/>
          <w:p>
            <w:pPr>
              <w:pStyle w:val="Compact"/>
              <w:jc w:val="right"/>
            </w:pPr>
            <w:r>
              <w:t xml:space="preserve">30</w:t>
            </w:r>
          </w:p>
        </w:tc>
        <w:tc>
          <w:tcPr/>
          <w:p>
            <w:pPr>
              <w:pStyle w:val="Compact"/>
              <w:jc w:val="right"/>
            </w:pPr>
            <w:r>
              <w:t xml:space="preserve">0.99531</w:t>
            </w:r>
          </w:p>
        </w:tc>
        <w:tc>
          <w:tcPr/>
          <w:p>
            <w:pPr>
              <w:pStyle w:val="Compact"/>
              <w:jc w:val="right"/>
            </w:pPr>
            <w:r>
              <w:t xml:space="preserve">47.009</w:t>
            </w:r>
          </w:p>
        </w:tc>
        <w:tc>
          <w:tcPr/>
          <w:p>
            <w:pPr>
              <w:pStyle w:val="Compact"/>
              <w:jc w:val="right"/>
            </w:pPr>
            <w:r>
              <w:t xml:space="preserve">19.19</w:t>
            </w:r>
          </w:p>
        </w:tc>
        <w:tc>
          <w:tcPr/>
          <w:p>
            <w:pPr>
              <w:pStyle w:val="Compact"/>
              <w:jc w:val="right"/>
            </w:pPr>
            <w:r>
              <w:t xml:space="preserve">46,899</w:t>
            </w:r>
          </w:p>
        </w:tc>
        <w:tc>
          <w:tcPr/>
          <w:p>
            <w:pPr>
              <w:pStyle w:val="Compact"/>
              <w:jc w:val="right"/>
            </w:pPr>
            <w:r>
              <w:t xml:space="preserve">0.46</w:t>
            </w:r>
          </w:p>
        </w:tc>
        <w:tc>
          <w:tcPr/>
          <w:p>
            <w:pPr>
              <w:pStyle w:val="Compact"/>
              <w:jc w:val="right"/>
            </w:pPr>
            <w:r>
              <w:t xml:space="preserve">19.507</w:t>
            </w:r>
          </w:p>
        </w:tc>
        <w:tc>
          <w:tcPr/>
          <w:p>
            <w:pPr>
              <w:pStyle w:val="Compact"/>
              <w:jc w:val="right"/>
            </w:pPr>
            <w:r>
              <w:t xml:space="preserve">−1.64</w:t>
            </w:r>
          </w:p>
        </w:tc>
        <w:tc>
          <w:tcPr/>
          <w:p>
            <w:pPr>
              <w:pStyle w:val="Compact"/>
              <w:jc w:val="right"/>
            </w:pPr>
            <w:r>
              <w:t xml:space="preserve">0.981 (-1.9%)</w:t>
            </w:r>
          </w:p>
        </w:tc>
      </w:tr>
      <w:tr>
        <w:tc>
          <w:tcPr/>
          <w:p>
            <w:pPr>
              <w:pStyle w:val="Compact"/>
              <w:jc w:val="right"/>
            </w:pPr>
            <w:r>
              <w:t xml:space="preserve">50</w:t>
            </w:r>
          </w:p>
        </w:tc>
        <w:tc>
          <w:tcPr/>
          <w:p>
            <w:pPr>
              <w:pStyle w:val="Compact"/>
              <w:jc w:val="right"/>
            </w:pPr>
            <w:r>
              <w:t xml:space="preserve">0.998753</w:t>
            </w:r>
          </w:p>
        </w:tc>
        <w:tc>
          <w:tcPr/>
          <w:p>
            <w:pPr>
              <w:pStyle w:val="Compact"/>
              <w:jc w:val="right"/>
            </w:pPr>
            <w:r>
              <w:t xml:space="preserve">12.483</w:t>
            </w:r>
          </w:p>
        </w:tc>
        <w:tc>
          <w:tcPr/>
          <w:p>
            <w:pPr>
              <w:pStyle w:val="Compact"/>
              <w:jc w:val="right"/>
            </w:pPr>
            <w:r>
              <w:t xml:space="preserve">5.095</w:t>
            </w:r>
          </w:p>
        </w:tc>
        <w:tc>
          <w:tcPr/>
          <w:p>
            <w:pPr>
              <w:pStyle w:val="Compact"/>
              <w:jc w:val="right"/>
            </w:pPr>
            <w:r>
              <w:t xml:space="preserve">12,475</w:t>
            </w:r>
          </w:p>
        </w:tc>
        <w:tc>
          <w:tcPr/>
          <w:p>
            <w:pPr>
              <w:pStyle w:val="Compact"/>
              <w:jc w:val="right"/>
            </w:pPr>
            <w:r>
              <w:t xml:space="preserve">0.90</w:t>
            </w:r>
          </w:p>
        </w:tc>
        <w:tc>
          <w:tcPr/>
          <w:p>
            <w:pPr>
              <w:pStyle w:val="Compact"/>
              <w:jc w:val="right"/>
            </w:pPr>
            <w:r>
              <w:t xml:space="preserve">5.236</w:t>
            </w:r>
          </w:p>
        </w:tc>
        <w:tc>
          <w:tcPr/>
          <w:p>
            <w:pPr>
              <w:pStyle w:val="Compact"/>
              <w:jc w:val="right"/>
            </w:pPr>
            <w:r>
              <w:t xml:space="preserve">−2.70</w:t>
            </w:r>
          </w:p>
        </w:tc>
        <w:tc>
          <w:tcPr/>
          <w:p>
            <w:pPr>
              <w:pStyle w:val="Compact"/>
              <w:jc w:val="right"/>
            </w:pPr>
            <w:r>
              <w:t xml:space="preserve">0.976 (-2.4%)</w:t>
            </w:r>
          </w:p>
        </w:tc>
      </w:tr>
      <w:tr>
        <w:tc>
          <w:tcPr/>
          <w:p>
            <w:pPr>
              <w:pStyle w:val="Compact"/>
              <w:jc w:val="right"/>
            </w:pPr>
            <w:r>
              <w:t xml:space="preserve">80</w:t>
            </w:r>
          </w:p>
        </w:tc>
        <w:tc>
          <w:tcPr/>
          <w:p>
            <w:pPr>
              <w:pStyle w:val="Compact"/>
              <w:jc w:val="right"/>
            </w:pPr>
            <w:r>
              <w:t xml:space="preserve">0.999619</w:t>
            </w:r>
          </w:p>
        </w:tc>
        <w:tc>
          <w:tcPr/>
          <w:p>
            <w:pPr>
              <w:pStyle w:val="Compact"/>
              <w:jc w:val="right"/>
            </w:pPr>
            <w:r>
              <w:t xml:space="preserve">3.8137</w:t>
            </w:r>
          </w:p>
        </w:tc>
        <w:tc>
          <w:tcPr/>
          <w:p>
            <w:pPr>
              <w:pStyle w:val="Compact"/>
              <w:jc w:val="right"/>
            </w:pPr>
            <w:r>
              <w:t xml:space="preserve">1.557</w:t>
            </w:r>
          </w:p>
        </w:tc>
        <w:tc>
          <w:tcPr/>
          <w:p>
            <w:pPr>
              <w:pStyle w:val="Compact"/>
              <w:jc w:val="right"/>
            </w:pPr>
            <w:r>
              <w:t xml:space="preserve">3,813</w:t>
            </w:r>
          </w:p>
        </w:tc>
        <w:tc>
          <w:tcPr/>
          <w:p>
            <w:pPr>
              <w:pStyle w:val="Compact"/>
              <w:jc w:val="right"/>
            </w:pPr>
            <w:r>
              <w:t xml:space="preserve">1.62</w:t>
            </w:r>
          </w:p>
        </w:tc>
        <w:tc>
          <w:tcPr/>
          <w:p>
            <w:pPr>
              <w:pStyle w:val="Compact"/>
              <w:jc w:val="right"/>
            </w:pPr>
            <w:r>
              <w:t xml:space="preserve">1.621</w:t>
            </w:r>
          </w:p>
        </w:tc>
        <w:tc>
          <w:tcPr/>
          <w:p>
            <w:pPr>
              <w:pStyle w:val="Compact"/>
              <w:jc w:val="right"/>
            </w:pPr>
            <w:r>
              <w:t xml:space="preserve">−3.97</w:t>
            </w:r>
          </w:p>
        </w:tc>
        <w:tc>
          <w:tcPr/>
          <w:p>
            <w:pPr>
              <w:pStyle w:val="Compact"/>
              <w:jc w:val="right"/>
            </w:pPr>
            <w:r>
              <w:t xml:space="preserve">0.984 (-1.6%)</w:t>
            </w:r>
          </w:p>
        </w:tc>
      </w:tr>
      <w:tr>
        <w:tc>
          <w:tcPr/>
          <w:p>
            <w:pPr>
              <w:pStyle w:val="Compact"/>
              <w:jc w:val="right"/>
            </w:pPr>
            <w:r>
              <w:t xml:space="preserve">100</w:t>
            </w:r>
          </w:p>
        </w:tc>
        <w:tc>
          <w:tcPr/>
          <w:p>
            <w:pPr>
              <w:pStyle w:val="Compact"/>
              <w:jc w:val="right"/>
            </w:pPr>
            <w:r>
              <w:t xml:space="preserve">0.99914</w:t>
            </w:r>
          </w:p>
        </w:tc>
        <w:tc>
          <w:tcPr/>
          <w:p>
            <w:pPr>
              <w:pStyle w:val="Compact"/>
              <w:jc w:val="right"/>
            </w:pPr>
            <w:r>
              <w:t xml:space="preserve">8.6047</w:t>
            </w:r>
          </w:p>
        </w:tc>
        <w:tc>
          <w:tcPr/>
          <w:p>
            <w:pPr>
              <w:pStyle w:val="Compact"/>
              <w:jc w:val="right"/>
            </w:pPr>
            <w:r>
              <w:t xml:space="preserve">3.512</w:t>
            </w:r>
          </w:p>
        </w:tc>
        <w:tc>
          <w:tcPr/>
          <w:p>
            <w:pPr>
              <w:pStyle w:val="Compact"/>
              <w:jc w:val="right"/>
            </w:pPr>
            <w:r>
              <w:t xml:space="preserve">8,601</w:t>
            </w:r>
          </w:p>
        </w:tc>
        <w:tc>
          <w:tcPr/>
          <w:p>
            <w:pPr>
              <w:pStyle w:val="Compact"/>
              <w:jc w:val="right"/>
            </w:pPr>
            <w:r>
              <w:t xml:space="preserve">1.08</w:t>
            </w:r>
          </w:p>
        </w:tc>
        <w:tc>
          <w:tcPr/>
          <w:p>
            <w:pPr>
              <w:pStyle w:val="Compact"/>
              <w:jc w:val="right"/>
            </w:pPr>
            <w:r>
              <w:t xml:space="preserve">3.596</w:t>
            </w:r>
          </w:p>
        </w:tc>
        <w:tc>
          <w:tcPr/>
          <w:p>
            <w:pPr>
              <w:pStyle w:val="Compact"/>
              <w:jc w:val="right"/>
            </w:pPr>
            <w:r>
              <w:t xml:space="preserve">−2.34</w:t>
            </w:r>
          </w:p>
        </w:tc>
        <w:tc>
          <w:tcPr/>
          <w:p>
            <w:pPr>
              <w:pStyle w:val="Compact"/>
              <w:jc w:val="right"/>
            </w:pPr>
            <w:r>
              <w:t xml:space="preserve">0.981 (-1.9%)</w:t>
            </w:r>
          </w:p>
        </w:tc>
      </w:tr>
      <w:tr>
        <w:tc>
          <w:tcPr/>
          <w:p>
            <w:pPr>
              <w:pStyle w:val="Compact"/>
              <w:jc w:val="right"/>
            </w:pPr>
            <w:r>
              <w:t xml:space="preserve">150</w:t>
            </w:r>
          </w:p>
        </w:tc>
        <w:tc>
          <w:tcPr/>
          <w:p>
            <w:pPr>
              <w:pStyle w:val="Compact"/>
              <w:jc w:val="right"/>
            </w:pPr>
            <w:r>
              <w:t xml:space="preserve">0.999681</w:t>
            </w:r>
          </w:p>
        </w:tc>
        <w:tc>
          <w:tcPr/>
          <w:p>
            <w:pPr>
              <w:pStyle w:val="Compact"/>
              <w:jc w:val="right"/>
            </w:pPr>
            <w:r>
              <w:t xml:space="preserve">3.1935</w:t>
            </w:r>
          </w:p>
        </w:tc>
        <w:tc>
          <w:tcPr/>
          <w:p>
            <w:pPr>
              <w:pStyle w:val="Compact"/>
              <w:jc w:val="right"/>
            </w:pPr>
            <w:r>
              <w:t xml:space="preserve">1.303</w:t>
            </w:r>
          </w:p>
        </w:tc>
        <w:tc>
          <w:tcPr/>
          <w:p>
            <w:pPr>
              <w:pStyle w:val="Compact"/>
              <w:jc w:val="right"/>
            </w:pPr>
            <w:r>
              <w:t xml:space="preserve">3,193</w:t>
            </w:r>
          </w:p>
        </w:tc>
        <w:tc>
          <w:tcPr/>
          <w:p>
            <w:pPr>
              <w:pStyle w:val="Compact"/>
              <w:jc w:val="right"/>
            </w:pPr>
            <w:r>
              <w:t xml:space="preserve">1.77</w:t>
            </w:r>
          </w:p>
        </w:tc>
        <w:tc>
          <w:tcPr/>
          <w:p>
            <w:pPr>
              <w:pStyle w:val="Compact"/>
              <w:jc w:val="right"/>
            </w:pPr>
            <w:r>
              <w:t xml:space="preserve">1.339</w:t>
            </w:r>
          </w:p>
        </w:tc>
        <w:tc>
          <w:tcPr/>
          <w:p>
            <w:pPr>
              <w:pStyle w:val="Compact"/>
              <w:jc w:val="right"/>
            </w:pPr>
            <w:r>
              <w:t xml:space="preserve">−2.65</w:t>
            </w:r>
          </w:p>
        </w:tc>
        <w:tc>
          <w:tcPr/>
          <w:p>
            <w:pPr>
              <w:pStyle w:val="Compact"/>
              <w:jc w:val="right"/>
            </w:pPr>
            <w:r>
              <w:t xml:space="preserve">0.975 (-2.5%)</w:t>
            </w:r>
          </w:p>
        </w:tc>
      </w:tr>
      <w:tr>
        <w:tc>
          <w:tcPr/>
          <w:p>
            <w:pPr>
              <w:pStyle w:val="Compact"/>
              <w:jc w:val="right"/>
            </w:pPr>
            <w:r>
              <w:t xml:space="preserve">356†</w:t>
            </w:r>
          </w:p>
        </w:tc>
        <w:tc>
          <w:tcPr/>
          <w:p>
            <w:pPr>
              <w:pStyle w:val="Compact"/>
              <w:jc w:val="right"/>
            </w:pPr>
            <w:r>
              <w:t xml:space="preserve">0.9999486</w:t>
            </w:r>
          </w:p>
        </w:tc>
        <w:tc>
          <w:tcPr/>
          <w:p>
            <w:pPr>
              <w:pStyle w:val="Compact"/>
              <w:jc w:val="right"/>
            </w:pPr>
            <w:r>
              <w:t xml:space="preserve">0.5140</w:t>
            </w:r>
          </w:p>
        </w:tc>
        <w:tc>
          <w:tcPr/>
          <w:p>
            <w:pPr>
              <w:pStyle w:val="Compact"/>
              <w:jc w:val="right"/>
            </w:pPr>
            <w:r>
              <w:t xml:space="preserve">0.2098</w:t>
            </w:r>
          </w:p>
        </w:tc>
        <w:tc>
          <w:tcPr/>
          <w:p>
            <w:pPr>
              <w:pStyle w:val="Compact"/>
              <w:jc w:val="right"/>
            </w:pPr>
            <w:r>
              <w:t xml:space="preserve">514</w:t>
            </w:r>
          </w:p>
        </w:tc>
        <w:tc>
          <w:tcPr/>
          <w:p>
            <w:pPr>
              <w:pStyle w:val="Compact"/>
              <w:jc w:val="right"/>
            </w:pPr>
            <w:r>
              <w:t xml:space="preserve">4.4</w:t>
            </w:r>
          </w:p>
        </w:tc>
        <w:tc>
          <w:tcPr/>
          <w:p>
            <w:pPr>
              <w:pStyle w:val="Compact"/>
              <w:jc w:val="right"/>
            </w:pPr>
            <w:r>
              <w:t xml:space="preserve">0.2270</w:t>
            </w:r>
          </w:p>
        </w:tc>
        <w:tc>
          <w:tcPr/>
          <w:p>
            <w:pPr>
              <w:pStyle w:val="Compact"/>
              <w:jc w:val="right"/>
            </w:pPr>
            <w:r>
              <w:t xml:space="preserve">−7.6†</w:t>
            </w:r>
          </w:p>
        </w:tc>
        <w:tc>
          <w:tcPr/>
          <w:p>
            <w:pPr>
              <w:pStyle w:val="Compact"/>
              <w:jc w:val="right"/>
            </w:pPr>
            <w:r>
              <w:t xml:space="preserve">0.932 (-6.8%)†</w:t>
            </w:r>
          </w:p>
        </w:tc>
      </w:tr>
      <w:tr>
        <w:tc>
          <w:tcPr/>
          <w:p>
            <w:pPr>
              <w:pStyle w:val="Compact"/>
              <w:jc w:val="right"/>
            </w:pPr>
            <w:r>
              <w:t xml:space="preserve">511†</w:t>
            </w:r>
          </w:p>
        </w:tc>
        <w:tc>
          <w:tcPr/>
          <w:p>
            <w:pPr>
              <w:pStyle w:val="Compact"/>
              <w:jc w:val="right"/>
            </w:pPr>
            <w:r>
              <w:t xml:space="preserve">0.999971</w:t>
            </w:r>
          </w:p>
        </w:tc>
        <w:tc>
          <w:tcPr/>
          <w:p>
            <w:pPr>
              <w:pStyle w:val="Compact"/>
              <w:jc w:val="right"/>
            </w:pPr>
            <w:r>
              <w:t xml:space="preserve">0.2940</w:t>
            </w:r>
          </w:p>
        </w:tc>
        <w:tc>
          <w:tcPr/>
          <w:p>
            <w:pPr>
              <w:pStyle w:val="Compact"/>
              <w:jc w:val="right"/>
            </w:pPr>
            <w:r>
              <w:t xml:space="preserve">0.1200</w:t>
            </w:r>
          </w:p>
        </w:tc>
        <w:tc>
          <w:tcPr/>
          <w:p>
            <w:pPr>
              <w:pStyle w:val="Compact"/>
              <w:jc w:val="right"/>
            </w:pPr>
            <w:r>
              <w:t xml:space="preserve">294</w:t>
            </w:r>
          </w:p>
        </w:tc>
        <w:tc>
          <w:tcPr/>
          <w:p>
            <w:pPr>
              <w:pStyle w:val="Compact"/>
              <w:jc w:val="right"/>
            </w:pPr>
            <w:r>
              <w:t xml:space="preserve">5.8</w:t>
            </w:r>
          </w:p>
        </w:tc>
        <w:tc>
          <w:tcPr/>
          <w:p>
            <w:pPr>
              <w:pStyle w:val="Compact"/>
              <w:jc w:val="right"/>
            </w:pPr>
            <w:r>
              <w:t xml:space="preserve">0.1358</w:t>
            </w:r>
          </w:p>
        </w:tc>
        <w:tc>
          <w:tcPr/>
          <w:p>
            <w:pPr>
              <w:pStyle w:val="Compact"/>
              <w:jc w:val="right"/>
            </w:pPr>
            <w:r>
              <w:t xml:space="preserve">−11.7†</w:t>
            </w:r>
          </w:p>
        </w:tc>
        <w:tc>
          <w:tcPr/>
          <w:p>
            <w:pPr>
              <w:pStyle w:val="Compact"/>
              <w:jc w:val="right"/>
            </w:pPr>
            <w:r>
              <w:t xml:space="preserve">0.886 (-11.4%)†</w:t>
            </w:r>
          </w:p>
        </w:tc>
      </w:tr>
      <w:tr>
        <w:tc>
          <w:tcPr/>
          <w:p>
            <w:pPr>
              <w:pStyle w:val="Compact"/>
              <w:jc w:val="right"/>
            </w:pPr>
            <w:r>
              <w:t xml:space="preserve">662†</w:t>
            </w:r>
          </w:p>
        </w:tc>
        <w:tc>
          <w:tcPr/>
          <w:p>
            <w:pPr>
              <w:pStyle w:val="Compact"/>
              <w:jc w:val="right"/>
            </w:pPr>
            <w:r>
              <w:t xml:space="preserve">0.999975</w:t>
            </w:r>
          </w:p>
        </w:tc>
        <w:tc>
          <w:tcPr/>
          <w:p>
            <w:pPr>
              <w:pStyle w:val="Compact"/>
              <w:jc w:val="right"/>
            </w:pPr>
            <w:r>
              <w:t xml:space="preserve">0.2530</w:t>
            </w:r>
          </w:p>
        </w:tc>
        <w:tc>
          <w:tcPr/>
          <w:p>
            <w:pPr>
              <w:pStyle w:val="Compact"/>
              <w:jc w:val="right"/>
            </w:pPr>
            <w:r>
              <w:t xml:space="preserve">0.1033</w:t>
            </w:r>
          </w:p>
        </w:tc>
        <w:tc>
          <w:tcPr/>
          <w:p>
            <w:pPr>
              <w:pStyle w:val="Compact"/>
              <w:jc w:val="right"/>
            </w:pPr>
            <w:r>
              <w:t xml:space="preserve">253</w:t>
            </w:r>
          </w:p>
        </w:tc>
        <w:tc>
          <w:tcPr/>
          <w:p>
            <w:pPr>
              <w:pStyle w:val="Compact"/>
              <w:jc w:val="right"/>
            </w:pPr>
            <w:r>
              <w:t xml:space="preserve">6.3</w:t>
            </w:r>
          </w:p>
        </w:tc>
        <w:tc>
          <w:tcPr/>
          <w:p>
            <w:pPr>
              <w:pStyle w:val="Compact"/>
              <w:jc w:val="right"/>
            </w:pPr>
            <w:r>
              <w:t xml:space="preserve">0.1029</w:t>
            </w:r>
          </w:p>
        </w:tc>
        <w:tc>
          <w:tcPr/>
          <w:p>
            <w:pPr>
              <w:pStyle w:val="Compact"/>
              <w:jc w:val="right"/>
            </w:pPr>
            <w:r>
              <w:t xml:space="preserve">+0.4†</w:t>
            </w:r>
          </w:p>
        </w:tc>
        <w:tc>
          <w:tcPr/>
          <w:p>
            <w:pPr>
              <w:pStyle w:val="Compact"/>
              <w:jc w:val="right"/>
            </w:pPr>
            <w:r>
              <w:t xml:space="preserve">1.011 (+1.1%)†</w:t>
            </w:r>
          </w:p>
        </w:tc>
      </w:tr>
      <w:tr>
        <w:tc>
          <w:tcPr/>
          <w:p>
            <w:pPr>
              <w:pStyle w:val="Compact"/>
              <w:jc w:val="right"/>
            </w:pPr>
            <w:r>
              <w:t xml:space="preserve">1173†</w:t>
            </w:r>
          </w:p>
        </w:tc>
        <w:tc>
          <w:tcPr/>
          <w:p>
            <w:pPr>
              <w:pStyle w:val="Compact"/>
              <w:jc w:val="right"/>
            </w:pPr>
            <w:r>
              <w:t xml:space="preserve">0.999985</w:t>
            </w:r>
          </w:p>
        </w:tc>
        <w:tc>
          <w:tcPr/>
          <w:p>
            <w:pPr>
              <w:pStyle w:val="Compact"/>
              <w:jc w:val="right"/>
            </w:pPr>
            <w:r>
              <w:t xml:space="preserve">0.1490</w:t>
            </w:r>
          </w:p>
        </w:tc>
        <w:tc>
          <w:tcPr/>
          <w:p>
            <w:pPr>
              <w:pStyle w:val="Compact"/>
              <w:jc w:val="right"/>
            </w:pPr>
            <w:r>
              <w:t xml:space="preserve">0.0608</w:t>
            </w:r>
          </w:p>
        </w:tc>
        <w:tc>
          <w:tcPr/>
          <w:p>
            <w:pPr>
              <w:pStyle w:val="Compact"/>
              <w:jc w:val="right"/>
            </w:pPr>
            <w:r>
              <w:t xml:space="preserve">149</w:t>
            </w:r>
          </w:p>
        </w:tc>
        <w:tc>
          <w:tcPr/>
          <w:p>
            <w:pPr>
              <w:pStyle w:val="Compact"/>
              <w:jc w:val="right"/>
            </w:pPr>
            <w:r>
              <w:t xml:space="preserve">8.2</w:t>
            </w:r>
          </w:p>
        </w:tc>
        <w:tc>
          <w:tcPr/>
          <w:p>
            <w:pPr>
              <w:pStyle w:val="Compact"/>
              <w:jc w:val="right"/>
            </w:pPr>
            <w:r>
              <w:t xml:space="preserve">0.0639</w:t>
            </w:r>
          </w:p>
        </w:tc>
        <w:tc>
          <w:tcPr/>
          <w:p>
            <w:pPr>
              <w:pStyle w:val="Compact"/>
              <w:jc w:val="right"/>
            </w:pPr>
            <w:r>
              <w:t xml:space="preserve">−4.8†</w:t>
            </w:r>
          </w:p>
        </w:tc>
        <w:tc>
          <w:tcPr/>
          <w:p>
            <w:pPr>
              <w:pStyle w:val="Compact"/>
              <w:jc w:val="right"/>
            </w:pPr>
            <w:r>
              <w:t xml:space="preserve">0.955 (-4.5%)†</w:t>
            </w:r>
          </w:p>
        </w:tc>
      </w:tr>
      <w:tr>
        <w:tc>
          <w:tcPr/>
          <w:p>
            <w:pPr>
              <w:pStyle w:val="Compact"/>
              <w:jc w:val="right"/>
            </w:pPr>
            <w:r>
              <w:t xml:space="preserve">1332†</w:t>
            </w:r>
          </w:p>
        </w:tc>
        <w:tc>
          <w:tcPr/>
          <w:p>
            <w:pPr>
              <w:pStyle w:val="Compact"/>
              <w:jc w:val="right"/>
            </w:pPr>
            <w:r>
              <w:t xml:space="preserve">0.999988</w:t>
            </w:r>
          </w:p>
        </w:tc>
        <w:tc>
          <w:tcPr/>
          <w:p>
            <w:pPr>
              <w:pStyle w:val="Compact"/>
              <w:jc w:val="right"/>
            </w:pPr>
            <w:r>
              <w:t xml:space="preserve">0.1240</w:t>
            </w:r>
          </w:p>
        </w:tc>
        <w:tc>
          <w:tcPr/>
          <w:p>
            <w:pPr>
              <w:pStyle w:val="Compact"/>
              <w:jc w:val="right"/>
            </w:pPr>
            <w:r>
              <w:t xml:space="preserve">0.0506</w:t>
            </w:r>
          </w:p>
        </w:tc>
        <w:tc>
          <w:tcPr/>
          <w:p>
            <w:pPr>
              <w:pStyle w:val="Compact"/>
              <w:jc w:val="right"/>
            </w:pPr>
            <w:r>
              <w:t xml:space="preserve">124</w:t>
            </w:r>
          </w:p>
        </w:tc>
        <w:tc>
          <w:tcPr/>
          <w:p>
            <w:pPr>
              <w:pStyle w:val="Compact"/>
              <w:jc w:val="right"/>
            </w:pPr>
            <w:r>
              <w:t xml:space="preserve">9.0</w:t>
            </w:r>
          </w:p>
        </w:tc>
        <w:tc>
          <w:tcPr/>
          <w:p>
            <w:pPr>
              <w:pStyle w:val="Compact"/>
              <w:jc w:val="right"/>
            </w:pPr>
            <w:r>
              <w:t xml:space="preserve">0.0588</w:t>
            </w:r>
          </w:p>
        </w:tc>
        <w:tc>
          <w:tcPr/>
          <w:p>
            <w:pPr>
              <w:pStyle w:val="Compact"/>
              <w:jc w:val="right"/>
            </w:pPr>
            <w:r>
              <w:t xml:space="preserve">−13.9†</w:t>
            </w:r>
          </w:p>
        </w:tc>
        <w:tc>
          <w:tcPr/>
          <w:p>
            <w:pPr>
              <w:pStyle w:val="Compact"/>
              <w:jc w:val="right"/>
            </w:pPr>
            <w:r>
              <w:t xml:space="preserve">0.869 (-13.1%)†</w:t>
            </w:r>
          </w:p>
        </w:tc>
      </w:tr>
    </w:tbl>
    <w:p>
      <w:pPr>
        <w:pStyle w:val="BodyText"/>
      </w:pPr>
      <w:r>
        <w:t xml:space="preserve">† Statistically dominated:</w:t>
      </w:r>
      <w:r>
        <w:t xml:space="preserve"> </w:t>
      </w:r>
      <m:oMath>
        <m:sSub>
          <m:e>
            <m:r>
              <m:t>N</m:t>
            </m:r>
          </m:e>
          <m:sub>
            <m:r>
              <m:rPr>
                <m:nor/>
                <m:sty m:val="p"/>
              </m:rPr>
              <m:t>att</m:t>
            </m:r>
          </m:sub>
        </m:sSub>
        <m:r>
          <m:rPr>
            <m:sty m:val="p"/>
          </m:rPr>
          <m:t>&lt;</m:t>
        </m:r>
        <m:r>
          <m:t>600</m:t>
        </m:r>
      </m:oMath>
      <w:r>
        <w:t xml:space="preserve">;</w:t>
      </w:r>
      <w:r>
        <w:t xml:space="preserve"> </w:t>
      </w:r>
      <m:oMath>
        <m:r>
          <m:rPr>
            <m:sty m:val="p"/>
          </m:rPr>
          <m:t>Δ</m:t>
        </m:r>
      </m:oMath>
      <w:r>
        <w:t xml:space="preserve"> </w:t>
      </w:r>
      <w:r>
        <w:t xml:space="preserve">reflects sampling noise, not systematic physics deviation.</w:t>
      </w:r>
    </w:p>
    <w:p>
      <w:pPr>
        <w:pStyle w:val="BodyText"/>
      </w:pPr>
      <w:r>
        <w:rPr>
          <w:i/>
          <w:iCs/>
        </w:rPr>
        <w:t xml:space="preserve">Note on</w:t>
      </w:r>
      <w:r>
        <w:rPr>
          <w:i/>
          <w:iCs/>
        </w:rPr>
        <w:t xml:space="preserve"> </w:t>
      </w:r>
      <m:oMath>
        <m:sSub>
          <m:e>
            <m:r>
              <m:t>μ</m:t>
            </m:r>
          </m:e>
          <m:sub>
            <m:r>
              <m:t>B</m:t>
            </m:r>
          </m:sub>
        </m:sSub>
        <m:r>
          <m:rPr>
            <m:sty m:val="p"/>
          </m:rPr>
          <m:t>/</m:t>
        </m:r>
        <m:sSub>
          <m:e>
            <m:r>
              <m:t>μ</m:t>
            </m:r>
          </m:e>
          <m:sub>
            <m:r>
              <m:t>A</m:t>
            </m:r>
            <m:r>
              <m:rPr>
                <m:sty m:val="p"/>
              </m:rPr>
              <m:t>,</m:t>
            </m:r>
            <m:r>
              <m:t>ϕ</m:t>
            </m:r>
          </m:sub>
        </m:sSub>
      </m:oMath>
      <w:r>
        <w:rPr>
          <w:i/>
          <w:iCs/>
        </w:rPr>
        <w:t xml:space="preserve"> </w:t>
      </w:r>
      <w:r>
        <w:rPr>
          <w:i/>
          <w:iCs/>
        </w:rPr>
        <w:t xml:space="preserve">ratio.</w:t>
      </w:r>
      <w:r>
        <w:t xml:space="preserve"> </w:t>
      </w:r>
      <w:r>
        <w:t xml:space="preserve">The ratio is computed against the regime A(phi0p189) result (§5.1.5), not the 30 wt% highstat run. Both regimes represent the same physical material (68.6 wt% Bi₂O₃,</w:t>
      </w:r>
      <w:r>
        <w:t xml:space="preserve"> </w:t>
      </w:r>
      <m:oMath>
        <m:r>
          <m:t>ρ</m:t>
        </m:r>
        <m:r>
          <m:rPr>
            <m:sty m:val="p"/>
          </m:rPr>
          <m:t>=</m:t>
        </m:r>
        <m:r>
          <m:t>2.452</m:t>
        </m:r>
      </m:oMath>
      <w:r>
        <w:t xml:space="preserve"> </w:t>
      </w:r>
      <w:r>
        <w:t xml:space="preserve">g cm</w:t>
      </w:r>
      <m:oMath>
        <m:sSup>
          <m:e>
            <m:r>
              <m:t>​</m:t>
            </m:r>
          </m:e>
          <m:sup>
            <m:r>
              <m:rPr>
                <m:sty m:val="p"/>
              </m:rPr>
              <m:t>−</m:t>
            </m:r>
            <m:r>
              <m:t>3</m:t>
            </m:r>
          </m:sup>
        </m:sSup>
      </m:oMath>
      <w:r>
        <w:t xml:space="preserve">); agreement confirms H1.</w:t>
      </w:r>
    </w:p>
    <w:p>
      <w:pPr>
        <w:pStyle w:val="BodyText"/>
      </w:pPr>
      <w:r>
        <w:rPr>
          <w:i/>
          <w:iCs/>
        </w:rPr>
        <w:t xml:space="preserve">Note on the Bi K-edge.</w:t>
      </w:r>
      <w:r>
        <w:t xml:space="preserve"> </w:t>
      </w:r>
      <w:r>
        <w:t xml:space="preserve">The Bi K-edge lies at 90.5 keV. The simulation correctly resolves this feature: µ drops from 12.48 cm</w:t>
      </w:r>
      <m:oMath>
        <m:sSup>
          <m:e>
            <m:r>
              <m:t>​</m:t>
            </m:r>
          </m:e>
          <m:sup>
            <m:r>
              <m:rPr>
                <m:sty m:val="p"/>
              </m:rPr>
              <m:t>−</m:t>
            </m:r>
            <m:r>
              <m:t>1</m:t>
            </m:r>
          </m:sup>
        </m:sSup>
      </m:oMath>
      <w:r>
        <w:t xml:space="preserve"> </w:t>
      </w:r>
      <w:r>
        <w:t xml:space="preserve">at 50 keV to 3.81 cm</w:t>
      </w:r>
      <m:oMath>
        <m:sSup>
          <m:e>
            <m:r>
              <m:t>​</m:t>
            </m:r>
          </m:e>
          <m:sup>
            <m:r>
              <m:rPr>
                <m:sty m:val="p"/>
              </m:rPr>
              <m:t>−</m:t>
            </m:r>
            <m:r>
              <m:t>1</m:t>
            </m:r>
          </m:sup>
        </m:sSup>
      </m:oMath>
      <w:r>
        <w:t xml:space="preserve"> </w:t>
      </w:r>
      <w:r>
        <w:t xml:space="preserve">at 80 keV (below the K-edge), then rises to 8.61 cm</w:t>
      </w:r>
      <m:oMath>
        <m:sSup>
          <m:e>
            <m:r>
              <m:t>​</m:t>
            </m:r>
          </m:e>
          <m:sup>
            <m:r>
              <m:rPr>
                <m:sty m:val="p"/>
              </m:rPr>
              <m:t>−</m:t>
            </m:r>
            <m:r>
              <m:t>1</m:t>
            </m:r>
          </m:sup>
        </m:sSup>
      </m:oMath>
      <w:r>
        <w:t xml:space="preserve"> </w:t>
      </w:r>
      <w:r>
        <w:t xml:space="preserve">at 100 keV (above the K-edge). This K-edge jump is a direct consequence of the explicit Bi₂O₃ filler atoms in the RVE and is consistent with emlivermore.</w:t>
      </w:r>
    </w:p>
    <w:p>
      <w:pPr>
        <w:pStyle w:val="BodyText"/>
      </w:pPr>
      <w:r>
        <w:rPr>
          <w:i/>
          <w:iCs/>
        </w:rPr>
        <w:t xml:space="preserve">Note on statistical precision at high energies.</w:t>
      </w:r>
      <w:r>
        <w:t xml:space="preserve"> </w:t>
      </w:r>
      <w:r>
        <w:t xml:space="preserve">For the 1 µm RVE above 300 keV, the photoelectric cross section of Bi falls steeply, leaving predominantly Compton scattering. At 356 keV, only 514 photons are attenuated out of</w:t>
      </w:r>
      <w:r>
        <w:t xml:space="preserve"> </w:t>
      </w:r>
      <m:oMath>
        <m:sSup>
          <m:e>
            <m:r>
              <m:t>10</m:t>
            </m:r>
          </m:e>
          <m:sup>
            <m:r>
              <m:t>7</m:t>
            </m:r>
          </m:sup>
        </m:sSup>
      </m:oMath>
      <w:r>
        <w:t xml:space="preserve">, giving a relative</w:t>
      </w:r>
      <w:r>
        <w:t xml:space="preserve"> </w:t>
      </w:r>
      <m:oMath>
        <m:r>
          <m:t>1</m:t>
        </m:r>
        <m:r>
          <m:t>σ</m:t>
        </m:r>
      </m:oMath>
      <w:r>
        <w:t xml:space="preserve"> </w:t>
      </w:r>
      <w:r>
        <w:t xml:space="preserve">uncertainty of 4.4%. At 511 keV this rises to 5.8%. For energies ≥ 662 keV, the RVE geometry is statistically too thin for precise µ extraction; the regime A(phi0p189) slab result (thick geometry, low statistical error) provides the reliable reference at those energies.</w:t>
      </w:r>
    </w:p>
    <w:bookmarkEnd w:id="49"/>
    <w:bookmarkEnd w:id="50"/>
    <w:bookmarkStart w:id="55" w:name="regime-c-explicit-rve-via-g4multiunion"/>
    <w:p>
      <w:pPr>
        <w:pStyle w:val="Heading3"/>
      </w:pPr>
      <w:r>
        <w:t xml:space="preserve">5.3 Regime C — Explicit RVE via</w:t>
      </w:r>
      <w:r>
        <w:t xml:space="preserve"> </w:t>
      </w:r>
      <w:r>
        <w:rPr>
          <w:rStyle w:val="VerbatimChar"/>
        </w:rPr>
        <w:t xml:space="preserve">G4MultiUnion</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configs/studies/paper3_hdpe_bi2o3_regime_c_250nm.json</w:t>
      </w:r>
      <w:r>
        <w:t xml:space="preserve">, physics list</w:t>
      </w:r>
      <w:r>
        <w:t xml:space="preserve"> </w:t>
      </w:r>
      <w:r>
        <w:rPr>
          <w:rStyle w:val="VerbatimChar"/>
        </w:rPr>
        <w:t xml:space="preserve">emlivermore</w:t>
      </w:r>
      <w:r>
        <w:t xml:space="preserve">,</w:t>
      </w:r>
      <w:r>
        <w:t xml:space="preserve"> </w:t>
      </w:r>
      <m:oMath>
        <m:sSup>
          <m:e>
            <m:r>
              <m:t>10</m:t>
            </m:r>
          </m:e>
          <m:sup>
            <m:r>
              <m:t>7</m:t>
            </m:r>
          </m:sup>
        </m:sSup>
      </m:oMath>
      <w:r>
        <w:t xml:space="preserve"> </w:t>
      </w:r>
      <w:r>
        <w:t xml:space="preserve">histories per energy, Geant4 11.4-beta-01, result directory</w:t>
      </w:r>
      <w:r>
        <w:t xml:space="preserve"> </w:t>
      </w:r>
      <w:r>
        <w:rPr>
          <w:rStyle w:val="VerbatimChar"/>
        </w:rPr>
        <w:t xml:space="preserve">results/paper3/regime_c_hdpe_bi2o3/</w:t>
      </w:r>
      <w:r>
        <w:t xml:space="preserve">.</w:t>
      </w:r>
    </w:p>
    <w:p>
      <w:pPr>
        <w:pStyle w:val="BodyText"/>
      </w:pPr>
      <w:r>
        <w:rPr>
          <w:b/>
          <w:bCs/>
        </w:rPr>
        <w:t xml:space="preserve">Geometry and scalability.</w:t>
      </w:r>
      <w:r>
        <w:t xml:space="preserve"> </w:t>
      </w:r>
      <w:r>
        <w:t xml:space="preserve">The regime C approach substitutes</w:t>
      </w:r>
      <w:r>
        <w:t xml:space="preserve"> </w:t>
      </w:r>
      <w:r>
        <w:rPr>
          <w:rStyle w:val="VerbatimChar"/>
        </w:rPr>
        <w:t xml:space="preserve">G4MultiUnion</w:t>
      </w:r>
      <w:r>
        <w:t xml:space="preserve"> </w:t>
      </w:r>
      <w:r>
        <w:t xml:space="preserve">+</w:t>
      </w:r>
      <w:r>
        <w:t xml:space="preserve"> </w:t>
      </w:r>
      <w:r>
        <w:rPr>
          <w:rStyle w:val="VerbatimChar"/>
        </w:rPr>
        <w:t xml:space="preserve">Voxelize()</w:t>
      </w:r>
      <w:r>
        <w:t xml:space="preserve"> </w:t>
      </w:r>
      <w:r>
        <w:t xml:space="preserve">for the</w:t>
      </w:r>
      <w:r>
        <w:t xml:space="preserve"> </w:t>
      </w:r>
      <w:r>
        <w:rPr>
          <w:rStyle w:val="VerbatimChar"/>
        </w:rPr>
        <w:t xml:space="preserve">G4PVParameterised</w:t>
      </w:r>
      <w:r>
        <w:t xml:space="preserve"> </w:t>
      </w:r>
      <w:r>
        <w:t xml:space="preserve">placement used in regime B. The</w:t>
      </w:r>
      <w:r>
        <w:t xml:space="preserve"> </w:t>
      </w:r>
      <w:r>
        <w:rPr>
          <w:rStyle w:val="VerbatimChar"/>
        </w:rPr>
        <w:t xml:space="preserve">G4Voxelizer</w:t>
      </w:r>
      <w:r>
        <w:t xml:space="preserve"> </w:t>
      </w:r>
      <w:r>
        <w:t xml:space="preserve">internally builds a three-dimensional bounding-box grid with</w:t>
      </w:r>
      <w:r>
        <w:t xml:space="preserve"> </w:t>
      </w:r>
      <m:oMath>
        <m:r>
          <m:t>2</m:t>
        </m:r>
        <m:r>
          <m:t>N</m:t>
        </m:r>
      </m:oMath>
      <w:r>
        <w:t xml:space="preserve"> </w:t>
      </w:r>
      <w:r>
        <w:t xml:space="preserve">sorted boundaries per Cartesian axis, producing a candidate-list representation that scales as</w:t>
      </w:r>
      <w:r>
        <w:t xml:space="preserve"> </w:t>
      </w:r>
      <m:oMath>
        <m:r>
          <m:rPr>
            <m:sty m:val="p"/>
          </m:rPr>
          <m:t>(</m:t>
        </m:r>
        <m:r>
          <m:t>2</m:t>
        </m:r>
        <m:r>
          <m:t>N</m:t>
        </m:r>
        <m:sSup>
          <m:e>
            <m:r>
              <m:rPr>
                <m:sty m:val="p"/>
              </m:rPr>
              <m:t>)</m:t>
            </m:r>
          </m:e>
          <m:sup>
            <m:r>
              <m:t>3</m:t>
            </m:r>
          </m:sup>
        </m:sSup>
      </m:oMath>
      <w:r>
        <w:t xml:space="preserve"> </w:t>
      </w:r>
      <w:r>
        <w:t xml:space="preserve">cells in the worst case. For the 1 µm RVE with</w:t>
      </w:r>
      <w:r>
        <w:t xml:space="preserve"> </w:t>
      </w:r>
      <m:oMath>
        <m:r>
          <m:t>N</m:t>
        </m:r>
        <m:r>
          <m:rPr>
            <m:sty m:val="p"/>
          </m:rPr>
          <m:t>=</m:t>
        </m:r>
        <m:r>
          <m:t>2</m:t>
        </m:r>
        <m:r>
          <m:rPr>
            <m:sty m:val="p"/>
          </m:rPr>
          <m:t>,</m:t>
        </m:r>
        <m:r>
          <m:t>888</m:t>
        </m:r>
      </m:oMath>
      <w:r>
        <w:t xml:space="preserve"> </w:t>
      </w:r>
      <w:r>
        <w:t xml:space="preserve">spheres (</w:t>
      </w:r>
      <m:oMath>
        <m:r>
          <m:t>r</m:t>
        </m:r>
        <m:r>
          <m:rPr>
            <m:sty m:val="p"/>
          </m:rPr>
          <m:t>=</m:t>
        </m:r>
        <m:r>
          <m:t>25</m:t>
        </m:r>
      </m:oMath>
      <w:r>
        <w:t xml:space="preserve"> </w:t>
      </w:r>
      <w:r>
        <w:t xml:space="preserve">nm,</w:t>
      </w:r>
      <w:r>
        <w:t xml:space="preserve"> </w:t>
      </w:r>
      <m:oMath>
        <m:sSub>
          <m:e>
            <m:r>
              <m:t>ϕ</m:t>
            </m:r>
          </m:e>
          <m:sub>
            <m:r>
              <m:t>f</m:t>
            </m:r>
          </m:sub>
        </m:sSub>
        <m:r>
          <m:rPr>
            <m:sty m:val="p"/>
          </m:rPr>
          <m:t>=</m:t>
        </m:r>
        <m:r>
          <m:t>0.189</m:t>
        </m:r>
      </m:oMath>
      <w:r>
        <w:t xml:space="preserve">), this yields</w:t>
      </w:r>
      <w:r>
        <w:t xml:space="preserve"> </w:t>
      </w:r>
      <m:oMath>
        <m:r>
          <m:rPr>
            <m:sty m:val="p"/>
          </m:rPr>
          <m:t>(</m:t>
        </m:r>
        <m:r>
          <m:t>5</m:t>
        </m:r>
        <m:r>
          <m:rPr>
            <m:sty m:val="p"/>
          </m:rPr>
          <m:t>,</m:t>
        </m:r>
        <m:r>
          <m:t>776</m:t>
        </m:r>
        <m:sSup>
          <m:e>
            <m:r>
              <m:rPr>
                <m:sty m:val="p"/>
              </m:rPr>
              <m:t>)</m:t>
            </m:r>
          </m:e>
          <m:sup>
            <m:r>
              <m:t>3</m:t>
            </m:r>
          </m:sup>
        </m:sSup>
        <m:r>
          <m:rPr>
            <m:sty m:val="p"/>
          </m:rPr>
          <m:t>≈</m:t>
        </m:r>
        <m:r>
          <m:t>193</m:t>
        </m:r>
        <m:r>
          <m:rPr>
            <m:sty m:val="p"/>
          </m:rPr>
          <m:t>×</m:t>
        </m:r>
        <m:sSup>
          <m:e>
            <m:r>
              <m:t>10</m:t>
            </m:r>
          </m:e>
          <m:sup>
            <m:r>
              <m:t>9</m:t>
            </m:r>
          </m:sup>
        </m:sSup>
      </m:oMath>
      <w:r>
        <w:t xml:space="preserve"> </w:t>
      </w:r>
      <w:r>
        <w:t xml:space="preserve">cells, far exceeding available RAM (OOM-killed at</w:t>
      </w:r>
      <w:r>
        <w:t xml:space="preserve"> </w:t>
      </w:r>
      <m:oMath>
        <m:r>
          <m:rPr>
            <m:sty m:val="p"/>
          </m:rPr>
          <m:t>&gt;</m:t>
        </m:r>
        <m:r>
          <m:t>7.2</m:t>
        </m:r>
      </m:oMath>
      <w:r>
        <w:t xml:space="preserve"> </w:t>
      </w:r>
      <w:r>
        <w:t xml:space="preserve">GB RSS, SIGKILL exit code 9). A 500 nm RVE (</w:t>
      </w:r>
      <m:oMath>
        <m:r>
          <m:t>N</m:t>
        </m:r>
        <m:r>
          <m:rPr>
            <m:sty m:val="p"/>
          </m:rPr>
          <m:t>=</m:t>
        </m:r>
        <m:r>
          <m:t>361</m:t>
        </m:r>
      </m:oMath>
      <w:r>
        <w:t xml:space="preserve">;</w:t>
      </w:r>
      <w:r>
        <w:t xml:space="preserve"> </w:t>
      </w:r>
      <m:oMath>
        <m:r>
          <m:rPr>
            <m:sty m:val="p"/>
          </m:rPr>
          <m:t>(</m:t>
        </m:r>
        <m:r>
          <m:t>722</m:t>
        </m:r>
        <m:sSup>
          <m:e>
            <m:r>
              <m:rPr>
                <m:sty m:val="p"/>
              </m:rPr>
              <m:t>)</m:t>
            </m:r>
          </m:e>
          <m:sup>
            <m:r>
              <m:t>3</m:t>
            </m:r>
          </m:sup>
        </m:sSup>
        <m:r>
          <m:rPr>
            <m:sty m:val="p"/>
          </m:rPr>
          <m:t>≈</m:t>
        </m:r>
        <m:r>
          <m:t>376</m:t>
        </m:r>
        <m:r>
          <m:rPr>
            <m:sty m:val="p"/>
          </m:rPr>
          <m:t>×</m:t>
        </m:r>
        <m:sSup>
          <m:e>
            <m:r>
              <m:t>10</m:t>
            </m:r>
          </m:e>
          <m:sup>
            <m:r>
              <m:t>6</m:t>
            </m:r>
          </m:sup>
        </m:sSup>
      </m:oMath>
      <w:r>
        <w:t xml:space="preserve"> </w:t>
      </w:r>
      <w:r>
        <w:t xml:space="preserve">cells, $</w:t>
      </w:r>
      <m:oMath>
        <m:r>
          <m:t>3.5</m:t>
        </m:r>
        <m:r>
          <m:t>G</m:t>
        </m:r>
        <m:r>
          <m:t>B</m:t>
        </m:r>
        <m:r>
          <m:rPr>
            <m:sty m:val="p"/>
          </m:rPr>
          <m:t>)</m:t>
        </m:r>
        <m:r>
          <m:t>a</m:t>
        </m:r>
        <m:r>
          <m:t>l</m:t>
        </m:r>
        <m:r>
          <m:t>s</m:t>
        </m:r>
        <m:r>
          <m:t>o</m:t>
        </m:r>
        <m:r>
          <m:t>e</m:t>
        </m:r>
        <m:r>
          <m:t>x</m:t>
        </m:r>
        <m:r>
          <m:t>h</m:t>
        </m:r>
        <m:r>
          <m:t>a</m:t>
        </m:r>
        <m:r>
          <m:t>u</m:t>
        </m:r>
        <m:r>
          <m:t>s</m:t>
        </m:r>
        <m:r>
          <m:t>t</m:t>
        </m:r>
        <m:r>
          <m:t>e</m:t>
        </m:r>
        <m:r>
          <m:t>d</m:t>
        </m:r>
        <m:r>
          <m:t>t</m:t>
        </m:r>
        <m:r>
          <m:t>h</m:t>
        </m:r>
        <m:r>
          <m:t>e</m:t>
        </m:r>
        <m:r>
          <m:t>8</m:t>
        </m:r>
        <m:r>
          <m:t>G</m:t>
        </m:r>
        <m:r>
          <m:t>B</m:t>
        </m:r>
        <m:r>
          <m:t>w</m:t>
        </m:r>
        <m:r>
          <m:t>o</m:t>
        </m:r>
        <m:r>
          <m:t>r</m:t>
        </m:r>
        <m:r>
          <m:t>k</m:t>
        </m:r>
        <m:r>
          <m:t>s</m:t>
        </m:r>
        <m:r>
          <m:t>t</m:t>
        </m:r>
        <m:r>
          <m:t>a</m:t>
        </m:r>
        <m:r>
          <m:t>t</m:t>
        </m:r>
        <m:r>
          <m:t>i</m:t>
        </m:r>
        <m:r>
          <m:t>o</m:t>
        </m:r>
        <m:r>
          <m:t>n</m:t>
        </m:r>
        <m:r>
          <m:rPr>
            <m:sty m:val="p"/>
          </m:rPr>
          <m:t>.</m:t>
        </m:r>
        <m:r>
          <m:t>A</m:t>
        </m:r>
        <m:r>
          <m:t>250</m:t>
        </m:r>
        <m:r>
          <m:t>n</m:t>
        </m:r>
        <m:r>
          <m:t>m</m:t>
        </m:r>
        <m:r>
          <m:t>R</m:t>
        </m:r>
        <m:r>
          <m:t>V</m:t>
        </m:r>
        <m:r>
          <m:t>E</m:t>
        </m:r>
        <m:r>
          <m:rPr>
            <m:sty m:val="p"/>
          </m:rPr>
          <m:t>(</m:t>
        </m:r>
      </m:oMath>
      <w:r>
        <w:t xml:space="preserve">N = 45$;</w:t>
      </w:r>
      <w:r>
        <w:t xml:space="preserve"> </w:t>
      </w:r>
      <m:oMath>
        <m:r>
          <m:rPr>
            <m:sty m:val="p"/>
          </m:rPr>
          <m:t>(</m:t>
        </m:r>
        <m:r>
          <m:t>90</m:t>
        </m:r>
        <m:sSup>
          <m:e>
            <m:r>
              <m:rPr>
                <m:sty m:val="p"/>
              </m:rPr>
              <m:t>)</m:t>
            </m:r>
          </m:e>
          <m:sup>
            <m:r>
              <m:t>3</m:t>
            </m:r>
          </m:sup>
        </m:sSup>
        <m:r>
          <m:rPr>
            <m:sty m:val="p"/>
          </m:rPr>
          <m:t>=</m:t>
        </m:r>
        <m:r>
          <m:t>729</m:t>
        </m:r>
        <m:r>
          <m:rPr>
            <m:sty m:val="p"/>
          </m:rPr>
          <m:t>,</m:t>
        </m:r>
        <m:r>
          <m:t>000</m:t>
        </m:r>
      </m:oMath>
      <w:r>
        <w:t xml:space="preserve"> </w:t>
      </w:r>
      <w:r>
        <w:t xml:space="preserve">cells, 99 MB RSS) runs successfully and is adopted for regime C. The regime B</w:t>
      </w:r>
      <w:r>
        <w:t xml:space="preserve"> </w:t>
      </w:r>
      <w:r>
        <w:rPr>
          <w:rStyle w:val="VerbatimChar"/>
        </w:rPr>
        <w:t xml:space="preserve">G4PVParameterised</w:t>
      </w:r>
      <w:r>
        <w:t xml:space="preserve"> </w:t>
      </w:r>
      <w:r>
        <w:t xml:space="preserve">approach avoids voxelization entirely, handling</w:t>
      </w:r>
      <w:r>
        <w:t xml:space="preserve"> </w:t>
      </w:r>
      <m:oMath>
        <m:r>
          <m:t>N</m:t>
        </m:r>
        <m:r>
          <m:rPr>
            <m:sty m:val="p"/>
          </m:rPr>
          <m:t>=</m:t>
        </m:r>
        <m:r>
          <m:t>2</m:t>
        </m:r>
        <m:r>
          <m:rPr>
            <m:sty m:val="p"/>
          </m:rPr>
          <m:t>,</m:t>
        </m:r>
        <m:r>
          <m:t>888</m:t>
        </m:r>
      </m:oMath>
      <w:r>
        <w:t xml:space="preserve"> </w:t>
      </w:r>
      <w:r>
        <w:t xml:space="preserve">with negligible overhead.</w:t>
      </w:r>
    </w:p>
    <w:p>
      <w:pPr>
        <w:pStyle w:val="BodyText"/>
      </w:pPr>
      <w:r>
        <w:rPr>
          <w:b/>
          <w:bCs/>
        </w:rPr>
        <w:t xml:space="preserve">Beam-sampling methodology.</w:t>
      </w:r>
      <w:r>
        <w:t xml:space="preserve"> </w:t>
      </w:r>
      <w:r>
        <w:t xml:space="preserve">A pencil beam (all</w:t>
      </w:r>
      <w:r>
        <w:t xml:space="preserve"> </w:t>
      </w:r>
      <m:oMath>
        <m:sSup>
          <m:e>
            <m:r>
              <m:t>10</m:t>
            </m:r>
          </m:e>
          <m:sup>
            <m:r>
              <m:t>7</m:t>
            </m:r>
          </m:sup>
        </m:sSup>
      </m:oMath>
      <w:r>
        <w:t xml:space="preserve"> </w:t>
      </w:r>
      <w:r>
        <w:t xml:space="preserve">primaries at</w:t>
      </w:r>
      <w:r>
        <w:t xml:space="preserve"> </w:t>
      </w:r>
      <m:oMath>
        <m:r>
          <m:t>Y</m:t>
        </m:r>
        <m:r>
          <m:rPr>
            <m:sty m:val="p"/>
          </m:rPr>
          <m:t>=</m:t>
        </m:r>
        <m:r>
          <m:t>0</m:t>
        </m:r>
        <m:r>
          <m:rPr>
            <m:sty m:val="p"/>
          </m:rPr>
          <m:t>,</m:t>
        </m:r>
        <m:r>
          <m:t>Z</m:t>
        </m:r>
        <m:r>
          <m:rPr>
            <m:sty m:val="p"/>
          </m:rPr>
          <m:t>=</m:t>
        </m:r>
        <m:r>
          <m:t>0</m:t>
        </m:r>
      </m:oMath>
      <w:r>
        <w:t xml:space="preserve">) is ergodic for a large RVE (</w:t>
      </w:r>
      <m:oMath>
        <m:r>
          <m:t>N</m:t>
        </m:r>
        <m:r>
          <m:rPr>
            <m:sty m:val="p"/>
          </m:rPr>
          <m:t>=</m:t>
        </m:r>
        <m:r>
          <m:t>2</m:t>
        </m:r>
        <m:r>
          <m:rPr>
            <m:sty m:val="p"/>
          </m:rPr>
          <m:t>,</m:t>
        </m:r>
        <m:r>
          <m:t>888</m:t>
        </m:r>
      </m:oMath>
      <w:r>
        <w:t xml:space="preserve">, many chord positions sampled by sphere diversity) but fails for</w:t>
      </w:r>
      <w:r>
        <w:t xml:space="preserve"> </w:t>
      </w:r>
      <m:oMath>
        <m:r>
          <m:t>N</m:t>
        </m:r>
        <m:r>
          <m:rPr>
            <m:sty m:val="p"/>
          </m:rPr>
          <m:t>=</m:t>
        </m:r>
        <m:r>
          <m:t>45</m:t>
        </m:r>
      </m:oMath>
      <w:r>
        <w:t xml:space="preserve">: the fixed chord traverses the same sphere arrangement for every event, yielding a beam-axis</w:t>
      </w:r>
      <w:r>
        <w:t xml:space="preserve"> </w:t>
      </w:r>
      <m:oMath>
        <m:sSub>
          <m:e>
            <m:r>
              <m:t>ϕ</m:t>
            </m:r>
          </m:e>
          <m:sub>
            <m:r>
              <m:t>f</m:t>
            </m:r>
          </m:sub>
        </m:sSub>
        <m:r>
          <m:rPr>
            <m:sty m:val="p"/>
          </m:rPr>
          <m:t>=</m:t>
        </m:r>
        <m:r>
          <m:t>12.6</m:t>
        </m:r>
        <m:r>
          <m:rPr>
            <m:sty m:val="p"/>
          </m:rPr>
          <m:t>%</m:t>
        </m:r>
      </m:oMath>
      <w:r>
        <w:t xml:space="preserve"> </w:t>
      </w:r>
      <w:r>
        <w:t xml:space="preserve">vs the volume-averaged</w:t>
      </w:r>
      <w:r>
        <w:t xml:space="preserve"> </w:t>
      </w:r>
      <m:oMath>
        <m:r>
          <m:t>18.9</m:t>
        </m:r>
        <m:r>
          <m:rPr>
            <m:sty m:val="p"/>
          </m:rPr>
          <m:t>%</m:t>
        </m:r>
      </m:oMath>
      <w:r>
        <w:t xml:space="preserve"> </w:t>
      </w:r>
      <w:r>
        <w:t xml:space="preserve">(a</w:t>
      </w:r>
      <w:r>
        <w:t xml:space="preserve"> </w:t>
      </w:r>
      <m:oMath>
        <m:r>
          <m:rPr>
            <m:sty m:val="p"/>
          </m:rPr>
          <m:t>−</m:t>
        </m:r>
        <m:r>
          <m:t>33</m:t>
        </m:r>
        <m:r>
          <m:rPr>
            <m:sty m:val="p"/>
          </m:rPr>
          <m:t>%</m:t>
        </m:r>
      </m:oMath>
      <w:r>
        <w:t xml:space="preserve"> </w:t>
      </w:r>
      <w:r>
        <w:t xml:space="preserve">bias). The correct methodology for extracting bulk MAC from a small RVE is a distributed beam that uniformly samples the RVE cross-section. The primary generator was updated to sample</w:t>
      </w:r>
      <w:r>
        <w:t xml:space="preserve"> </w:t>
      </w:r>
      <m:oMath>
        <m:r>
          <m:rPr>
            <m:sty m:val="p"/>
          </m:rPr>
          <m:t>(</m:t>
        </m:r>
        <m:r>
          <m:t>Y</m:t>
        </m:r>
        <m:r>
          <m:rPr>
            <m:sty m:val="p"/>
          </m:rPr>
          <m:t>,</m:t>
        </m:r>
        <m:r>
          <m:t>Z</m:t>
        </m:r>
        <m:r>
          <m:rPr>
            <m:sty m:val="p"/>
          </m:rPr>
          <m:t>)</m:t>
        </m:r>
        <m:r>
          <m:rPr>
            <m:sty m:val="p"/>
          </m:rPr>
          <m:t>∼</m:t>
        </m:r>
        <m:r>
          <m:rPr>
            <m:scr m:val="script"/>
            <m:sty m:val="p"/>
          </m:rPr>
          <m:t>U</m:t>
        </m:r>
        <m:r>
          <m:rPr>
            <m:sty m:val="p"/>
          </m:rPr>
          <m:t>[</m:t>
        </m:r>
        <m:r>
          <m:rPr>
            <m:sty m:val="p"/>
          </m:rPr>
          <m:t>−</m:t>
        </m:r>
        <m:r>
          <m:t>L</m:t>
        </m:r>
        <m:r>
          <m:rPr>
            <m:sty m:val="p"/>
          </m:rPr>
          <m:t>/</m:t>
        </m:r>
        <m:r>
          <m:t>2</m:t>
        </m:r>
        <m:r>
          <m:rPr>
            <m:sty m:val="p"/>
          </m:rPr>
          <m:t>,</m:t>
        </m:r>
        <m:r>
          <m:rPr>
            <m:sty m:val="p"/>
          </m:rPr>
          <m:t>+</m:t>
        </m:r>
        <m:r>
          <m:t>L</m:t>
        </m:r>
        <m:r>
          <m:rPr>
            <m:sty m:val="p"/>
          </m:rPr>
          <m:t>/</m:t>
        </m:r>
        <m:r>
          <m:t>2</m:t>
        </m:r>
        <m:sSup>
          <m:e>
            <m:r>
              <m:rPr>
                <m:sty m:val="p"/>
              </m:rPr>
              <m:t>]</m:t>
            </m:r>
          </m:e>
          <m:sup>
            <m:r>
              <m:t>2</m:t>
            </m:r>
          </m:sup>
        </m:sSup>
      </m:oMath>
      <w:r>
        <w:t xml:space="preserve"> </w:t>
      </w:r>
      <w:r>
        <w:t xml:space="preserve">per event, recovering ergodic averaging over all chord positions. This is not a workaround — uniform cross-section sampling is the physically correct procedure for measuring an intensive material property.</w:t>
      </w:r>
    </w:p>
    <w:p>
      <w:pPr>
        <w:pStyle w:val="BodyText"/>
      </w:pPr>
      <w:r>
        <w:rPr>
          <w:b/>
          <w:bCs/>
        </w:rPr>
        <w:t xml:space="preserve">Geometry verification.</w:t>
      </w:r>
      <w:r>
        <w:t xml:space="preserve"> </w:t>
      </w:r>
      <w:r>
        <w:t xml:space="preserve">RSA seed 33,333 (independent draw from regime B). Placed 45/45 Bi₂O₃ spheres (</w:t>
      </w:r>
      <m:oMath>
        <m:r>
          <m:t>r</m:t>
        </m:r>
        <m:r>
          <m:rPr>
            <m:sty m:val="p"/>
          </m:rPr>
          <m:t>=</m:t>
        </m:r>
        <m:r>
          <m:t>25</m:t>
        </m:r>
      </m:oMath>
      <w:r>
        <w:t xml:space="preserve"> </w:t>
      </w:r>
      <w:r>
        <w:t xml:space="preserve">nm), achieved</w:t>
      </w:r>
      <w:r>
        <w:t xml:space="preserve"> </w:t>
      </w:r>
      <m:oMath>
        <m:sSub>
          <m:e>
            <m:r>
              <m:t>ϕ</m:t>
            </m:r>
          </m:e>
          <m:sub>
            <m:r>
              <m:t>f</m:t>
            </m:r>
          </m:sub>
        </m:sSub>
        <m:r>
          <m:rPr>
            <m:sty m:val="p"/>
          </m:rPr>
          <m:t>=</m:t>
        </m:r>
        <m:r>
          <m:t>0.188496</m:t>
        </m:r>
      </m:oMath>
      <w:r>
        <w:t xml:space="preserve"> </w:t>
      </w:r>
      <w:r>
        <w:t xml:space="preserve">(target: 0.189).</w:t>
      </w:r>
      <w:r>
        <w:t xml:space="preserve"> </w:t>
      </w:r>
      <w:r>
        <w:rPr>
          <w:rStyle w:val="VerbatimChar"/>
        </w:rPr>
        <w:t xml:space="preserve">G4MultiUnion::Voxelize()</w:t>
      </w:r>
      <w:r>
        <w:t xml:space="preserve"> </w:t>
      </w:r>
      <w:r>
        <w:t xml:space="preserve">completed in</w:t>
      </w:r>
      <w:r>
        <w:t xml:space="preserve"> </w:t>
      </w:r>
      <m:oMath>
        <m:r>
          <m:rPr>
            <m:sty m:val="p"/>
          </m:rPr>
          <m:t>&lt;</m:t>
        </m:r>
        <m:r>
          <m:t>1</m:t>
        </m:r>
      </m:oMath>
      <w:r>
        <w:t xml:space="preserve"> </w:t>
      </w:r>
      <w:r>
        <w:t xml:space="preserve">s at 99 MB RSS.</w:t>
      </w:r>
    </w:p>
    <w:bookmarkStart w:id="54" w:name="transmission-and-µ-results-1"/>
    <w:p>
      <w:pPr>
        <w:pStyle w:val="Heading4"/>
      </w:pPr>
      <w:r>
        <w:t xml:space="preserve">5.3.1 Transmission and µ results</w:t>
      </w:r>
    </w:p>
    <w:p>
      <w:pPr>
        <w:pStyle w:val="FirstParagraph"/>
      </w:pPr>
      <w:r>
        <w:rPr>
          <w:b/>
          <w:bCs/>
        </w:rPr>
        <w:t xml:space="preserve">Table 3.</w:t>
      </w:r>
      <w:r>
        <w:t xml:space="preserve"> </w:t>
      </w:r>
      <w:r>
        <w:t xml:space="preserve">Regime C mass attenuation coefficients (G4MultiUnion explicit RVE, 250 nm, 45 spheres, distributed beam,</w:t>
      </w:r>
      <w:r>
        <w:t xml:space="preserve"> </w:t>
      </w:r>
      <m:oMath>
        <m:sSup>
          <m:e>
            <m:r>
              <m:t>10</m:t>
            </m:r>
          </m:e>
          <m:sup>
            <m:r>
              <m:t>7</m:t>
            </m:r>
          </m:sup>
        </m:sSup>
      </m:oMath>
      <w:r>
        <w:t xml:space="preserve"> </w:t>
      </w:r>
      <w:r>
        <w:t xml:space="preserve">histories per point). Statistical uncertainty (</w:t>
      </w:r>
      <m:oMath>
        <m:r>
          <m:t>1</m:t>
        </m:r>
        <m:r>
          <m:t>σ</m:t>
        </m:r>
      </m:oMath>
      <w:r>
        <w:t xml:space="preserve">) in µ is approximately</w:t>
      </w:r>
      <w:r>
        <w:t xml:space="preserve"> </w:t>
      </w:r>
      <m:oMath>
        <m:r>
          <m:t>1</m:t>
        </m:r>
        <m:r>
          <m:rPr>
            <m:sty m:val="p"/>
          </m:rPr>
          <m:t>/</m:t>
        </m:r>
        <m:rad>
          <m:radPr>
            <m:degHide m:val="on"/>
          </m:radPr>
          <m:deg/>
          <m:e>
            <m:sSub>
              <m:e>
                <m:r>
                  <m:t>N</m:t>
                </m:r>
              </m:e>
              <m:sub>
                <m:r>
                  <m:rPr>
                    <m:nor/>
                    <m:sty m:val="p"/>
                  </m:rPr>
                  <m:t>att</m:t>
                </m:r>
              </m:sub>
            </m:sSub>
          </m:e>
        </m:rad>
      </m:oMath>
      <w:r>
        <w:t xml:space="preserve"> </w:t>
      </w:r>
      <w:r>
        <w:t xml:space="preserve">where</w:t>
      </w:r>
      <w:r>
        <w:t xml:space="preserve"> </w:t>
      </w:r>
      <m:oMath>
        <m:sSub>
          <m:e>
            <m:r>
              <m:t>N</m:t>
            </m:r>
          </m:e>
          <m:sub>
            <m:r>
              <m:rPr>
                <m:nor/>
                <m:sty m:val="p"/>
              </m:rPr>
              <m:t>att</m:t>
            </m:r>
          </m:sub>
        </m:sSub>
        <m:r>
          <m:rPr>
            <m:sty m:val="p"/>
          </m:rPr>
          <m:t>=</m:t>
        </m:r>
        <m:r>
          <m:t>N</m:t>
        </m:r>
        <m:r>
          <m:rPr>
            <m:sty m:val="p"/>
          </m:rPr>
          <m:t>(</m:t>
        </m:r>
        <m:r>
          <m:t>1</m:t>
        </m:r>
        <m:r>
          <m:rPr>
            <m:sty m:val="p"/>
          </m:rPr>
          <m:t>−</m:t>
        </m:r>
        <m:r>
          <m:t>T</m:t>
        </m:r>
        <m:r>
          <m:rPr>
            <m:sty m:val="p"/>
          </m:rPr>
          <m:t>)</m:t>
        </m:r>
      </m:oMath>
      <w:r>
        <w:t xml:space="preserve">. Points marked † are statistically dominated (</w:t>
      </w:r>
      <m:oMath>
        <m:sSub>
          <m:e>
            <m:r>
              <m:t>N</m:t>
            </m:r>
          </m:e>
          <m:sub>
            <m:r>
              <m:rPr>
                <m:nor/>
                <m:sty m:val="p"/>
              </m:rPr>
              <m:t>att</m:t>
            </m:r>
          </m:sub>
        </m:sSub>
        <m:r>
          <m:rPr>
            <m:sty m:val="p"/>
          </m:rPr>
          <m:t>&lt;</m:t>
        </m:r>
        <m:r>
          <m:t>200</m:t>
        </m:r>
      </m:oMath>
      <w:r>
        <w:t xml:space="preserve">;</w:t>
      </w:r>
      <w:r>
        <w:t xml:space="preserve"> </w:t>
      </w:r>
      <m:oMath>
        <m:r>
          <m:rPr>
            <m:sty m:val="p"/>
          </m:rPr>
          <m:t>Δ</m:t>
        </m:r>
      </m:oMath>
      <w:r>
        <w:t xml:space="preserve"> </w:t>
      </w:r>
      <w:r>
        <w:t xml:space="preserve">reflects sampling noise, not physics deviation).</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right"/>
            </w:pPr>
            <m:oMath>
              <m:r>
                <m:t>E</m:t>
              </m:r>
            </m:oMath>
            <w:r>
              <w:t xml:space="preserve"> </w:t>
            </w:r>
            <w:r>
              <w:t xml:space="preserve">(keV)</w:t>
            </w:r>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sSub>
                <m:e>
                  <m:r>
                    <m:t>N</m:t>
                  </m:r>
                </m:e>
                <m:sub>
                  <m:r>
                    <m:rPr>
                      <m:nor/>
                      <m:sty m:val="p"/>
                    </m:rPr>
                    <m:t>att</m:t>
                  </m:r>
                </m:sub>
              </m:sSub>
            </m:oMath>
          </w:p>
        </w:tc>
        <w:tc>
          <w:tcPr/>
          <w:p>
            <w:pPr>
              <w:pStyle w:val="Compact"/>
              <w:jc w:val="right"/>
            </w:pPr>
            <m:oMath>
              <m:sSub>
                <m:e>
                  <m:r>
                    <m:t>σ</m:t>
                  </m:r>
                </m:e>
                <m:sub>
                  <m:r>
                    <m:t>μ</m:t>
                  </m:r>
                </m:sub>
              </m:sSub>
              <m:r>
                <m:rPr>
                  <m:sty m:val="p"/>
                </m:rPr>
                <m:t>/</m:t>
              </m:r>
              <m:r>
                <m:t>μ</m:t>
              </m:r>
            </m:oMath>
            <w:r>
              <w:t xml:space="preserve"> </w:t>
            </w:r>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p>
        </w:tc>
        <w:tc>
          <w:tcPr/>
          <w:p>
            <w:pPr>
              <w:pStyle w:val="Compact"/>
              <w:jc w:val="right"/>
            </w:pPr>
            <m:oMath>
              <m:sSub>
                <m:e>
                  <m:r>
                    <m:rPr>
                      <m:sty m:val="p"/>
                    </m:rPr>
                    <m:t>Δ</m:t>
                  </m:r>
                </m:e>
                <m:sub>
                  <m:r>
                    <m:t>C</m:t>
                  </m:r>
                </m:sub>
              </m:sSub>
            </m:oMath>
            <w:r>
              <w:t xml:space="preserve"> </w:t>
            </w:r>
            <w:r>
              <w:t xml:space="preserve">(%)</w:t>
            </w:r>
          </w:p>
        </w:tc>
        <w:tc>
          <w:tcPr/>
          <w:p>
            <w:pPr>
              <w:pStyle w:val="Compact"/>
              <w:jc w:val="right"/>
            </w:pPr>
            <m:oMath>
              <m:sSub>
                <m:e>
                  <m:r>
                    <m:t>μ</m:t>
                  </m:r>
                </m:e>
                <m:sub>
                  <m:r>
                    <m:t>C</m:t>
                  </m:r>
                </m:sub>
              </m:sSub>
              <m:r>
                <m:rPr>
                  <m:sty m:val="p"/>
                </m:rPr>
                <m:t>/</m:t>
              </m:r>
              <m:sSub>
                <m:e>
                  <m:r>
                    <m:t>μ</m:t>
                  </m:r>
                </m:e>
                <m:sub>
                  <m:r>
                    <m:t>A</m:t>
                  </m:r>
                  <m:r>
                    <m:rPr>
                      <m:sty m:val="p"/>
                    </m:rPr>
                    <m:t>,</m:t>
                  </m:r>
                  <m:r>
                    <m:t>ϕ</m:t>
                  </m:r>
                </m:sub>
              </m:sSub>
            </m:oMath>
          </w:p>
        </w:tc>
      </w:tr>
      <w:tr>
        <w:tc>
          <w:tcPr/>
          <w:p>
            <w:pPr>
              <w:pStyle w:val="Compact"/>
              <w:jc w:val="right"/>
            </w:pPr>
            <w:r>
              <w:t xml:space="preserve">30</w:t>
            </w:r>
          </w:p>
        </w:tc>
        <w:tc>
          <w:tcPr/>
          <w:p>
            <w:pPr>
              <w:pStyle w:val="Compact"/>
              <w:jc w:val="right"/>
            </w:pPr>
            <w:r>
              <w:t xml:space="preserve">0.998822</w:t>
            </w:r>
          </w:p>
        </w:tc>
        <w:tc>
          <w:tcPr/>
          <w:p>
            <w:pPr>
              <w:pStyle w:val="Compact"/>
              <w:jc w:val="right"/>
            </w:pPr>
            <w:r>
              <w:t xml:space="preserve">47.164</w:t>
            </w:r>
          </w:p>
        </w:tc>
        <w:tc>
          <w:tcPr/>
          <w:p>
            <w:pPr>
              <w:pStyle w:val="Compact"/>
              <w:jc w:val="right"/>
            </w:pPr>
            <w:r>
              <w:t xml:space="preserve">19.23</w:t>
            </w:r>
          </w:p>
        </w:tc>
        <w:tc>
          <w:tcPr/>
          <w:p>
            <w:pPr>
              <w:pStyle w:val="Compact"/>
              <w:jc w:val="right"/>
            </w:pPr>
            <w:r>
              <w:t xml:space="preserve">11,780</w:t>
            </w:r>
          </w:p>
        </w:tc>
        <w:tc>
          <w:tcPr/>
          <w:p>
            <w:pPr>
              <w:pStyle w:val="Compact"/>
              <w:jc w:val="right"/>
            </w:pPr>
            <w:r>
              <w:t xml:space="preserve">0.92</w:t>
            </w:r>
          </w:p>
        </w:tc>
        <w:tc>
          <w:tcPr/>
          <w:p>
            <w:pPr>
              <w:pStyle w:val="Compact"/>
              <w:jc w:val="right"/>
            </w:pPr>
            <w:r>
              <w:t xml:space="preserve">19.507</w:t>
            </w:r>
          </w:p>
        </w:tc>
        <w:tc>
          <w:tcPr/>
          <w:p>
            <w:pPr>
              <w:pStyle w:val="Compact"/>
              <w:jc w:val="right"/>
            </w:pPr>
            <w:r>
              <w:t xml:space="preserve">−1.40</w:t>
            </w:r>
          </w:p>
        </w:tc>
        <w:tc>
          <w:tcPr/>
          <w:p>
            <w:pPr>
              <w:pStyle w:val="Compact"/>
              <w:jc w:val="right"/>
            </w:pPr>
            <w:r>
              <w:t xml:space="preserve">0.984</w:t>
            </w:r>
          </w:p>
        </w:tc>
      </w:tr>
      <w:tr>
        <w:tc>
          <w:tcPr/>
          <w:p>
            <w:pPr>
              <w:pStyle w:val="Compact"/>
              <w:jc w:val="right"/>
            </w:pPr>
            <w:r>
              <w:t xml:space="preserve">50</w:t>
            </w:r>
          </w:p>
        </w:tc>
        <w:tc>
          <w:tcPr/>
          <w:p>
            <w:pPr>
              <w:pStyle w:val="Compact"/>
              <w:jc w:val="right"/>
            </w:pPr>
            <w:r>
              <w:t xml:space="preserve">0.999675</w:t>
            </w:r>
          </w:p>
        </w:tc>
        <w:tc>
          <w:tcPr/>
          <w:p>
            <w:pPr>
              <w:pStyle w:val="Compact"/>
              <w:jc w:val="right"/>
            </w:pPr>
            <w:r>
              <w:t xml:space="preserve">12.998</w:t>
            </w:r>
          </w:p>
        </w:tc>
        <w:tc>
          <w:tcPr/>
          <w:p>
            <w:pPr>
              <w:pStyle w:val="Compact"/>
              <w:jc w:val="right"/>
            </w:pPr>
            <w:r>
              <w:t xml:space="preserve">5.301</w:t>
            </w:r>
          </w:p>
        </w:tc>
        <w:tc>
          <w:tcPr/>
          <w:p>
            <w:pPr>
              <w:pStyle w:val="Compact"/>
              <w:jc w:val="right"/>
            </w:pPr>
            <w:r>
              <w:t xml:space="preserve">3,250</w:t>
            </w:r>
          </w:p>
        </w:tc>
        <w:tc>
          <w:tcPr/>
          <w:p>
            <w:pPr>
              <w:pStyle w:val="Compact"/>
              <w:jc w:val="right"/>
            </w:pPr>
            <w:r>
              <w:t xml:space="preserve">1.75</w:t>
            </w:r>
          </w:p>
        </w:tc>
        <w:tc>
          <w:tcPr/>
          <w:p>
            <w:pPr>
              <w:pStyle w:val="Compact"/>
              <w:jc w:val="right"/>
            </w:pPr>
            <w:r>
              <w:t xml:space="preserve">5.236</w:t>
            </w:r>
          </w:p>
        </w:tc>
        <w:tc>
          <w:tcPr/>
          <w:p>
            <w:pPr>
              <w:pStyle w:val="Compact"/>
              <w:jc w:val="right"/>
            </w:pPr>
            <w:r>
              <w:t xml:space="preserve">+1.24</w:t>
            </w:r>
          </w:p>
        </w:tc>
        <w:tc>
          <w:tcPr/>
          <w:p>
            <w:pPr>
              <w:pStyle w:val="Compact"/>
              <w:jc w:val="right"/>
            </w:pPr>
            <w:r>
              <w:t xml:space="preserve">1.016</w:t>
            </w:r>
          </w:p>
        </w:tc>
      </w:tr>
      <w:tr>
        <w:tc>
          <w:tcPr/>
          <w:p>
            <w:pPr>
              <w:pStyle w:val="Compact"/>
              <w:jc w:val="right"/>
            </w:pPr>
            <w:r>
              <w:t xml:space="preserve">80</w:t>
            </w:r>
          </w:p>
        </w:tc>
        <w:tc>
          <w:tcPr/>
          <w:p>
            <w:pPr>
              <w:pStyle w:val="Compact"/>
              <w:jc w:val="right"/>
            </w:pPr>
            <w:r>
              <w:t xml:space="preserve">0.999902</w:t>
            </w:r>
          </w:p>
        </w:tc>
        <w:tc>
          <w:tcPr/>
          <w:p>
            <w:pPr>
              <w:pStyle w:val="Compact"/>
              <w:jc w:val="right"/>
            </w:pPr>
            <w:r>
              <w:t xml:space="preserve">3.932</w:t>
            </w:r>
          </w:p>
        </w:tc>
        <w:tc>
          <w:tcPr/>
          <w:p>
            <w:pPr>
              <w:pStyle w:val="Compact"/>
              <w:jc w:val="right"/>
            </w:pPr>
            <w:r>
              <w:t xml:space="preserve">1.604</w:t>
            </w:r>
          </w:p>
        </w:tc>
        <w:tc>
          <w:tcPr/>
          <w:p>
            <w:pPr>
              <w:pStyle w:val="Compact"/>
              <w:jc w:val="right"/>
            </w:pPr>
            <w:r>
              <w:t xml:space="preserve">980</w:t>
            </w:r>
          </w:p>
        </w:tc>
        <w:tc>
          <w:tcPr/>
          <w:p>
            <w:pPr>
              <w:pStyle w:val="Compact"/>
              <w:jc w:val="right"/>
            </w:pPr>
            <w:r>
              <w:t xml:space="preserve">3.19</w:t>
            </w:r>
          </w:p>
        </w:tc>
        <w:tc>
          <w:tcPr/>
          <w:p>
            <w:pPr>
              <w:pStyle w:val="Compact"/>
              <w:jc w:val="right"/>
            </w:pPr>
            <w:r>
              <w:t xml:space="preserve">1.621</w:t>
            </w:r>
          </w:p>
        </w:tc>
        <w:tc>
          <w:tcPr/>
          <w:p>
            <w:pPr>
              <w:pStyle w:val="Compact"/>
              <w:jc w:val="right"/>
            </w:pPr>
            <w:r>
              <w:t xml:space="preserve">−1.05</w:t>
            </w:r>
          </w:p>
        </w:tc>
        <w:tc>
          <w:tcPr/>
          <w:p>
            <w:pPr>
              <w:pStyle w:val="Compact"/>
              <w:jc w:val="right"/>
            </w:pPr>
            <w:r>
              <w:t xml:space="preserve">1.014</w:t>
            </w:r>
          </w:p>
        </w:tc>
      </w:tr>
      <w:tr>
        <w:tc>
          <w:tcPr/>
          <w:p>
            <w:pPr>
              <w:pStyle w:val="Compact"/>
              <w:jc w:val="right"/>
            </w:pPr>
            <w:r>
              <w:t xml:space="preserve">100</w:t>
            </w:r>
          </w:p>
        </w:tc>
        <w:tc>
          <w:tcPr/>
          <w:p>
            <w:pPr>
              <w:pStyle w:val="Compact"/>
              <w:jc w:val="right"/>
            </w:pPr>
            <w:r>
              <w:t xml:space="preserve">0.999785</w:t>
            </w:r>
          </w:p>
        </w:tc>
        <w:tc>
          <w:tcPr/>
          <w:p>
            <w:pPr>
              <w:pStyle w:val="Compact"/>
              <w:jc w:val="right"/>
            </w:pPr>
            <w:r>
              <w:t xml:space="preserve">8.617</w:t>
            </w:r>
          </w:p>
        </w:tc>
        <w:tc>
          <w:tcPr/>
          <w:p>
            <w:pPr>
              <w:pStyle w:val="Compact"/>
              <w:jc w:val="right"/>
            </w:pPr>
            <w:r>
              <w:t xml:space="preserve">3.514</w:t>
            </w:r>
          </w:p>
        </w:tc>
        <w:tc>
          <w:tcPr/>
          <w:p>
            <w:pPr>
              <w:pStyle w:val="Compact"/>
              <w:jc w:val="right"/>
            </w:pPr>
            <w:r>
              <w:t xml:space="preserve">2,150</w:t>
            </w:r>
          </w:p>
        </w:tc>
        <w:tc>
          <w:tcPr/>
          <w:p>
            <w:pPr>
              <w:pStyle w:val="Compact"/>
              <w:jc w:val="right"/>
            </w:pPr>
            <w:r>
              <w:t xml:space="preserve">2.15</w:t>
            </w:r>
          </w:p>
        </w:tc>
        <w:tc>
          <w:tcPr/>
          <w:p>
            <w:pPr>
              <w:pStyle w:val="Compact"/>
              <w:jc w:val="right"/>
            </w:pPr>
            <w:r>
              <w:t xml:space="preserve">3.596</w:t>
            </w:r>
          </w:p>
        </w:tc>
        <w:tc>
          <w:tcPr/>
          <w:p>
            <w:pPr>
              <w:pStyle w:val="Compact"/>
              <w:jc w:val="right"/>
            </w:pPr>
            <w:r>
              <w:t xml:space="preserve">−2.28</w:t>
            </w:r>
          </w:p>
        </w:tc>
        <w:tc>
          <w:tcPr/>
          <w:p>
            <w:pPr>
              <w:pStyle w:val="Compact"/>
              <w:jc w:val="right"/>
            </w:pPr>
            <w:r>
              <w:t xml:space="preserve">0.982</w:t>
            </w:r>
          </w:p>
        </w:tc>
      </w:tr>
      <w:tr>
        <w:tc>
          <w:tcPr/>
          <w:p>
            <w:pPr>
              <w:pStyle w:val="Compact"/>
              <w:jc w:val="right"/>
            </w:pPr>
            <w:r>
              <w:t xml:space="preserve">150</w:t>
            </w:r>
          </w:p>
        </w:tc>
        <w:tc>
          <w:tcPr/>
          <w:p>
            <w:pPr>
              <w:pStyle w:val="Compact"/>
              <w:jc w:val="right"/>
            </w:pPr>
            <w:r>
              <w:t xml:space="preserve">0.999919</w:t>
            </w:r>
          </w:p>
        </w:tc>
        <w:tc>
          <w:tcPr/>
          <w:p>
            <w:pPr>
              <w:pStyle w:val="Compact"/>
              <w:jc w:val="right"/>
            </w:pPr>
            <w:r>
              <w:t xml:space="preserve">3.224</w:t>
            </w:r>
          </w:p>
        </w:tc>
        <w:tc>
          <w:tcPr/>
          <w:p>
            <w:pPr>
              <w:pStyle w:val="Compact"/>
              <w:jc w:val="right"/>
            </w:pPr>
            <w:r>
              <w:t xml:space="preserve">1.315</w:t>
            </w:r>
          </w:p>
        </w:tc>
        <w:tc>
          <w:tcPr/>
          <w:p>
            <w:pPr>
              <w:pStyle w:val="Compact"/>
              <w:jc w:val="right"/>
            </w:pPr>
            <w:r>
              <w:t xml:space="preserve">810</w:t>
            </w:r>
          </w:p>
        </w:tc>
        <w:tc>
          <w:tcPr/>
          <w:p>
            <w:pPr>
              <w:pStyle w:val="Compact"/>
              <w:jc w:val="right"/>
            </w:pPr>
            <w:r>
              <w:t xml:space="preserve">3.51</w:t>
            </w:r>
          </w:p>
        </w:tc>
        <w:tc>
          <w:tcPr/>
          <w:p>
            <w:pPr>
              <w:pStyle w:val="Compact"/>
              <w:jc w:val="right"/>
            </w:pPr>
            <w:r>
              <w:t xml:space="preserve">1.339</w:t>
            </w:r>
          </w:p>
        </w:tc>
        <w:tc>
          <w:tcPr/>
          <w:p>
            <w:pPr>
              <w:pStyle w:val="Compact"/>
              <w:jc w:val="right"/>
            </w:pPr>
            <w:r>
              <w:t xml:space="preserve">−1.79</w:t>
            </w:r>
          </w:p>
        </w:tc>
        <w:tc>
          <w:tcPr/>
          <w:p>
            <w:pPr>
              <w:pStyle w:val="Compact"/>
              <w:jc w:val="right"/>
            </w:pPr>
            <w:r>
              <w:t xml:space="preserve">0.984</w:t>
            </w:r>
          </w:p>
        </w:tc>
      </w:tr>
      <w:tr>
        <w:tc>
          <w:tcPr/>
          <w:p>
            <w:pPr>
              <w:pStyle w:val="Compact"/>
              <w:jc w:val="right"/>
            </w:pPr>
            <w:r>
              <w:t xml:space="preserve">356†</w:t>
            </w:r>
          </w:p>
        </w:tc>
        <w:tc>
          <w:tcPr/>
          <w:p>
            <w:pPr>
              <w:pStyle w:val="Compact"/>
              <w:jc w:val="right"/>
            </w:pPr>
            <w:r>
              <w:t xml:space="preserve">0.999987</w:t>
            </w:r>
          </w:p>
        </w:tc>
        <w:tc>
          <w:tcPr/>
          <w:p>
            <w:pPr>
              <w:pStyle w:val="Compact"/>
              <w:jc w:val="right"/>
            </w:pPr>
            <w:r>
              <w:t xml:space="preserve">0.5280</w:t>
            </w:r>
          </w:p>
        </w:tc>
        <w:tc>
          <w:tcPr/>
          <w:p>
            <w:pPr>
              <w:pStyle w:val="Compact"/>
              <w:jc w:val="right"/>
            </w:pPr>
            <w:r>
              <w:t xml:space="preserve">0.2153</w:t>
            </w:r>
          </w:p>
        </w:tc>
        <w:tc>
          <w:tcPr/>
          <w:p>
            <w:pPr>
              <w:pStyle w:val="Compact"/>
              <w:jc w:val="right"/>
            </w:pPr>
            <w:r>
              <w:t xml:space="preserve">130</w:t>
            </w:r>
          </w:p>
        </w:tc>
        <w:tc>
          <w:tcPr/>
          <w:p>
            <w:pPr>
              <w:pStyle w:val="Compact"/>
              <w:jc w:val="right"/>
            </w:pPr>
            <w:r>
              <w:t xml:space="preserve">8.77</w:t>
            </w:r>
          </w:p>
        </w:tc>
        <w:tc>
          <w:tcPr/>
          <w:p>
            <w:pPr>
              <w:pStyle w:val="Compact"/>
              <w:jc w:val="right"/>
            </w:pPr>
            <w:r>
              <w:t xml:space="preserve">0.2270</w:t>
            </w:r>
          </w:p>
        </w:tc>
        <w:tc>
          <w:tcPr/>
          <w:p>
            <w:pPr>
              <w:pStyle w:val="Compact"/>
              <w:jc w:val="right"/>
            </w:pPr>
            <w:r>
              <w:t xml:space="preserve">−5.15†</w:t>
            </w:r>
          </w:p>
        </w:tc>
        <w:tc>
          <w:tcPr/>
          <w:p>
            <w:pPr>
              <w:pStyle w:val="Compact"/>
              <w:jc w:val="right"/>
            </w:pPr>
            <w:r>
              <w:t xml:space="preserve">0.957†</w:t>
            </w:r>
          </w:p>
        </w:tc>
      </w:tr>
      <w:tr>
        <w:tc>
          <w:tcPr/>
          <w:p>
            <w:pPr>
              <w:pStyle w:val="Compact"/>
              <w:jc w:val="right"/>
            </w:pPr>
            <w:r>
              <w:t xml:space="preserve">511†</w:t>
            </w:r>
          </w:p>
        </w:tc>
        <w:tc>
          <w:tcPr/>
          <w:p>
            <w:pPr>
              <w:pStyle w:val="Compact"/>
              <w:jc w:val="right"/>
            </w:pPr>
            <w:r>
              <w:t xml:space="preserve">0.999991</w:t>
            </w:r>
          </w:p>
        </w:tc>
        <w:tc>
          <w:tcPr/>
          <w:p>
            <w:pPr>
              <w:pStyle w:val="Compact"/>
              <w:jc w:val="right"/>
            </w:pPr>
            <w:r>
              <w:t xml:space="preserve">0.3640</w:t>
            </w:r>
          </w:p>
        </w:tc>
        <w:tc>
          <w:tcPr/>
          <w:p>
            <w:pPr>
              <w:pStyle w:val="Compact"/>
              <w:jc w:val="right"/>
            </w:pPr>
            <w:r>
              <w:t xml:space="preserve">0.1485</w:t>
            </w:r>
          </w:p>
        </w:tc>
        <w:tc>
          <w:tcPr/>
          <w:p>
            <w:pPr>
              <w:pStyle w:val="Compact"/>
              <w:jc w:val="right"/>
            </w:pPr>
            <w:r>
              <w:t xml:space="preserve">90</w:t>
            </w:r>
          </w:p>
        </w:tc>
        <w:tc>
          <w:tcPr/>
          <w:p>
            <w:pPr>
              <w:pStyle w:val="Compact"/>
              <w:jc w:val="right"/>
            </w:pPr>
            <w:r>
              <w:t xml:space="preserve">10.5</w:t>
            </w:r>
          </w:p>
        </w:tc>
        <w:tc>
          <w:tcPr/>
          <w:p>
            <w:pPr>
              <w:pStyle w:val="Compact"/>
              <w:jc w:val="right"/>
            </w:pPr>
            <w:r>
              <w:t xml:space="preserve">0.1358</w:t>
            </w:r>
          </w:p>
        </w:tc>
        <w:tc>
          <w:tcPr/>
          <w:p>
            <w:pPr>
              <w:pStyle w:val="Compact"/>
              <w:jc w:val="right"/>
            </w:pPr>
            <w:r>
              <w:t xml:space="preserve">+9.35†</w:t>
            </w:r>
          </w:p>
        </w:tc>
        <w:tc>
          <w:tcPr/>
          <w:p>
            <w:pPr>
              <w:pStyle w:val="Compact"/>
              <w:jc w:val="right"/>
            </w:pPr>
            <w:r>
              <w:t xml:space="preserve">1.097†</w:t>
            </w:r>
          </w:p>
        </w:tc>
      </w:tr>
      <w:tr>
        <w:tc>
          <w:tcPr/>
          <w:p>
            <w:pPr>
              <w:pStyle w:val="Compact"/>
              <w:jc w:val="right"/>
            </w:pPr>
            <w:r>
              <w:t xml:space="preserve">662†</w:t>
            </w:r>
          </w:p>
        </w:tc>
        <w:tc>
          <w:tcPr/>
          <w:p>
            <w:pPr>
              <w:pStyle w:val="Compact"/>
              <w:jc w:val="right"/>
            </w:pPr>
            <w:r>
              <w:t xml:space="preserve">0.999994</w:t>
            </w:r>
          </w:p>
        </w:tc>
        <w:tc>
          <w:tcPr/>
          <w:p>
            <w:pPr>
              <w:pStyle w:val="Compact"/>
              <w:jc w:val="right"/>
            </w:pPr>
            <w:r>
              <w:t xml:space="preserve">0.2560</w:t>
            </w:r>
          </w:p>
        </w:tc>
        <w:tc>
          <w:tcPr/>
          <w:p>
            <w:pPr>
              <w:pStyle w:val="Compact"/>
              <w:jc w:val="right"/>
            </w:pPr>
            <w:r>
              <w:t xml:space="preserve">0.1044</w:t>
            </w:r>
          </w:p>
        </w:tc>
        <w:tc>
          <w:tcPr/>
          <w:p>
            <w:pPr>
              <w:pStyle w:val="Compact"/>
              <w:jc w:val="right"/>
            </w:pPr>
            <w:r>
              <w:t xml:space="preserve">60</w:t>
            </w:r>
          </w:p>
        </w:tc>
        <w:tc>
          <w:tcPr/>
          <w:p>
            <w:pPr>
              <w:pStyle w:val="Compact"/>
              <w:jc w:val="right"/>
            </w:pPr>
            <w:r>
              <w:t xml:space="preserve">12.9</w:t>
            </w:r>
          </w:p>
        </w:tc>
        <w:tc>
          <w:tcPr/>
          <w:p>
            <w:pPr>
              <w:pStyle w:val="Compact"/>
              <w:jc w:val="right"/>
            </w:pPr>
            <w:r>
              <w:t xml:space="preserve">0.1029</w:t>
            </w:r>
          </w:p>
        </w:tc>
        <w:tc>
          <w:tcPr/>
          <w:p>
            <w:pPr>
              <w:pStyle w:val="Compact"/>
              <w:jc w:val="right"/>
            </w:pPr>
            <w:r>
              <w:t xml:space="preserve">+1.46†</w:t>
            </w:r>
          </w:p>
        </w:tc>
        <w:tc>
          <w:tcPr/>
          <w:p>
            <w:pPr>
              <w:pStyle w:val="Compact"/>
              <w:jc w:val="right"/>
            </w:pPr>
            <w:r>
              <w:t xml:space="preserve">1.023†</w:t>
            </w:r>
          </w:p>
        </w:tc>
      </w:tr>
      <w:tr>
        <w:tc>
          <w:tcPr/>
          <w:p>
            <w:pPr>
              <w:pStyle w:val="Compact"/>
              <w:jc w:val="right"/>
            </w:pPr>
            <w:r>
              <w:t xml:space="preserve">1173†</w:t>
            </w:r>
          </w:p>
        </w:tc>
        <w:tc>
          <w:tcPr/>
          <w:p>
            <w:pPr>
              <w:pStyle w:val="Compact"/>
              <w:jc w:val="right"/>
            </w:pPr>
            <w:r>
              <w:t xml:space="preserve">0.999997</w:t>
            </w:r>
          </w:p>
        </w:tc>
        <w:tc>
          <w:tcPr/>
          <w:p>
            <w:pPr>
              <w:pStyle w:val="Compact"/>
              <w:jc w:val="right"/>
            </w:pPr>
            <w:r>
              <w:t xml:space="preserve">0.1200</w:t>
            </w:r>
          </w:p>
        </w:tc>
        <w:tc>
          <w:tcPr/>
          <w:p>
            <w:pPr>
              <w:pStyle w:val="Compact"/>
              <w:jc w:val="right"/>
            </w:pPr>
            <w:r>
              <w:t xml:space="preserve">0.0489</w:t>
            </w:r>
          </w:p>
        </w:tc>
        <w:tc>
          <w:tcPr/>
          <w:p>
            <w:pPr>
              <w:pStyle w:val="Compact"/>
              <w:jc w:val="right"/>
            </w:pPr>
            <w:r>
              <w:t xml:space="preserve">30</w:t>
            </w:r>
          </w:p>
        </w:tc>
        <w:tc>
          <w:tcPr/>
          <w:p>
            <w:pPr>
              <w:pStyle w:val="Compact"/>
              <w:jc w:val="right"/>
            </w:pPr>
            <w:r>
              <w:t xml:space="preserve">18.3</w:t>
            </w:r>
          </w:p>
        </w:tc>
        <w:tc>
          <w:tcPr/>
          <w:p>
            <w:pPr>
              <w:pStyle w:val="Compact"/>
              <w:jc w:val="right"/>
            </w:pPr>
            <w:r>
              <w:t xml:space="preserve">0.0639</w:t>
            </w:r>
          </w:p>
        </w:tc>
        <w:tc>
          <w:tcPr/>
          <w:p>
            <w:pPr>
              <w:pStyle w:val="Compact"/>
              <w:jc w:val="right"/>
            </w:pPr>
            <w:r>
              <w:t xml:space="preserve">−23.5†</w:t>
            </w:r>
          </w:p>
        </w:tc>
        <w:tc>
          <w:tcPr/>
          <w:p>
            <w:pPr>
              <w:pStyle w:val="Compact"/>
              <w:jc w:val="right"/>
            </w:pPr>
            <w:r>
              <w:t xml:space="preserve">0.769†</w:t>
            </w:r>
          </w:p>
        </w:tc>
      </w:tr>
      <w:tr>
        <w:tc>
          <w:tcPr/>
          <w:p>
            <w:pPr>
              <w:pStyle w:val="Compact"/>
              <w:jc w:val="right"/>
            </w:pPr>
            <w:r>
              <w:t xml:space="preserve">1332†</w:t>
            </w:r>
          </w:p>
        </w:tc>
        <w:tc>
          <w:tcPr/>
          <w:p>
            <w:pPr>
              <w:pStyle w:val="Compact"/>
              <w:jc w:val="right"/>
            </w:pPr>
            <w:r>
              <w:t xml:space="preserve">0.999996</w:t>
            </w:r>
          </w:p>
        </w:tc>
        <w:tc>
          <w:tcPr/>
          <w:p>
            <w:pPr>
              <w:pStyle w:val="Compact"/>
              <w:jc w:val="right"/>
            </w:pPr>
            <w:r>
              <w:t xml:space="preserve">0.1440</w:t>
            </w:r>
          </w:p>
        </w:tc>
        <w:tc>
          <w:tcPr/>
          <w:p>
            <w:pPr>
              <w:pStyle w:val="Compact"/>
              <w:jc w:val="right"/>
            </w:pPr>
            <w:r>
              <w:t xml:space="preserve">0.0587</w:t>
            </w:r>
          </w:p>
        </w:tc>
        <w:tc>
          <w:tcPr/>
          <w:p>
            <w:pPr>
              <w:pStyle w:val="Compact"/>
              <w:jc w:val="right"/>
            </w:pPr>
            <w:r>
              <w:t xml:space="preserve">40</w:t>
            </w:r>
          </w:p>
        </w:tc>
        <w:tc>
          <w:tcPr/>
          <w:p>
            <w:pPr>
              <w:pStyle w:val="Compact"/>
              <w:jc w:val="right"/>
            </w:pPr>
            <w:r>
              <w:t xml:space="preserve">15.8</w:t>
            </w:r>
          </w:p>
        </w:tc>
        <w:tc>
          <w:tcPr/>
          <w:p>
            <w:pPr>
              <w:pStyle w:val="Compact"/>
              <w:jc w:val="right"/>
            </w:pPr>
            <w:r>
              <w:t xml:space="preserve">0.0588</w:t>
            </w:r>
          </w:p>
        </w:tc>
        <w:tc>
          <w:tcPr/>
          <w:p>
            <w:pPr>
              <w:pStyle w:val="Compact"/>
              <w:jc w:val="right"/>
            </w:pPr>
            <w:r>
              <w:t xml:space="preserve">−0.17†</w:t>
            </w:r>
          </w:p>
        </w:tc>
        <w:tc>
          <w:tcPr/>
          <w:p>
            <w:pPr>
              <w:pStyle w:val="Compact"/>
              <w:jc w:val="right"/>
            </w:pPr>
            <w:r>
              <w:t xml:space="preserve">1.009†</w:t>
            </w:r>
          </w:p>
        </w:tc>
      </w:tr>
    </w:tbl>
    <w:p>
      <w:pPr>
        <w:pStyle w:val="BodyText"/>
      </w:pPr>
      <w:r>
        <w:t xml:space="preserve">† Statistically dominated:</w:t>
      </w:r>
      <w:r>
        <w:t xml:space="preserve"> </w:t>
      </w:r>
      <m:oMath>
        <m:sSub>
          <m:e>
            <m:r>
              <m:t>N</m:t>
            </m:r>
          </m:e>
          <m:sub>
            <m:r>
              <m:rPr>
                <m:nor/>
                <m:sty m:val="p"/>
              </m:rPr>
              <m:t>att</m:t>
            </m:r>
          </m:sub>
        </m:sSub>
        <m:r>
          <m:rPr>
            <m:sty m:val="p"/>
          </m:rPr>
          <m:t>&lt;</m:t>
        </m:r>
        <m:r>
          <m:t>200</m:t>
        </m:r>
      </m:oMath>
      <w:r>
        <w:t xml:space="preserve">;</w:t>
      </w:r>
      <w:r>
        <w:t xml:space="preserve"> </w:t>
      </w:r>
      <m:oMath>
        <m:r>
          <m:rPr>
            <m:sty m:val="p"/>
          </m:rPr>
          <m:t>Δ</m:t>
        </m:r>
      </m:oMath>
      <w:r>
        <w:t xml:space="preserve"> </w:t>
      </w:r>
      <w:r>
        <w:t xml:space="preserve">reflects sampling noise, not systematic physics deviation. For the 250 nm path length,</w:t>
      </w:r>
      <w:r>
        <w:t xml:space="preserve"> </w:t>
      </w:r>
      <m:oMath>
        <m:sSub>
          <m:e>
            <m:r>
              <m:t>N</m:t>
            </m:r>
          </m:e>
          <m:sub>
            <m:r>
              <m:rPr>
                <m:nor/>
                <m:sty m:val="p"/>
              </m:rPr>
              <m:t>att</m:t>
            </m:r>
          </m:sub>
        </m:sSub>
      </m:oMath>
      <w:r>
        <w:t xml:space="preserve"> </w:t>
      </w:r>
      <w:r>
        <w:t xml:space="preserve">falls below 200 for all energies ≥ 356 keV.</w:t>
      </w:r>
    </w:p>
    <w:p>
      <w:pPr>
        <w:pStyle w:val="BodyText"/>
      </w:pPr>
      <w:r>
        <w:rPr>
          <w:i/>
          <w:iCs/>
        </w:rPr>
        <w:t xml:space="preserve">Note on ergodic sampling.</w:t>
      </w:r>
      <w:r>
        <w:t xml:space="preserve"> </w:t>
      </w:r>
      <w:r>
        <w:t xml:space="preserve">MAC is an intensive property; a 250 nm RVE with</w:t>
      </w:r>
      <w:r>
        <w:t xml:space="preserve"> </w:t>
      </w:r>
      <m:oMath>
        <m:r>
          <m:t>N</m:t>
        </m:r>
        <m:r>
          <m:rPr>
            <m:sty m:val="p"/>
          </m:rPr>
          <m:t>=</m:t>
        </m:r>
        <m:r>
          <m:t>45</m:t>
        </m:r>
      </m:oMath>
      <w:r>
        <w:t xml:space="preserve"> </w:t>
      </w:r>
      <w:r>
        <w:t xml:space="preserve">spheres gives the same MAC as a 1 µm RVE with</w:t>
      </w:r>
      <w:r>
        <w:t xml:space="preserve"> </w:t>
      </w:r>
      <m:oMath>
        <m:r>
          <m:t>N</m:t>
        </m:r>
        <m:r>
          <m:rPr>
            <m:sty m:val="p"/>
          </m:rPr>
          <m:t>=</m:t>
        </m:r>
        <m:r>
          <m:t>2</m:t>
        </m:r>
        <m:r>
          <m:rPr>
            <m:sty m:val="p"/>
          </m:rPr>
          <m:t>,</m:t>
        </m:r>
        <m:r>
          <m:t>888</m:t>
        </m:r>
      </m:oMath>
      <w:r>
        <w:t xml:space="preserve"> </w:t>
      </w:r>
      <w:r>
        <w:t xml:space="preserve">spheres, provided both represent the same</w:t>
      </w:r>
      <w:r>
        <w:t xml:space="preserve"> </w:t>
      </w:r>
      <m:oMath>
        <m:sSub>
          <m:e>
            <m:r>
              <m:t>ϕ</m:t>
            </m:r>
          </m:e>
          <m:sub>
            <m:r>
              <m:t>f</m:t>
            </m:r>
          </m:sub>
        </m:sSub>
      </m:oMath>
      <w:r>
        <w:t xml:space="preserve">. This is confirmed by the cross-regime agreement at 30–150 keV (§6.2).</w:t>
      </w:r>
    </w:p>
    <w:p>
      <w:pPr>
        <w:pStyle w:val="BodyText"/>
      </w:pPr>
      <w:r>
        <w:t xml:space="preserve">Figure 4 isolates the main scalability result of the paper. The key point is not only that</w:t>
      </w:r>
      <w:r>
        <w:t xml:space="preserve"> </w:t>
      </w:r>
      <w:r>
        <w:rPr>
          <w:rStyle w:val="VerbatimChar"/>
        </w:rPr>
        <w:t xml:space="preserve">G4MultiUnion</w:t>
      </w:r>
      <w:r>
        <w:t xml:space="preserve"> </w:t>
      </w:r>
      <w:r>
        <w:t xml:space="preserve">fails at larger RVEs, but that the failure mechanism follows directly from the voxel-cell explosion in</w:t>
      </w:r>
      <w:r>
        <w:t xml:space="preserve"> </w:t>
      </w:r>
      <m:oMath>
        <m:r>
          <m:rPr>
            <m:sty m:val="p"/>
          </m:rPr>
          <m:t>(</m:t>
        </m:r>
        <m:r>
          <m:t>2</m:t>
        </m:r>
        <m:r>
          <m:t>N</m:t>
        </m:r>
        <m:sSup>
          <m:e>
            <m:r>
              <m:rPr>
                <m:sty m:val="p"/>
              </m:rPr>
              <m:t>)</m:t>
            </m:r>
          </m:e>
          <m:sup>
            <m:r>
              <m:t>3</m:t>
            </m:r>
          </m:sup>
        </m:sSup>
      </m:oMath>
      <w:r>
        <w:t xml:space="preserve">, whereas regime B avoids that scaling bottleneck.</w:t>
      </w:r>
    </w:p>
    <w:p>
      <w:pPr>
        <w:pStyle w:val="CaptionedFigure"/>
      </w:pPr>
      <w:r>
        <w:drawing>
          <wp:inline>
            <wp:extent cx="5334000" cy="2243185"/>
            <wp:effectExtent b="0" l="0" r="0" t="0"/>
            <wp:docPr descr="Figure 4. G4MultiUnion scalability on the 8 GB workstation used in this study. (A) Estimated voxel-cell growth versus tested RVE size and sphere count. (B) Observed resident set size and feasibility outcome, showing why 250 nm / N = 45 is the largest practical regime-C configuration in this environment." title="" id="52" name="Picture"/>
            <a:graphic>
              <a:graphicData uri="http://schemas.openxmlformats.org/drawingml/2006/picture">
                <pic:pic>
                  <pic:nvPicPr>
                    <pic:cNvPr descr="../../../results/paper3/figures/paper3_fig4_multiunion_scalability.png" id="53" name="Picture"/>
                    <pic:cNvPicPr>
                      <a:picLocks noChangeArrowheads="1" noChangeAspect="1"/>
                    </pic:cNvPicPr>
                  </pic:nvPicPr>
                  <pic:blipFill>
                    <a:blip r:embed="rId51"/>
                    <a:stretch>
                      <a:fillRect/>
                    </a:stretch>
                  </pic:blipFill>
                  <pic:spPr bwMode="auto">
                    <a:xfrm>
                      <a:off x="0" y="0"/>
                      <a:ext cx="5334000" cy="2243185"/>
                    </a:xfrm>
                    <a:prstGeom prst="rect">
                      <a:avLst/>
                    </a:prstGeom>
                    <a:noFill/>
                    <a:ln w="9525">
                      <a:noFill/>
                      <a:headEnd/>
                      <a:tailEnd/>
                    </a:ln>
                  </pic:spPr>
                </pic:pic>
              </a:graphicData>
            </a:graphic>
          </wp:inline>
        </w:drawing>
      </w:r>
    </w:p>
    <w:p>
      <w:pPr>
        <w:pStyle w:val="ImageCaption"/>
      </w:pPr>
      <w:r>
        <w:t xml:space="preserve">Figure 4.</w:t>
      </w:r>
      <w:r>
        <w:t xml:space="preserve"> </w:t>
      </w:r>
      <w:r>
        <w:rPr>
          <w:rStyle w:val="VerbatimChar"/>
        </w:rPr>
        <w:t xml:space="preserve">G4MultiUnion</w:t>
      </w:r>
      <w:r>
        <w:t xml:space="preserve"> </w:t>
      </w:r>
      <w:r>
        <w:t xml:space="preserve">scalability on the 8 GB workstation used in this study. (A) Estimated voxel-cell growth versus tested RVE size and sphere count. (B) Observed resident set size and feasibility outcome, showing why 250 nm /</w:t>
      </w:r>
      <w:r>
        <w:t xml:space="preserve"> </w:t>
      </w:r>
      <m:oMath>
        <m:r>
          <m:t>N</m:t>
        </m:r>
        <m:r>
          <m:rPr>
            <m:sty m:val="p"/>
          </m:rPr>
          <m:t>=</m:t>
        </m:r>
        <m:r>
          <m:t>45</m:t>
        </m:r>
      </m:oMath>
      <w:r>
        <w:t xml:space="preserve"> </w:t>
      </w:r>
      <w:r>
        <w:t xml:space="preserve">is the largest practical regime-C configuration in this environment.</w:t>
      </w:r>
    </w:p>
    <w:bookmarkEnd w:id="54"/>
    <w:bookmarkEnd w:id="55"/>
    <w:bookmarkStart w:id="59" w:name="cross-regime-comparison-figure"/>
    <w:p>
      <w:pPr>
        <w:pStyle w:val="Heading3"/>
      </w:pPr>
      <w:r>
        <w:t xml:space="preserve">5.4 Cross-Regime Comparison Figure</w:t>
      </w:r>
    </w:p>
    <w:p>
      <w:pPr>
        <w:pStyle w:val="FirstParagraph"/>
      </w:pPr>
      <w:r>
        <w:t xml:space="preserve">Figure 5 overlays the regime A(phi0p189)</w:t>
      </w:r>
      <w:r>
        <w:t xml:space="preserve"> </w:t>
      </w:r>
      <m:oMath>
        <m:r>
          <m:rPr>
            <m:sty m:val="p"/>
          </m:rPr>
          <m:t>(</m:t>
        </m:r>
        <m:r>
          <m:t>μ</m:t>
        </m:r>
        <m:r>
          <m:rPr>
            <m:sty m:val="p"/>
          </m:rPr>
          <m:t>/</m:t>
        </m:r>
        <m:r>
          <m:t>ρ</m:t>
        </m:r>
        <m:r>
          <m:rPr>
            <m:sty m:val="p"/>
          </m:rPr>
          <m:t>)</m:t>
        </m:r>
      </m:oMath>
      <w:r>
        <w:t xml:space="preserve"> </w:t>
      </w:r>
      <w:r>
        <w:t xml:space="preserve">data (Table 1b), regime B data (Table 2), and regime C data (Table 3) against NIST XCOM on a single log-linear plot with 95% statistical confidence intervals. The canonical figure suite is generated by</w:t>
      </w:r>
      <w:r>
        <w:t xml:space="preserve"> </w:t>
      </w:r>
      <w:r>
        <w:rPr>
          <w:rStyle w:val="VerbatimChar"/>
        </w:rPr>
        <w:t xml:space="preserve">generate_paper3_figure_suite()</w:t>
      </w:r>
      <w:r>
        <w:t xml:space="preserve"> </w:t>
      </w:r>
      <w:r>
        <w:t xml:space="preserve">in</w:t>
      </w:r>
      <w:r>
        <w:t xml:space="preserve"> </w:t>
      </w:r>
      <w:r>
        <w:rPr>
          <w:rStyle w:val="VerbatimChar"/>
        </w:rPr>
        <w:t xml:space="preserve">paper3_figures.py</w:t>
      </w:r>
      <w:r>
        <w:t xml:space="preserve"> </w:t>
      </w:r>
      <w:r>
        <w:t xml:space="preserve">and written to</w:t>
      </w:r>
      <w:r>
        <w:t xml:space="preserve"> </w:t>
      </w:r>
      <w:r>
        <w:rPr>
          <w:rStyle w:val="VerbatimChar"/>
        </w:rPr>
        <w:t xml:space="preserve">results/paper3/figures/</w:t>
      </w:r>
      <w:r>
        <w:t xml:space="preserve">.</w:t>
      </w:r>
    </w:p>
    <w:p>
      <w:pPr>
        <w:pStyle w:val="BodyText"/>
      </w:pPr>
      <w:r>
        <w:t xml:space="preserve">The three curves overlap closely at 30–150 keV, confirming H1 for all three regimes. Above 356 keV, regime B and regime C scatter around the XCOM reference because the thin explicit RVEs provide very few attenuated primaries; the confidence intervals widen accordingly and the slab-based regime-A result remains the reliable baseline.</w:t>
      </w:r>
    </w:p>
    <w:p>
      <w:pPr>
        <w:pStyle w:val="CaptionedFigure"/>
      </w:pPr>
      <w:r>
        <w:drawing>
          <wp:inline>
            <wp:extent cx="4533900" cy="3089322"/>
            <wp:effectExtent b="0" l="0" r="0" t="0"/>
            <wp:docPr descr="Figure 5. Cross-regime mass attenuation coefficient comparison for regime A(phi0p189), regime B, and regime C against NIST XCOM, with 95% statistical confidence intervals on the simulated points. Agreement at 30–150 keV confirms H1 across all three regimes, while high-energy explicit-RVE points become statistics-limited." title="" id="57" name="Picture"/>
            <a:graphic>
              <a:graphicData uri="http://schemas.openxmlformats.org/drawingml/2006/picture">
                <pic:pic>
                  <pic:nvPicPr>
                    <pic:cNvPr descr="../../../results/paper3/figures/paper3_fig5_cross_regime_mac.png" id="58" name="Picture"/>
                    <pic:cNvPicPr>
                      <a:picLocks noChangeArrowheads="1" noChangeAspect="1"/>
                    </pic:cNvPicPr>
                  </pic:nvPicPr>
                  <pic:blipFill>
                    <a:blip r:embed="rId56"/>
                    <a:stretch>
                      <a:fillRect/>
                    </a:stretch>
                  </pic:blipFill>
                  <pic:spPr bwMode="auto">
                    <a:xfrm>
                      <a:off x="0" y="0"/>
                      <a:ext cx="4533900" cy="3089322"/>
                    </a:xfrm>
                    <a:prstGeom prst="rect">
                      <a:avLst/>
                    </a:prstGeom>
                    <a:noFill/>
                    <a:ln w="9525">
                      <a:noFill/>
                      <a:headEnd/>
                      <a:tailEnd/>
                    </a:ln>
                  </pic:spPr>
                </pic:pic>
              </a:graphicData>
            </a:graphic>
          </wp:inline>
        </w:drawing>
      </w:r>
    </w:p>
    <w:p>
      <w:pPr>
        <w:pStyle w:val="ImageCaption"/>
      </w:pPr>
      <w:r>
        <w:t xml:space="preserve">Figure 5. Cross-regime mass attenuation coefficient comparison for regime A(phi0p189), regime B, and regime C against NIST XCOM, with 95% statistical confidence intervals on the simulated points. Agreement at 30–150 keV confirms H1 across all three regimes, while high-energy explicit-RVE points become statistics-limited.</w:t>
      </w:r>
    </w:p>
    <w:p>
      <w:r>
        <w:pict>
          <v:rect style="width:0;height:1.5pt" o:hralign="center" o:hrstd="t" o:hr="t"/>
        </w:pict>
      </w:r>
    </w:p>
    <w:bookmarkEnd w:id="59"/>
    <w:bookmarkEnd w:id="60"/>
    <w:bookmarkStart w:id="64" w:name="discussion"/>
    <w:p>
      <w:pPr>
        <w:pStyle w:val="Heading2"/>
      </w:pPr>
      <w:r>
        <w:t xml:space="preserve">6. Discussion</w:t>
      </w:r>
    </w:p>
    <w:bookmarkStart w:id="61" w:name="X89d6f0d201148b6b32fd39f16c6369c2dfab1dd"/>
    <w:p>
      <w:pPr>
        <w:pStyle w:val="Heading3"/>
      </w:pPr>
      <w:r>
        <w:t xml:space="preserve">6.1 Regime A confirms effective-medium validity</w:t>
      </w:r>
    </w:p>
    <w:p>
      <w:pPr>
        <w:pStyle w:val="FirstParagraph"/>
      </w:pPr>
      <w:r>
        <w:t xml:space="preserve">The regime A(30wt) results (§5.1.1–5.1.3) establish that</w:t>
      </w:r>
      <w:r>
        <w:t xml:space="preserve"> </w:t>
      </w:r>
      <w:r>
        <w:rPr>
          <w:rStyle w:val="VerbatimChar"/>
        </w:rPr>
        <w:t xml:space="preserve">G4EmLivermorePhysics</w:t>
      </w:r>
      <w:r>
        <w:t xml:space="preserve"> </w:t>
      </w:r>
      <w:r>
        <w:t xml:space="preserve">reproduces NIST XCOM mass attenuation coefficients for HDPE/Bi₂O₃ 30 wt% with a mean deviation of 0.549% and a maximum deviation of 2.013% across a broad photon energy range (30 keV–1.33 MeV). These values confirm</w:t>
      </w:r>
      <w:r>
        <w:t xml:space="preserve"> </w:t>
      </w:r>
      <w:r>
        <w:rPr>
          <w:b/>
          <w:bCs/>
        </w:rPr>
        <w:t xml:space="preserve">Hypothesis H1</w:t>
      </w:r>
      <w:r>
        <w:t xml:space="preserve"> </w:t>
      </w:r>
      <w:r>
        <w:t xml:space="preserve">for the effective-medium regime against the external reference: the emlivermore-based homogeneous model is accurate to within the NIST photon-benchmark tolerance established for ShieldLab G4 v1.0.</w:t>
      </w:r>
    </w:p>
    <w:p>
      <w:pPr>
        <w:pStyle w:val="BodyText"/>
      </w:pPr>
      <w:r>
        <w:t xml:space="preserve">The regime A(phi0p189) run (§5.1.5) uses the same physics list and geometry but applies the composition consistent with the RVE phases (68.6 wt% Bi₂O₃, ρ = 2.452 g cm</w:t>
      </w:r>
      <m:oMath>
        <m:sSup>
          <m:e>
            <m:r>
              <m:t>​</m:t>
            </m:r>
          </m:e>
          <m:sup>
            <m:r>
              <m:rPr>
                <m:sty m:val="p"/>
              </m:rPr>
              <m:t>−</m:t>
            </m:r>
            <m:r>
              <m:t>3</m:t>
            </m:r>
          </m:sup>
        </m:sSup>
      </m:oMath>
      <w:r>
        <w:t xml:space="preserve">). By design, it should also agree with XCOM for that composition (the emlivermore accuracy is not expected to depend on filler loading at these photon energies). This result is the direct regime-A baseline for the H1 cross-regime test.</w:t>
      </w:r>
    </w:p>
    <w:p>
      <w:pPr>
        <w:pStyle w:val="BodyText"/>
      </w:pPr>
      <w:r>
        <w:t xml:space="preserve">The 2.013% maximum deviation at 80 keV is slightly elevated compared to the other energy points. This energy falls near the Bi K-edge complex (88 keV for Bi L₃, but the Bi K-edge group is at 90.5 keV). The most likely cause is a small interpolation mismatch between the EPDL97 photoelectric cross-section grid and the XCOM energy grid in the 80–100 keV region, rather than a physics list error. The value remains well within the pre-registered 5% maximum gate.</w:t>
      </w:r>
    </w:p>
    <w:bookmarkEnd w:id="61"/>
    <w:bookmarkStart w:id="62" w:name="X9be2d9ccee8595cb744cefcd56171d599769a69"/>
    <w:p>
      <w:pPr>
        <w:pStyle w:val="Heading3"/>
      </w:pPr>
      <w:r>
        <w:t xml:space="preserve">6.2 Regime B and C: cross-regime agreement test (H1 — RVE scale)</w:t>
      </w:r>
    </w:p>
    <w:p>
      <w:pPr>
        <w:pStyle w:val="FirstParagraph"/>
      </w:pPr>
      <w:r>
        <w:t xml:space="preserve">Hypothesis H1 applied to the cross-regime comparison predicts that the µ values from the explicit-RVE simulations (regimes B and C) should agree with the effective-medium result (regime A) at the 1 µm scale. The physical argument is straightforward: at the photon energies and nanoparticle sizes considered here (</w:t>
      </w:r>
      <m:oMath>
        <m:r>
          <m:t>r</m:t>
        </m:r>
        <m:r>
          <m:rPr>
            <m:sty m:val="p"/>
          </m:rPr>
          <m:t>=</m:t>
        </m:r>
        <m:r>
          <m:t>25</m:t>
        </m:r>
      </m:oMath>
      <w:r>
        <w:t xml:space="preserve"> </w:t>
      </w:r>
      <w:r>
        <w:t xml:space="preserve">nm,</w:t>
      </w:r>
      <w:r>
        <w:t xml:space="preserve"> </w:t>
      </w:r>
      <m:oMath>
        <m:r>
          <m:t>μ</m:t>
        </m:r>
        <m:r>
          <m:t>r</m:t>
        </m:r>
        <m:r>
          <m:rPr>
            <m:sty m:val="p"/>
          </m:rPr>
          <m:t>≈</m:t>
        </m:r>
        <m:r>
          <m:t>5</m:t>
        </m:r>
        <m:r>
          <m:rPr>
            <m:sty m:val="p"/>
          </m:rPr>
          <m:t>×</m:t>
        </m:r>
        <m:sSup>
          <m:e>
            <m:r>
              <m:t>10</m:t>
            </m:r>
          </m:e>
          <m:sup>
            <m:r>
              <m:rPr>
                <m:sty m:val="p"/>
              </m:rPr>
              <m:t>−</m:t>
            </m:r>
            <m:r>
              <m:t>3</m:t>
            </m:r>
          </m:sup>
        </m:sSup>
      </m:oMath>
      <w:r>
        <w:t xml:space="preserve"> </w:t>
      </w:r>
      <w:r>
        <w:t xml:space="preserve">at 100 keV), the photon cannot resolve the individual nanoparticles, and the attenuation is expected to follow the bulk mixture law. Any deviation from H1 agreement would indicate a geometry or physics implementation error rather than a real physical effect.</w:t>
      </w:r>
    </w:p>
    <w:p>
      <w:pPr>
        <w:pStyle w:val="BodyText"/>
      </w:pPr>
      <w:r>
        <w:rPr>
          <w:b/>
          <w:bCs/>
        </w:rPr>
        <w:t xml:space="preserve">Regime B results (all 10 energies complete)</w:t>
      </w:r>
      <w:r>
        <w:t xml:space="preserve"> </w:t>
      </w:r>
      <w:r>
        <w:t xml:space="preserve">are consistent with this expectation. The measured µ values follow the expected energy dependence, including the Bi K-edge feature at 90.5 keV: µ drops from 12.48 cm</w:t>
      </w:r>
      <m:oMath>
        <m:sSup>
          <m:e>
            <m:r>
              <m:t>​</m:t>
            </m:r>
          </m:e>
          <m:sup>
            <m:r>
              <m:rPr>
                <m:sty m:val="p"/>
              </m:rPr>
              <m:t>−</m:t>
            </m:r>
            <m:r>
              <m:t>1</m:t>
            </m:r>
          </m:sup>
        </m:sSup>
      </m:oMath>
      <w:r>
        <w:t xml:space="preserve"> </w:t>
      </w:r>
      <w:r>
        <w:t xml:space="preserve">at 50 keV to 3.81 cm</w:t>
      </w:r>
      <m:oMath>
        <m:sSup>
          <m:e>
            <m:r>
              <m:t>​</m:t>
            </m:r>
          </m:e>
          <m:sup>
            <m:r>
              <m:rPr>
                <m:sty m:val="p"/>
              </m:rPr>
              <m:t>−</m:t>
            </m:r>
            <m:r>
              <m:t>1</m:t>
            </m:r>
          </m:sup>
        </m:sSup>
      </m:oMath>
      <w:r>
        <w:t xml:space="preserve"> </w:t>
      </w:r>
      <w:r>
        <w:t xml:space="preserve">at 80 keV, then rises to 8.60 cm</w:t>
      </w:r>
      <m:oMath>
        <m:sSup>
          <m:e>
            <m:r>
              <m:t>​</m:t>
            </m:r>
          </m:e>
          <m:sup>
            <m:r>
              <m:rPr>
                <m:sty m:val="p"/>
              </m:rPr>
              <m:t>−</m:t>
            </m:r>
            <m:r>
              <m:t>1</m:t>
            </m:r>
          </m:sup>
        </m:sSup>
      </m:oMath>
      <w:r>
        <w:t xml:space="preserve"> </w:t>
      </w:r>
      <w:r>
        <w:t xml:space="preserve">at 100 keV — a jump of ×2.3 due to Bi K-shell photoelectric absorption. This behaviour is only correctly reproduced because the RVE contains explicit Bi₂O₃ filler atoms with the correct K-edge cross section.</w:t>
      </w:r>
    </w:p>
    <w:p>
      <w:pPr>
        <w:pStyle w:val="BodyText"/>
      </w:pPr>
      <w:r>
        <w:rPr>
          <w:b/>
          <w:bCs/>
        </w:rPr>
        <w:t xml:space="preserve">Cross-regime agreement (30–150 keV, statistically reliable).</w:t>
      </w:r>
      <w:r>
        <w:t xml:space="preserve"> </w:t>
      </w:r>
      <w:r>
        <w:t xml:space="preserve">For the five energies where the RVE geometry provides adequate statistics (</w:t>
      </w:r>
      <m:oMath>
        <m:sSub>
          <m:e>
            <m:r>
              <m:t>N</m:t>
            </m:r>
          </m:e>
          <m:sub>
            <m:r>
              <m:rPr>
                <m:nor/>
                <m:sty m:val="p"/>
              </m:rPr>
              <m:t>att</m:t>
            </m:r>
          </m:sub>
        </m:sSub>
        <m:r>
          <m:rPr>
            <m:sty m:val="p"/>
          </m:rPr>
          <m:t>≥</m:t>
        </m:r>
        <m:r>
          <m:t>3000</m:t>
        </m:r>
      </m:oMath>
      <w:r>
        <w:t xml:space="preserve">), the regime B / regime A ratio</w:t>
      </w:r>
      <w:r>
        <w:t xml:space="preserve"> </w:t>
      </w:r>
      <m:oMath>
        <m:sSub>
          <m:e>
            <m:r>
              <m:t>μ</m:t>
            </m:r>
          </m:e>
          <m:sub>
            <m:r>
              <m:t>B</m:t>
            </m:r>
          </m:sub>
        </m:sSub>
        <m:r>
          <m:rPr>
            <m:sty m:val="p"/>
          </m:rPr>
          <m:t>/</m:t>
        </m:r>
        <m:sSub>
          <m:e>
            <m:r>
              <m:t>μ</m:t>
            </m:r>
          </m:e>
          <m:sub>
            <m:r>
              <m:t>A</m:t>
            </m:r>
            <m:r>
              <m:rPr>
                <m:sty m:val="p"/>
              </m:rPr>
              <m:t>,</m:t>
            </m:r>
            <m:r>
              <m:t>ϕ</m:t>
            </m:r>
          </m:sub>
        </m:sSub>
      </m:oMath>
      <w:r>
        <w:t xml:space="preserve"> </w:t>
      </w:r>
      <w:r>
        <w:t xml:space="preserve">falls in the range 0.975–0.984 (deviation −1.6% to −2.5%, all within the 3% H1 gate), as summarised in Table 2. Regime A(phi0p189) itself agrees with NIST XCOM at mean</w:t>
      </w:r>
      <w:r>
        <w:t xml:space="preserve"> </w:t>
      </w:r>
      <m:oMath>
        <m:r>
          <m:rPr>
            <m:sty m:val="p"/>
          </m:rPr>
          <m:t>|</m:t>
        </m:r>
        <m:r>
          <m:rPr>
            <m:sty m:val="p"/>
          </m:rPr>
          <m:t>Δ</m:t>
        </m:r>
        <m:r>
          <m:rPr>
            <m:sty m:val="p"/>
          </m:rPr>
          <m:t>|</m:t>
        </m:r>
        <m:r>
          <m:rPr>
            <m:sty m:val="p"/>
          </m:rPr>
          <m:t>=</m:t>
        </m:r>
        <m:r>
          <m:t>0.72</m:t>
        </m:r>
        <m:r>
          <m:rPr>
            <m:sty m:val="p"/>
          </m:rPr>
          <m:t>%</m:t>
        </m:r>
      </m:oMath>
      <w:r>
        <w:t xml:space="preserve">, max</w:t>
      </w:r>
      <w:r>
        <w:t xml:space="preserve"> </w:t>
      </w:r>
      <m:oMath>
        <m:r>
          <m:rPr>
            <m:sty m:val="p"/>
          </m:rPr>
          <m:t>|</m:t>
        </m:r>
        <m:r>
          <m:rPr>
            <m:sty m:val="p"/>
          </m:rPr>
          <m:t>Δ</m:t>
        </m:r>
        <m:r>
          <m:rPr>
            <m:sty m:val="p"/>
          </m:rPr>
          <m:t>|</m:t>
        </m:r>
        <m:r>
          <m:rPr>
            <m:sty m:val="p"/>
          </m:rPr>
          <m:t>=</m:t>
        </m:r>
        <m:r>
          <m:t>2.45</m:t>
        </m:r>
        <m:r>
          <m:rPr>
            <m:sty m:val="p"/>
          </m:rPr>
          <m:t>%</m:t>
        </m:r>
      </m:oMath>
      <w:r>
        <w:t xml:space="preserve"> </w:t>
      </w:r>
      <w:r>
        <w:t xml:space="preserve">(Table 1b, §5.1.5), confirming that the slab-geometry effective-medium baseline is reliable. The systematic ∼2% downward offset of regime B relative to regime A is consistent with the RVE boundary-layer effect: photons that travel through the $</w:t>
      </w:r>
      <w:r>
        <w:t xml:space="preserve">$3 nm void gap between touching sphere surfaces experience a locally reduced effective attenuation, marginally lowering the ensemble-averaged</w:t>
      </w:r>
      <w:r>
        <w:t xml:space="preserve"> </w:t>
      </w:r>
      <m:oMath>
        <m:r>
          <m:t>μ</m:t>
        </m:r>
      </m:oMath>
      <w:r>
        <w:t xml:space="preserve">. This sub-3% effect is within the pre-registered H1 gate and does not challenge hypothesis H1.</w:t>
      </w:r>
    </w:p>
    <w:p>
      <w:pPr>
        <w:pStyle w:val="BodyText"/>
      </w:pPr>
      <w:r>
        <w:t xml:space="preserve">Statistical uncertainty on the regime B µ estimates is $</w:t>
      </w:r>
      <m:oMath>
        <m:r>
          <m:t>0.5</m:t>
        </m:r>
        <m:r>
          <m:rPr>
            <m:sty m:val="p"/>
          </m:rPr>
          <m:t>–</m:t>
        </m:r>
        <m:r>
          <m:t>1.8</m:t>
        </m:r>
        <m:r>
          <m:rPr>
            <m:sty m:val="p"/>
          </m:rPr>
          <m:t>%</m:t>
        </m:r>
        <m:r>
          <m:t>a</m:t>
        </m:r>
        <m:r>
          <m:t>t</m:t>
        </m:r>
        <m:r>
          <m:t>30</m:t>
        </m:r>
        <m:r>
          <m:rPr>
            <m:sty m:val="p"/>
          </m:rPr>
          <m:t>–</m:t>
        </m:r>
        <m:r>
          <m:t>150</m:t>
        </m:r>
        <m:r>
          <m:t>k</m:t>
        </m:r>
        <m:r>
          <m:t>e</m:t>
        </m:r>
        <m:r>
          <m:t>V</m:t>
        </m:r>
        <m:r>
          <m:t>a</m:t>
        </m:r>
        <m:r>
          <m:t>n</m:t>
        </m:r>
        <m:r>
          <m:t>d</m:t>
        </m:r>
        <m:r>
          <m:t>r</m:t>
        </m:r>
        <m:r>
          <m:t>i</m:t>
        </m:r>
        <m:r>
          <m:t>s</m:t>
        </m:r>
        <m:r>
          <m:t>e</m:t>
        </m:r>
        <m:r>
          <m:t>s</m:t>
        </m:r>
        <m:r>
          <m:t>t</m:t>
        </m:r>
        <m:r>
          <m:t>o</m:t>
        </m:r>
        <m:r>
          <m:t>4</m:t>
        </m:r>
        <m:r>
          <m:rPr>
            <m:sty m:val="p"/>
          </m:rPr>
          <m:t>–</m:t>
        </m:r>
        <m:r>
          <m:t>9</m:t>
        </m:r>
        <m:r>
          <m:rPr>
            <m:sty m:val="p"/>
          </m:rPr>
          <m:t>%</m:t>
        </m:r>
        <m:r>
          <m:t>a</m:t>
        </m:r>
        <m:r>
          <m:t>t</m:t>
        </m:r>
        <m:r>
          <m:rPr>
            <m:sty m:val="p"/>
          </m:rPr>
          <m:t>≥</m:t>
        </m:r>
        <m:r>
          <m:t>356</m:t>
        </m:r>
        <m:r>
          <m:t>k</m:t>
        </m:r>
        <m:r>
          <m:t>e</m:t>
        </m:r>
        <m:r>
          <m:t>V</m:t>
        </m:r>
        <m:r>
          <m:t>w</m:t>
        </m:r>
        <m:r>
          <m:t>h</m:t>
        </m:r>
        <m:r>
          <m:t>e</m:t>
        </m:r>
        <m:r>
          <m:t>r</m:t>
        </m:r>
        <m:r>
          <m:t>e</m:t>
        </m:r>
        <m:r>
          <m:t>t</m:t>
        </m:r>
        <m:r>
          <m:t>h</m:t>
        </m:r>
        <m:r>
          <m:t>e</m:t>
        </m:r>
        <m:r>
          <m:t>t</m:t>
        </m:r>
        <m:r>
          <m:t>h</m:t>
        </m:r>
        <m:r>
          <m:t>i</m:t>
        </m:r>
        <m:r>
          <m:t>n</m:t>
        </m:r>
        <m:r>
          <m:t>R</m:t>
        </m:r>
        <m:r>
          <m:t>V</m:t>
        </m:r>
        <m:r>
          <m:t>E</m:t>
        </m:r>
        <m:r>
          <m:rPr>
            <m:sty m:val="p"/>
          </m:rPr>
          <m:t>(</m:t>
        </m:r>
      </m:oMath>
      <w:r>
        <w:t xml:space="preserve">L = 1$ µm) provides fewer attenuated primaries (</w:t>
      </w:r>
      <m:oMath>
        <m:sSub>
          <m:e>
            <m:r>
              <m:t>N</m:t>
            </m:r>
          </m:e>
          <m:sub>
            <m:r>
              <m:rPr>
                <m:nor/>
                <m:sty m:val="p"/>
              </m:rPr>
              <m:t>att</m:t>
            </m:r>
          </m:sub>
        </m:sSub>
        <m:r>
          <m:rPr>
            <m:sty m:val="p"/>
          </m:rPr>
          <m:t>&lt;</m:t>
        </m:r>
        <m:r>
          <m:t>600</m:t>
        </m:r>
      </m:oMath>
      <w:r>
        <w:t xml:space="preserve">). Those high-energy</w:t>
      </w:r>
      <w:r>
        <w:t xml:space="preserve"> </w:t>
      </w:r>
      <m:oMath>
        <m:r>
          <m:rPr>
            <m:sty m:val="p"/>
          </m:rPr>
          <m:t>Δ</m:t>
        </m:r>
      </m:oMath>
      <w:r>
        <w:t xml:space="preserve"> </w:t>
      </w:r>
      <w:r>
        <w:t xml:space="preserve">values are statistically dominated and cannot be interpreted as physics deviations. The regime A(phi0p189) slab result provides the reliable</w:t>
      </w:r>
      <w:r>
        <w:t xml:space="preserve"> </w:t>
      </w:r>
      <m:oMath>
        <m:r>
          <m:t>μ</m:t>
        </m:r>
      </m:oMath>
      <w:r>
        <w:t xml:space="preserve"> </w:t>
      </w:r>
      <w:r>
        <w:t xml:space="preserve">reference at all energies.</w:t>
      </w:r>
      <w:r>
        <w:t xml:space="preserve"> </w:t>
      </w:r>
      <w:r>
        <w:rPr>
          <w:b/>
          <w:bCs/>
        </w:rPr>
        <w:t xml:space="preserve">Regime C (G4MultiUnion) outcome: feasible at 250 nm RVE (</w:t>
      </w:r>
      <m:oMath>
        <m:r>
          <m:t>N</m:t>
        </m:r>
        <m:r>
          <m:rPr>
            <m:sty m:val="p"/>
          </m:rPr>
          <m:t>=</m:t>
        </m:r>
        <m:r>
          <m:t>45</m:t>
        </m:r>
      </m:oMath>
      <w:r>
        <w:rPr>
          <w:b/>
          <w:bCs/>
        </w:rPr>
        <w:t xml:space="preserve">).</w:t>
      </w:r>
      <w:r>
        <w:t xml:space="preserve"> </w:t>
      </w:r>
      <w:r>
        <w:t xml:space="preserve">The</w:t>
      </w:r>
      <w:r>
        <w:t xml:space="preserve"> </w:t>
      </w:r>
      <w:r>
        <w:rPr>
          <w:rStyle w:val="VerbatimChar"/>
        </w:rPr>
        <w:t xml:space="preserve">G4Voxelizer</w:t>
      </w:r>
      <w:r>
        <w:t xml:space="preserve"> </w:t>
      </w:r>
      <w:r>
        <w:t xml:space="preserve">scales as</w:t>
      </w:r>
      <w:r>
        <w:t xml:space="preserve"> </w:t>
      </w:r>
      <m:oMath>
        <m:r>
          <m:rPr>
            <m:sty m:val="p"/>
          </m:rPr>
          <m:t>(</m:t>
        </m:r>
        <m:r>
          <m:t>2</m:t>
        </m:r>
        <m:r>
          <m:t>N</m:t>
        </m:r>
        <m:sSup>
          <m:e>
            <m:r>
              <m:rPr>
                <m:sty m:val="p"/>
              </m:rPr>
              <m:t>)</m:t>
            </m:r>
          </m:e>
          <m:sup>
            <m:r>
              <m:t>3</m:t>
            </m:r>
          </m:sup>
        </m:sSup>
      </m:oMath>
      <w:r>
        <w:t xml:space="preserve"> </w:t>
      </w:r>
      <w:r>
        <w:t xml:space="preserve">cells: the 1 µm RVE (</w:t>
      </w:r>
      <m:oMath>
        <m:r>
          <m:t>N</m:t>
        </m:r>
        <m:r>
          <m:rPr>
            <m:sty m:val="p"/>
          </m:rPr>
          <m:t>=</m:t>
        </m:r>
        <m:r>
          <m:t>2</m:t>
        </m:r>
        <m:r>
          <m:rPr>
            <m:sty m:val="p"/>
          </m:rPr>
          <m:t>,</m:t>
        </m:r>
        <m:r>
          <m:t>888</m:t>
        </m:r>
      </m:oMath>
      <w:r>
        <w:t xml:space="preserve">;</w:t>
      </w:r>
      <w:r>
        <w:t xml:space="preserve"> </w:t>
      </w:r>
      <m:oMath>
        <m:r>
          <m:rPr>
            <m:sty m:val="p"/>
          </m:rPr>
          <m:t>(</m:t>
        </m:r>
        <m:r>
          <m:t>5</m:t>
        </m:r>
        <m:r>
          <m:rPr>
            <m:sty m:val="p"/>
          </m:rPr>
          <m:t>,</m:t>
        </m:r>
        <m:r>
          <m:t>776</m:t>
        </m:r>
        <m:sSup>
          <m:e>
            <m:r>
              <m:rPr>
                <m:sty m:val="p"/>
              </m:rPr>
              <m:t>)</m:t>
            </m:r>
          </m:e>
          <m:sup>
            <m:r>
              <m:t>3</m:t>
            </m:r>
          </m:sup>
        </m:sSup>
        <m:r>
          <m:rPr>
            <m:sty m:val="p"/>
          </m:rPr>
          <m:t>≈</m:t>
        </m:r>
        <m:r>
          <m:t>193</m:t>
        </m:r>
        <m:r>
          <m:rPr>
            <m:sty m:val="p"/>
          </m:rPr>
          <m:t>×</m:t>
        </m:r>
        <m:sSup>
          <m:e>
            <m:r>
              <m:t>10</m:t>
            </m:r>
          </m:e>
          <m:sup>
            <m:r>
              <m:t>9</m:t>
            </m:r>
          </m:sup>
        </m:sSup>
      </m:oMath>
      <w:r>
        <w:t xml:space="preserve"> </w:t>
      </w:r>
      <w:r>
        <w:t xml:space="preserve">cells, OOM-killed at</w:t>
      </w:r>
      <w:r>
        <w:t xml:space="preserve"> </w:t>
      </w:r>
      <m:oMath>
        <m:r>
          <m:rPr>
            <m:sty m:val="p"/>
          </m:rPr>
          <m:t>&gt;</m:t>
        </m:r>
        <m:r>
          <m:t>7.2</m:t>
        </m:r>
      </m:oMath>
      <w:r>
        <w:t xml:space="preserve"> </w:t>
      </w:r>
      <w:r>
        <w:t xml:space="preserve">GB RSS) and the 500 nm RVE (</w:t>
      </w:r>
      <m:oMath>
        <m:r>
          <m:t>N</m:t>
        </m:r>
        <m:r>
          <m:rPr>
            <m:sty m:val="p"/>
          </m:rPr>
          <m:t>=</m:t>
        </m:r>
        <m:r>
          <m:t>361</m:t>
        </m:r>
      </m:oMath>
      <w:r>
        <w:t xml:space="preserve">;</w:t>
      </w:r>
      <w:r>
        <w:t xml:space="preserve"> </w:t>
      </w:r>
      <m:oMath>
        <m:r>
          <m:rPr>
            <m:sty m:val="p"/>
          </m:rPr>
          <m:t>(</m:t>
        </m:r>
        <m:r>
          <m:t>722</m:t>
        </m:r>
        <m:sSup>
          <m:e>
            <m:r>
              <m:rPr>
                <m:sty m:val="p"/>
              </m:rPr>
              <m:t>)</m:t>
            </m:r>
          </m:e>
          <m:sup>
            <m:r>
              <m:t>3</m:t>
            </m:r>
          </m:sup>
        </m:sSup>
        <m:r>
          <m:rPr>
            <m:sty m:val="p"/>
          </m:rPr>
          <m:t>≈</m:t>
        </m:r>
        <m:r>
          <m:t>376</m:t>
        </m:r>
        <m:r>
          <m:rPr>
            <m:sty m:val="p"/>
          </m:rPr>
          <m:t>×</m:t>
        </m:r>
        <m:sSup>
          <m:e>
            <m:r>
              <m:t>10</m:t>
            </m:r>
          </m:e>
          <m:sup>
            <m:r>
              <m:t>6</m:t>
            </m:r>
          </m:sup>
        </m:sSup>
      </m:oMath>
      <w:r>
        <w:t xml:space="preserve"> </w:t>
      </w:r>
      <w:r>
        <w:t xml:space="preserve">cells,</w:t>
      </w:r>
      <w:r>
        <w:t xml:space="preserve"> </w:t>
      </w:r>
      <m:oMath>
        <m:r>
          <m:rPr>
            <m:sty m:val="p"/>
          </m:rPr>
          <m:t>∼</m:t>
        </m:r>
        <m:r>
          <m:t>3.5</m:t>
        </m:r>
      </m:oMath>
      <w:r>
        <w:t xml:space="preserve"> </w:t>
      </w:r>
      <w:r>
        <w:t xml:space="preserve">GB, also OOM) are infeasible on the 8 GB workstation. The 250 nm RVE (</w:t>
      </w:r>
      <m:oMath>
        <m:r>
          <m:t>N</m:t>
        </m:r>
        <m:r>
          <m:rPr>
            <m:sty m:val="p"/>
          </m:rPr>
          <m:t>=</m:t>
        </m:r>
        <m:r>
          <m:t>45</m:t>
        </m:r>
      </m:oMath>
      <w:r>
        <w:t xml:space="preserve">;</w:t>
      </w:r>
      <w:r>
        <w:t xml:space="preserve"> </w:t>
      </w:r>
      <m:oMath>
        <m:r>
          <m:rPr>
            <m:sty m:val="p"/>
          </m:rPr>
          <m:t>(</m:t>
        </m:r>
        <m:r>
          <m:t>90</m:t>
        </m:r>
        <m:sSup>
          <m:e>
            <m:r>
              <m:rPr>
                <m:sty m:val="p"/>
              </m:rPr>
              <m:t>)</m:t>
            </m:r>
          </m:e>
          <m:sup>
            <m:r>
              <m:t>3</m:t>
            </m:r>
          </m:sup>
        </m:sSup>
        <m:r>
          <m:rPr>
            <m:sty m:val="p"/>
          </m:rPr>
          <m:t>=</m:t>
        </m:r>
        <m:r>
          <m:t>729</m:t>
        </m:r>
        <m:r>
          <m:rPr>
            <m:sty m:val="p"/>
          </m:rPr>
          <m:t>,</m:t>
        </m:r>
        <m:r>
          <m:t>000</m:t>
        </m:r>
      </m:oMath>
      <w:r>
        <w:t xml:space="preserve"> </w:t>
      </w:r>
      <w:r>
        <w:t xml:space="preserve">cells, 99 MB RSS) completes successfully. At 30–150 keV, regime C agrees with regime A(phi0p189) to within</w:t>
      </w:r>
      <w:r>
        <w:t xml:space="preserve"> </w:t>
      </w:r>
      <m:oMath>
        <m:r>
          <m:rPr>
            <m:sty m:val="p"/>
          </m:rPr>
          <m:t>−</m:t>
        </m:r>
        <m:r>
          <m:t>2.3</m:t>
        </m:r>
        <m:r>
          <m:rPr>
            <m:sty m:val="p"/>
          </m:rPr>
          <m:t>%</m:t>
        </m:r>
      </m:oMath>
      <w:r>
        <w:t xml:space="preserve"> </w:t>
      </w:r>
      <w:r>
        <w:t xml:space="preserve">to</w:t>
      </w:r>
      <w:r>
        <w:t xml:space="preserve"> </w:t>
      </w:r>
      <m:oMath>
        <m:r>
          <m:rPr>
            <m:sty m:val="p"/>
          </m:rPr>
          <m:t>+</m:t>
        </m:r>
        <m:r>
          <m:t>1.6</m:t>
        </m:r>
        <m:r>
          <m:rPr>
            <m:sty m:val="p"/>
          </m:rPr>
          <m:t>%</m:t>
        </m:r>
      </m:oMath>
      <w:r>
        <w:t xml:space="preserve"> </w:t>
      </w:r>
      <w:r>
        <w:t xml:space="preserve">(</w:t>
      </w:r>
      <m:oMath>
        <m:sSub>
          <m:e>
            <m:r>
              <m:t>μ</m:t>
            </m:r>
          </m:e>
          <m:sub>
            <m:r>
              <m:t>C</m:t>
            </m:r>
          </m:sub>
        </m:sSub>
        <m:r>
          <m:rPr>
            <m:sty m:val="p"/>
          </m:rPr>
          <m:t>/</m:t>
        </m:r>
        <m:sSub>
          <m:e>
            <m:r>
              <m:t>μ</m:t>
            </m:r>
          </m:e>
          <m:sub>
            <m:r>
              <m:t>A</m:t>
            </m:r>
            <m:r>
              <m:rPr>
                <m:sty m:val="p"/>
              </m:rPr>
              <m:t>,</m:t>
            </m:r>
            <m:r>
              <m:t>ϕ</m:t>
            </m:r>
          </m:sub>
        </m:sSub>
        <m:r>
          <m:rPr>
            <m:sty m:val="p"/>
          </m:rPr>
          <m:t>=</m:t>
        </m:r>
        <m:r>
          <m:t>0.982</m:t>
        </m:r>
      </m:oMath>
      <w:r>
        <w:t xml:space="preserve">–</w:t>
      </w:r>
      <m:oMath>
        <m:r>
          <m:t>1.016</m:t>
        </m:r>
      </m:oMath>
      <w:r>
        <w:t xml:space="preserve">) and with NIST XCOM to within</w:t>
      </w:r>
      <w:r>
        <w:t xml:space="preserve"> </w:t>
      </w:r>
      <m:oMath>
        <m:r>
          <m:rPr>
            <m:sty m:val="p"/>
          </m:rPr>
          <m:t>−</m:t>
        </m:r>
        <m:r>
          <m:t>2.3</m:t>
        </m:r>
        <m:r>
          <m:rPr>
            <m:sty m:val="p"/>
          </m:rPr>
          <m:t>%</m:t>
        </m:r>
      </m:oMath>
      <w:r>
        <w:t xml:space="preserve"> </w:t>
      </w:r>
      <w:r>
        <w:t xml:space="preserve">to</w:t>
      </w:r>
      <w:r>
        <w:t xml:space="preserve"> </w:t>
      </w:r>
      <m:oMath>
        <m:r>
          <m:rPr>
            <m:sty m:val="p"/>
          </m:rPr>
          <m:t>+</m:t>
        </m:r>
        <m:r>
          <m:t>1.2</m:t>
        </m:r>
        <m:r>
          <m:rPr>
            <m:sty m:val="p"/>
          </m:rPr>
          <m:t>%</m:t>
        </m:r>
      </m:oMath>
      <w:r>
        <w:t xml:space="preserve"> </w:t>
      </w:r>
      <w:r>
        <w:t xml:space="preserve">(Table 3), confirming H1 for regime C. The scalability finding —</w:t>
      </w:r>
      <w:r>
        <w:t xml:space="preserve"> </w:t>
      </w:r>
      <w:r>
        <w:rPr>
          <w:rStyle w:val="VerbatimChar"/>
        </w:rPr>
        <w:t xml:space="preserve">G4MultiUnion</w:t>
      </w:r>
      <w:r>
        <w:t xml:space="preserve"> </w:t>
      </w:r>
      <w:r>
        <w:t xml:space="preserve">impractical at</w:t>
      </w:r>
      <w:r>
        <w:t xml:space="preserve"> </w:t>
      </w:r>
      <m:oMath>
        <m:r>
          <m:t>N</m:t>
        </m:r>
        <m:r>
          <m:rPr>
            <m:sty m:val="p"/>
          </m:rPr>
          <m:t>≳</m:t>
        </m:r>
        <m:r>
          <m:t>50</m:t>
        </m:r>
      </m:oMath>
      <w:r>
        <w:t xml:space="preserve"> </w:t>
      </w:r>
      <w:r>
        <w:t xml:space="preserve">for dense-packing on 8 GB workstations,</w:t>
      </w:r>
      <w:r>
        <w:t xml:space="preserve"> </w:t>
      </w:r>
      <w:r>
        <w:rPr>
          <w:rStyle w:val="VerbatimChar"/>
        </w:rPr>
        <w:t xml:space="preserve">G4PVParameterised</w:t>
      </w:r>
      <w:r>
        <w:t xml:space="preserve"> </w:t>
      </w:r>
      <w:r>
        <w:t xml:space="preserve">(regime B) handles</w:t>
      </w:r>
      <w:r>
        <w:t xml:space="preserve"> </w:t>
      </w:r>
      <m:oMath>
        <m:r>
          <m:t>N</m:t>
        </m:r>
        <m:r>
          <m:rPr>
            <m:sty m:val="p"/>
          </m:rPr>
          <m:t>=</m:t>
        </m:r>
        <m:r>
          <m:t>2</m:t>
        </m:r>
        <m:r>
          <m:rPr>
            <m:sty m:val="p"/>
          </m:rPr>
          <m:t>,</m:t>
        </m:r>
        <m:r>
          <m:t>888</m:t>
        </m:r>
      </m:oMath>
      <w:r>
        <w:t xml:space="preserve"> </w:t>
      </w:r>
      <w:r>
        <w:t xml:space="preserve">with negligible overhead — is the key architectural distinction between the two explicit-RVE approaches.</w:t>
      </w:r>
    </w:p>
    <w:bookmarkEnd w:id="62"/>
    <w:bookmarkStart w:id="63" w:name="X0597c380d736cbb6ce7062ef5dbdb858a2456ba"/>
    <w:p>
      <w:pPr>
        <w:pStyle w:val="Heading3"/>
      </w:pPr>
      <w:r>
        <w:t xml:space="preserve">6.3 Implications for the effective-medium hypothesis</w:t>
      </w:r>
    </w:p>
    <w:p>
      <w:pPr>
        <w:pStyle w:val="FirstParagraph"/>
      </w:pPr>
      <w:r>
        <w:t xml:space="preserve">Within the physically expected regime (nanoparticle radius</w:t>
      </w:r>
      <w:r>
        <w:t xml:space="preserve"> </w:t>
      </w:r>
      <m:oMath>
        <m:r>
          <m:rPr>
            <m:sty m:val="p"/>
          </m:rPr>
          <m:t>≪</m:t>
        </m:r>
      </m:oMath>
      <w:r>
        <w:t xml:space="preserve"> </w:t>
      </w:r>
      <w:r>
        <w:t xml:space="preserve">photon MFP, energies away from the K-edge), the effective-medium model is the computationally efficient and physically accurate choice for macroscopic shielding calculations. The explicit-RVE regimes (B and C) are needed only when:</w:t>
      </w:r>
    </w:p>
    <w:p>
      <w:pPr>
        <w:pStyle w:val="Compact"/>
        <w:numPr>
          <w:ilvl w:val="0"/>
          <w:numId w:val="1005"/>
        </w:numPr>
      </w:pPr>
      <w:r>
        <w:t xml:space="preserve">Interface dose or dose-enhancement factors at the matrix–filler boundary are required.</w:t>
      </w:r>
    </w:p>
    <w:p>
      <w:pPr>
        <w:pStyle w:val="Compact"/>
        <w:numPr>
          <w:ilvl w:val="0"/>
          <w:numId w:val="1005"/>
        </w:numPr>
      </w:pPr>
      <w:r>
        <w:t xml:space="preserve">The nanoparticle size or loading approaches a regime where inter-particle coherence (for X-ray diffraction/scattering) or absorption edge microstructure effects become relevant.</w:t>
      </w:r>
    </w:p>
    <w:p>
      <w:pPr>
        <w:pStyle w:val="Compact"/>
        <w:numPr>
          <w:ilvl w:val="0"/>
          <w:numId w:val="1005"/>
        </w:numPr>
      </w:pPr>
      <w:r>
        <w:t xml:space="preserve">The application requires spatial resolution below the photon MFP.</w:t>
      </w:r>
    </w:p>
    <w:p>
      <w:pPr>
        <w:pStyle w:val="FirstParagraph"/>
      </w:pPr>
      <w:r>
        <w:t xml:space="preserve">For the 68.6 wt% Bi₂O₃/HDPE composition studied here (φ = 0.189, ρ = 2.452 g cm</w:t>
      </w:r>
      <m:oMath>
        <m:sSup>
          <m:e>
            <m:r>
              <m:t>​</m:t>
            </m:r>
          </m:e>
          <m:sup>
            <m:r>
              <m:rPr>
                <m:sty m:val="p"/>
              </m:rPr>
              <m:t>−</m:t>
            </m:r>
            <m:r>
              <m:t>3</m:t>
            </m:r>
          </m:sup>
        </m:sSup>
      </m:oMath>
      <w:r>
        <w:t xml:space="preserve">), none of these conditions are met at the macro-transport level, and regime A provides a reliable, low-cost simulation approach.</w:t>
      </w:r>
    </w:p>
    <w:p>
      <w:r>
        <w:pict>
          <v:rect style="width:0;height:1.5pt" o:hralign="center" o:hrstd="t" o:hr="t"/>
        </w:pict>
      </w:r>
    </w:p>
    <w:bookmarkEnd w:id="63"/>
    <w:bookmarkEnd w:id="64"/>
    <w:bookmarkStart w:id="65" w:name="conclusions"/>
    <w:p>
      <w:pPr>
        <w:pStyle w:val="Heading2"/>
      </w:pPr>
      <w:r>
        <w:t xml:space="preserve">7. Conclusions</w:t>
      </w:r>
    </w:p>
    <w:p>
      <w:pPr>
        <w:numPr>
          <w:ilvl w:val="0"/>
          <w:numId w:val="1006"/>
        </w:numPr>
      </w:pPr>
      <w:r>
        <w:rPr>
          <w:b/>
          <w:bCs/>
        </w:rPr>
        <w:t xml:space="preserve">Regime A(30wt) established (XCOM validation).</w:t>
      </w:r>
      <w:r>
        <w:t xml:space="preserve"> </w:t>
      </w:r>
      <w:r>
        <w:t xml:space="preserve">The effective-medium</w:t>
      </w:r>
      <w:r>
        <w:t xml:space="preserve"> </w:t>
      </w:r>
      <w:r>
        <w:rPr>
          <w:rStyle w:val="VerbatimChar"/>
        </w:rPr>
        <w:t xml:space="preserve">G4EmLivermorePhysics</w:t>
      </w:r>
      <w:r>
        <w:t xml:space="preserve"> </w:t>
      </w:r>
      <w:r>
        <w:t xml:space="preserve">model for HDPE/Bi₂O₃ 30 wt% achieves 0.549% mean and 2.013% maximum deviation against NIST XCOM over 30 keV–1.33 MeV, satisfying pre-registered paper-3 acceptance criteria. This constitutes a validated emlivermore-vs-XCOM benchmark. The cross-regime comparison uses the separate regime A(phi0p189) run at 68.6 wt% Bi₂O₃ (φ = 0.189), which uses the same composition as the explicit-RVE regimes.</w:t>
      </w:r>
    </w:p>
    <w:p>
      <w:pPr>
        <w:numPr>
          <w:ilvl w:val="0"/>
          <w:numId w:val="1006"/>
        </w:numPr>
      </w:pPr>
      <w:r>
        <w:rPr>
          <w:b/>
          <w:bCs/>
        </w:rPr>
        <w:t xml:space="preserve">Regimes B and C complete.</w:t>
      </w:r>
      <w:r>
        <w:t xml:space="preserve"> </w:t>
      </w:r>
      <w:r>
        <w:t xml:space="preserve">The</w:t>
      </w:r>
      <w:r>
        <w:t xml:space="preserve"> </w:t>
      </w:r>
      <w:r>
        <w:rPr>
          <w:rStyle w:val="VerbatimChar"/>
        </w:rPr>
        <w:t xml:space="preserve">G4PVParameterised</w:t>
      </w:r>
      <w:r>
        <w:t xml:space="preserve"> </w:t>
      </w:r>
      <w:r>
        <w:t xml:space="preserve">RVE geometry (regime B, 1 µm,</w:t>
      </w:r>
      <w:r>
        <w:t xml:space="preserve"> </w:t>
      </w:r>
      <m:oMath>
        <m:r>
          <m:t>N</m:t>
        </m:r>
        <m:r>
          <m:rPr>
            <m:sty m:val="p"/>
          </m:rPr>
          <m:t>=</m:t>
        </m:r>
        <m:r>
          <m:t>2</m:t>
        </m:r>
        <m:r>
          <m:rPr>
            <m:sty m:val="p"/>
          </m:rPr>
          <m:t>,</m:t>
        </m:r>
        <m:r>
          <m:t>888</m:t>
        </m:r>
      </m:oMath>
      <w:r>
        <w:t xml:space="preserve"> </w:t>
      </w:r>
      <w:r>
        <w:t xml:space="preserve">spheres,</w:t>
      </w:r>
      <w:r>
        <w:t xml:space="preserve"> </w:t>
      </w:r>
      <m:oMath>
        <m:sSub>
          <m:e>
            <m:r>
              <m:t>ϕ</m:t>
            </m:r>
          </m:e>
          <m:sub>
            <m:r>
              <m:t>f</m:t>
            </m:r>
          </m:sub>
        </m:sSub>
        <m:r>
          <m:rPr>
            <m:sty m:val="p"/>
          </m:rPr>
          <m:t>=</m:t>
        </m:r>
        <m:r>
          <m:t>0.1890</m:t>
        </m:r>
      </m:oMath>
      <w:r>
        <w:t xml:space="preserve">) and the</w:t>
      </w:r>
      <w:r>
        <w:t xml:space="preserve"> </w:t>
      </w:r>
      <w:r>
        <w:rPr>
          <w:rStyle w:val="VerbatimChar"/>
        </w:rPr>
        <w:t xml:space="preserve">G4MultiUnion</w:t>
      </w:r>
      <w:r>
        <w:t xml:space="preserve"> </w:t>
      </w:r>
      <w:r>
        <w:t xml:space="preserve">RVE geometry (regime C, 250 nm,</w:t>
      </w:r>
      <w:r>
        <w:t xml:space="preserve"> </w:t>
      </w:r>
      <m:oMath>
        <m:r>
          <m:t>N</m:t>
        </m:r>
        <m:r>
          <m:rPr>
            <m:sty m:val="p"/>
          </m:rPr>
          <m:t>=</m:t>
        </m:r>
        <m:r>
          <m:t>45</m:t>
        </m:r>
      </m:oMath>
      <w:r>
        <w:t xml:space="preserve"> </w:t>
      </w:r>
      <w:r>
        <w:t xml:space="preserve">spheres,</w:t>
      </w:r>
      <w:r>
        <w:t xml:space="preserve"> </w:t>
      </w:r>
      <m:oMath>
        <m:sSub>
          <m:e>
            <m:r>
              <m:t>ϕ</m:t>
            </m:r>
          </m:e>
          <m:sub>
            <m:r>
              <m:t>f</m:t>
            </m:r>
          </m:sub>
        </m:sSub>
        <m:r>
          <m:rPr>
            <m:sty m:val="p"/>
          </m:rPr>
          <m:t>=</m:t>
        </m:r>
        <m:r>
          <m:t>0.188496</m:t>
        </m:r>
      </m:oMath>
      <w:r>
        <w:t xml:space="preserve">, distributed beam) are both fully validated in ShieldLab G4 v1.1 (all 10 energies each). Regime B gives</w:t>
      </w:r>
      <w:r>
        <w:t xml:space="preserve"> </w:t>
      </w:r>
      <m:oMath>
        <m:sSub>
          <m:e>
            <m:r>
              <m:t>μ</m:t>
            </m:r>
          </m:e>
          <m:sub>
            <m:r>
              <m:t>B</m:t>
            </m:r>
          </m:sub>
        </m:sSub>
        <m:r>
          <m:rPr>
            <m:sty m:val="p"/>
          </m:rPr>
          <m:t>(</m:t>
        </m:r>
        <m:r>
          <m:t>30</m:t>
        </m:r>
        <m:r>
          <m:t> </m:t>
        </m:r>
        <m:r>
          <m:rPr>
            <m:nor/>
            <m:sty m:val="p"/>
          </m:rPr>
          <m:t>keV</m:t>
        </m:r>
        <m:r>
          <m:rPr>
            <m:sty m:val="p"/>
          </m:rPr>
          <m:t>)</m:t>
        </m:r>
        <m:r>
          <m:rPr>
            <m:sty m:val="p"/>
          </m:rPr>
          <m:t>=</m:t>
        </m:r>
        <m:r>
          <m:t>47.0</m:t>
        </m:r>
      </m:oMath>
      <w:r>
        <w:t xml:space="preserve"> </w:t>
      </w:r>
      <w:r>
        <w:t xml:space="preserve">cm</w:t>
      </w:r>
      <m:oMath>
        <m:sSup>
          <m:e>
            <m:r>
              <m:t>​</m:t>
            </m:r>
          </m:e>
          <m:sup>
            <m:r>
              <m:rPr>
                <m:sty m:val="p"/>
              </m:rPr>
              <m:t>−</m:t>
            </m:r>
            <m:r>
              <m:t>1</m:t>
            </m:r>
          </m:sup>
        </m:sSup>
      </m:oMath>
      <w:r>
        <w:t xml:space="preserve"> </w:t>
      </w:r>
      <w:r>
        <w:t xml:space="preserve">(</w:t>
      </w:r>
      <m:oMath>
        <m:r>
          <m:t>μ</m:t>
        </m:r>
        <m:r>
          <m:rPr>
            <m:sty m:val="p"/>
          </m:rPr>
          <m:t>/</m:t>
        </m:r>
        <m:r>
          <m:t>ρ</m:t>
        </m:r>
        <m:r>
          <m:rPr>
            <m:sty m:val="p"/>
          </m:rPr>
          <m:t>=</m:t>
        </m:r>
        <m:r>
          <m:t>19.19</m:t>
        </m:r>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 and correctly resolves the Bi K-edge jump (</w:t>
      </w:r>
      <m:oMath>
        <m:r>
          <m:t>μ</m:t>
        </m:r>
      </m:oMath>
      <w:r>
        <w:t xml:space="preserve"> </w:t>
      </w:r>
      <w:r>
        <w:t xml:space="preserve">rises ×2.3 from 80 to 100 keV). Regime C gives</w:t>
      </w:r>
      <w:r>
        <w:t xml:space="preserve"> </w:t>
      </w:r>
      <m:oMath>
        <m:sSub>
          <m:e>
            <m:r>
              <m:t>μ</m:t>
            </m:r>
          </m:e>
          <m:sub>
            <m:r>
              <m:t>C</m:t>
            </m:r>
          </m:sub>
        </m:sSub>
        <m:r>
          <m:rPr>
            <m:sty m:val="p"/>
          </m:rPr>
          <m:t>(</m:t>
        </m:r>
        <m:r>
          <m:t>30</m:t>
        </m:r>
        <m:r>
          <m:t> </m:t>
        </m:r>
        <m:r>
          <m:rPr>
            <m:nor/>
            <m:sty m:val="p"/>
          </m:rPr>
          <m:t>keV</m:t>
        </m:r>
        <m:r>
          <m:rPr>
            <m:sty m:val="p"/>
          </m:rPr>
          <m:t>)</m:t>
        </m:r>
        <m:r>
          <m:rPr>
            <m:sty m:val="p"/>
          </m:rPr>
          <m:t>=</m:t>
        </m:r>
        <m:r>
          <m:t>47.16</m:t>
        </m:r>
      </m:oMath>
      <w:r>
        <w:t xml:space="preserve"> </w:t>
      </w:r>
      <w:r>
        <w:t xml:space="preserve">cm</w:t>
      </w:r>
      <m:oMath>
        <m:sSup>
          <m:e>
            <m:r>
              <m:t>​</m:t>
            </m:r>
          </m:e>
          <m:sup>
            <m:r>
              <m:rPr>
                <m:sty m:val="p"/>
              </m:rPr>
              <m:t>−</m:t>
            </m:r>
            <m:r>
              <m:t>1</m:t>
            </m:r>
          </m:sup>
        </m:sSup>
      </m:oMath>
      <w:r>
        <w:t xml:space="preserve"> </w:t>
      </w:r>
      <w:r>
        <w:t xml:space="preserve">(</w:t>
      </w:r>
      <m:oMath>
        <m:r>
          <m:t>μ</m:t>
        </m:r>
        <m:r>
          <m:rPr>
            <m:sty m:val="p"/>
          </m:rPr>
          <m:t>/</m:t>
        </m:r>
        <m:r>
          <m:t>ρ</m:t>
        </m:r>
        <m:r>
          <m:rPr>
            <m:sty m:val="p"/>
          </m:rPr>
          <m:t>=</m:t>
        </m:r>
        <m:r>
          <m:t>19.23</m:t>
        </m:r>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 The</w:t>
      </w:r>
      <w:r>
        <w:t xml:space="preserve"> </w:t>
      </w:r>
      <w:r>
        <w:rPr>
          <w:rStyle w:val="VerbatimChar"/>
        </w:rPr>
        <w:t xml:space="preserve">G4Voxelizer</w:t>
      </w:r>
      <w:r>
        <w:t xml:space="preserve"> </w:t>
      </w:r>
      <m:oMath>
        <m:r>
          <m:rPr>
            <m:sty m:val="p"/>
          </m:rPr>
          <m:t>(</m:t>
        </m:r>
        <m:r>
          <m:t>2</m:t>
        </m:r>
        <m:r>
          <m:t>N</m:t>
        </m:r>
        <m:sSup>
          <m:e>
            <m:r>
              <m:rPr>
                <m:sty m:val="p"/>
              </m:rPr>
              <m:t>)</m:t>
            </m:r>
          </m:e>
          <m:sup>
            <m:r>
              <m:t>3</m:t>
            </m:r>
          </m:sup>
        </m:sSup>
      </m:oMath>
      <w:r>
        <w:t xml:space="preserve"> </w:t>
      </w:r>
      <w:r>
        <w:t xml:space="preserve">scaling limits regime C to</w:t>
      </w:r>
      <w:r>
        <w:t xml:space="preserve"> </w:t>
      </w:r>
      <m:oMath>
        <m:r>
          <m:t>N</m:t>
        </m:r>
        <m:r>
          <m:rPr>
            <m:sty m:val="p"/>
          </m:rPr>
          <m:t>≲</m:t>
        </m:r>
        <m:r>
          <m:t>50</m:t>
        </m:r>
      </m:oMath>
      <w:r>
        <w:t xml:space="preserve"> </w:t>
      </w:r>
      <w:r>
        <w:t xml:space="preserve">spheres (99 MB at</w:t>
      </w:r>
      <w:r>
        <w:t xml:space="preserve"> </w:t>
      </w:r>
      <m:oMath>
        <m:r>
          <m:t>N</m:t>
        </m:r>
        <m:r>
          <m:rPr>
            <m:sty m:val="p"/>
          </m:rPr>
          <m:t>=</m:t>
        </m:r>
        <m:r>
          <m:t>45</m:t>
        </m:r>
      </m:oMath>
      <w:r>
        <w:t xml:space="preserve">) on 8 GB hardware;</w:t>
      </w:r>
      <w:r>
        <w:t xml:space="preserve"> </w:t>
      </w:r>
      <w:r>
        <w:rPr>
          <w:rStyle w:val="VerbatimChar"/>
        </w:rPr>
        <w:t xml:space="preserve">G4PVParameterised</w:t>
      </w:r>
      <w:r>
        <w:t xml:space="preserve"> </w:t>
      </w:r>
      <w:r>
        <w:t xml:space="preserve">handles</w:t>
      </w:r>
      <w:r>
        <w:t xml:space="preserve"> </w:t>
      </w:r>
      <m:oMath>
        <m:r>
          <m:t>N</m:t>
        </m:r>
        <m:r>
          <m:rPr>
            <m:sty m:val="p"/>
          </m:rPr>
          <m:t>=</m:t>
        </m:r>
        <m:r>
          <m:t>2</m:t>
        </m:r>
        <m:r>
          <m:rPr>
            <m:sty m:val="p"/>
          </m:rPr>
          <m:t>,</m:t>
        </m:r>
        <m:r>
          <m:t>888</m:t>
        </m:r>
      </m:oMath>
      <w:r>
        <w:t xml:space="preserve"> </w:t>
      </w:r>
      <w:r>
        <w:t xml:space="preserve">with negligible overhead and is the recommended approach when</w:t>
      </w:r>
      <w:r>
        <w:t xml:space="preserve"> </w:t>
      </w:r>
      <m:oMath>
        <m:r>
          <m:t>N</m:t>
        </m:r>
        <m:r>
          <m:rPr>
            <m:sty m:val="p"/>
          </m:rPr>
          <m:t>&gt;</m:t>
        </m:r>
        <m:r>
          <m:t>100</m:t>
        </m:r>
      </m:oMath>
      <w:r>
        <w:t xml:space="preserve">.</w:t>
      </w:r>
    </w:p>
    <w:p>
      <w:pPr>
        <w:numPr>
          <w:ilvl w:val="0"/>
          <w:numId w:val="1006"/>
        </w:numPr>
      </w:pPr>
      <w:r>
        <w:rPr>
          <w:b/>
          <w:bCs/>
        </w:rPr>
        <w:t xml:space="preserve">H1 test: confirmed for all three regimes A+B+C at 30–150 keV.</w:t>
      </w:r>
      <w:r>
        <w:t xml:space="preserve"> </w:t>
      </w:r>
      <w:r>
        <w:t xml:space="preserve">Regime B vs regime A(phi0p189) gives</w:t>
      </w:r>
      <w:r>
        <w:t xml:space="preserve"> </w:t>
      </w:r>
      <m:oMath>
        <m:sSub>
          <m:e>
            <m:r>
              <m:t>μ</m:t>
            </m:r>
          </m:e>
          <m:sub>
            <m:r>
              <m:t>B</m:t>
            </m:r>
          </m:sub>
        </m:sSub>
        <m:r>
          <m:rPr>
            <m:sty m:val="p"/>
          </m:rPr>
          <m:t>/</m:t>
        </m:r>
        <m:sSub>
          <m:e>
            <m:r>
              <m:t>μ</m:t>
            </m:r>
          </m:e>
          <m:sub>
            <m:r>
              <m:t>A</m:t>
            </m:r>
            <m:r>
              <m:rPr>
                <m:sty m:val="p"/>
              </m:rPr>
              <m:t>,</m:t>
            </m:r>
            <m:r>
              <m:t>ϕ</m:t>
            </m:r>
          </m:sub>
        </m:sSub>
      </m:oMath>
      <w:r>
        <w:t xml:space="preserve"> </w:t>
      </w:r>
      <w:r>
        <w:t xml:space="preserve">in the range 0.975–0.984 (mean deviation −2.1%, within the 3% H1 gate). Regime C vs regime A(phi0p189) gives</w:t>
      </w:r>
      <w:r>
        <w:t xml:space="preserve"> </w:t>
      </w:r>
      <m:oMath>
        <m:sSub>
          <m:e>
            <m:r>
              <m:t>μ</m:t>
            </m:r>
          </m:e>
          <m:sub>
            <m:r>
              <m:t>C</m:t>
            </m:r>
          </m:sub>
        </m:sSub>
        <m:r>
          <m:rPr>
            <m:sty m:val="p"/>
          </m:rPr>
          <m:t>/</m:t>
        </m:r>
        <m:sSub>
          <m:e>
            <m:r>
              <m:t>μ</m:t>
            </m:r>
          </m:e>
          <m:sub>
            <m:r>
              <m:t>A</m:t>
            </m:r>
            <m:r>
              <m:rPr>
                <m:sty m:val="p"/>
              </m:rPr>
              <m:t>,</m:t>
            </m:r>
            <m:r>
              <m:t>ϕ</m:t>
            </m:r>
          </m:sub>
        </m:sSub>
      </m:oMath>
      <w:r>
        <w:t xml:space="preserve"> </w:t>
      </w:r>
      <w:r>
        <w:t xml:space="preserve">in the range 0.982–1.016 (mean</w:t>
      </w:r>
      <w:r>
        <w:t xml:space="preserve"> </w:t>
      </w:r>
      <m:oMath>
        <m:r>
          <m:rPr>
            <m:sty m:val="p"/>
          </m:rPr>
          <m:t>|</m:t>
        </m:r>
        <m:r>
          <m:rPr>
            <m:nor/>
            <m:sty m:val="p"/>
          </m:rPr>
          <m:t>deviation</m:t>
        </m:r>
        <m:r>
          <m:rPr>
            <m:sty m:val="p"/>
          </m:rPr>
          <m:t>|</m:t>
        </m:r>
      </m:oMath>
      <w:r>
        <w:t xml:space="preserve"> </w:t>
      </w:r>
      <w:r>
        <w:t xml:space="preserve">1.5%, within the 3% H1 gate). Both regime B and regime C agree with NIST XCOM to within the 5% max gate at 30–150 keV. The ~2% systematic offset of regime B relative to regime A is consistent with RVE boundary-layer effects; regime C shows no systematic offset, consistent with ergodic averaging via distributed beam. High-energy points (≥ 356 keV) are statistically limited for both RVE regimes and cannot be interpreted as physics deviations; regime A(phi0p189) provides the reliable µ reference there.</w:t>
      </w:r>
    </w:p>
    <w:p>
      <w:pPr>
        <w:numPr>
          <w:ilvl w:val="0"/>
          <w:numId w:val="1006"/>
        </w:numPr>
      </w:pPr>
      <w:r>
        <w:rPr>
          <w:b/>
          <w:bCs/>
        </w:rPr>
        <w:t xml:space="preserve">Reproducible harness delivered.</w:t>
      </w:r>
      <w:r>
        <w:t xml:space="preserve"> </w:t>
      </w:r>
      <w:r>
        <w:t xml:space="preserve">All study configuration files, macro writer, benchmark orchestrator, XCOM comparison, and figure generation modules are open-source in ShieldLab G4 v1.1. The full benchmark can be re-executed by any group with access to Geant4 11.4 using</w:t>
      </w:r>
      <w:r>
        <w:t xml:space="preserve"> </w:t>
      </w:r>
      <w:r>
        <w:rPr>
          <w:rStyle w:val="VerbatimChar"/>
        </w:rPr>
        <w:t xml:space="preserve">python -m shieldlab.analysis.nano_benchmark</w:t>
      </w:r>
      <w:r>
        <w:t xml:space="preserve">.</w:t>
      </w:r>
    </w:p>
    <w:p>
      <w:r>
        <w:pict>
          <v:rect style="width:0;height:1.5pt" o:hralign="center" o:hrstd="t" o:hr="t"/>
        </w:pict>
      </w:r>
    </w:p>
    <w:bookmarkEnd w:id="65"/>
    <w:bookmarkStart w:id="66" w:name="limitations-and-validity-scope"/>
    <w:p>
      <w:pPr>
        <w:pStyle w:val="Heading2"/>
      </w:pPr>
      <w:r>
        <w:t xml:space="preserve">8. Limitations and Validity Scope</w:t>
      </w:r>
    </w:p>
    <w:p>
      <w:pPr>
        <w:pStyle w:val="Compact"/>
        <w:numPr>
          <w:ilvl w:val="0"/>
          <w:numId w:val="1007"/>
        </w:numPr>
      </w:pPr>
      <w:r>
        <w:rPr>
          <w:b/>
          <w:bCs/>
        </w:rPr>
        <w:t xml:space="preserve">RVE size selection.</w:t>
      </w:r>
      <w:r>
        <w:t xml:space="preserve"> </w:t>
      </w:r>
      <w:r>
        <w:t xml:space="preserve">Regime B used a 1 µm RVE (</w:t>
      </w:r>
      <m:oMath>
        <m:r>
          <m:t>N</m:t>
        </m:r>
        <m:r>
          <m:rPr>
            <m:sty m:val="p"/>
          </m:rPr>
          <m:t>=</m:t>
        </m:r>
        <m:r>
          <m:t>2</m:t>
        </m:r>
        <m:r>
          <m:rPr>
            <m:sty m:val="p"/>
          </m:rPr>
          <m:t>,</m:t>
        </m:r>
        <m:r>
          <m:t>888</m:t>
        </m:r>
      </m:oMath>
      <w:r>
        <w:t xml:space="preserve"> </w:t>
      </w:r>
      <w:r>
        <w:t xml:space="preserve">spheres); regime C required a 250 nm RVE (</w:t>
      </w:r>
      <m:oMath>
        <m:r>
          <m:t>N</m:t>
        </m:r>
        <m:r>
          <m:rPr>
            <m:sty m:val="p"/>
          </m:rPr>
          <m:t>=</m:t>
        </m:r>
        <m:r>
          <m:t>45</m:t>
        </m:r>
      </m:oMath>
      <w:r>
        <w:t xml:space="preserve">) due to</w:t>
      </w:r>
      <w:r>
        <w:t xml:space="preserve"> </w:t>
      </w:r>
      <w:r>
        <w:rPr>
          <w:rStyle w:val="VerbatimChar"/>
        </w:rPr>
        <w:t xml:space="preserve">G4Voxelizer</w:t>
      </w:r>
      <w:r>
        <w:t xml:space="preserve"> </w:t>
      </w:r>
      <w:r>
        <w:t xml:space="preserve">memory constraints (§5.3). A systematic RVE-convergence study (varying</w:t>
      </w:r>
      <w:r>
        <w:t xml:space="preserve"> </w:t>
      </w:r>
      <m:oMath>
        <m:sSub>
          <m:e>
            <m:r>
              <m:t>L</m:t>
            </m:r>
          </m:e>
          <m:sub>
            <m:r>
              <m:rPr>
                <m:nor/>
                <m:sty m:val="p"/>
              </m:rPr>
              <m:t>RVE</m:t>
            </m:r>
          </m:sub>
        </m:sSub>
      </m:oMath>
      <w:r>
        <w:t xml:space="preserve">) is deferred to a future version.</w:t>
      </w:r>
    </w:p>
    <w:p>
      <w:pPr>
        <w:pStyle w:val="Compact"/>
        <w:numPr>
          <w:ilvl w:val="0"/>
          <w:numId w:val="1007"/>
        </w:numPr>
      </w:pPr>
      <w:r>
        <w:rPr>
          <w:b/>
          <w:bCs/>
        </w:rPr>
        <w:t xml:space="preserve">Single material composition.</w:t>
      </w:r>
      <w:r>
        <w:t xml:space="preserve"> </w:t>
      </w:r>
      <w:r>
        <w:t xml:space="preserve">Only HDPE/Bi₂O₃ at</w:t>
      </w:r>
      <w:r>
        <w:t xml:space="preserve"> </w:t>
      </w:r>
      <m:oMath>
        <m:sSub>
          <m:e>
            <m:r>
              <m:t>ϕ</m:t>
            </m:r>
          </m:e>
          <m:sub>
            <m:r>
              <m:t>f</m:t>
            </m:r>
          </m:sub>
        </m:sSub>
        <m:r>
          <m:rPr>
            <m:sty m:val="p"/>
          </m:rPr>
          <m:t>=</m:t>
        </m:r>
        <m:r>
          <m:t>0.189</m:t>
        </m:r>
      </m:oMath>
      <w:r>
        <w:t xml:space="preserve"> </w:t>
      </w:r>
      <w:r>
        <w:t xml:space="preserve">(68.6 wt% Bi₂O₃, ρ = 2.452 g cm</w:t>
      </w:r>
      <m:oMath>
        <m:sSup>
          <m:e>
            <m:r>
              <m:t>​</m:t>
            </m:r>
          </m:e>
          <m:sup>
            <m:r>
              <m:rPr>
                <m:sty m:val="p"/>
              </m:rPr>
              <m:t>−</m:t>
            </m:r>
            <m:r>
              <m:t>3</m:t>
            </m:r>
          </m:sup>
        </m:sSup>
      </m:oMath>
      <w:r>
        <w:t xml:space="preserve">) is reported for the cross-regime comparison. An additional emlivermore XCOM validation at 30 wt% is included. Extension to additional matrix/filler combinations (WO₃, BaSO₄, varied loadings) is planned for the full regime-map study.</w:t>
      </w:r>
    </w:p>
    <w:p>
      <w:pPr>
        <w:pStyle w:val="Compact"/>
        <w:numPr>
          <w:ilvl w:val="0"/>
          <w:numId w:val="1007"/>
        </w:numPr>
      </w:pPr>
      <w:r>
        <w:rPr>
          <w:b/>
          <w:bCs/>
        </w:rPr>
        <w:t xml:space="preserve">Macroscopic transmission only.</w:t>
      </w:r>
      <w:r>
        <w:t xml:space="preserve"> </w:t>
      </w:r>
      <w:r>
        <w:t xml:space="preserve">Interface dose-enhancement factors (H2 test) require phase-resolved scoring that is not implemented in the current RVE geometry setup.</w:t>
      </w:r>
    </w:p>
    <w:p>
      <w:pPr>
        <w:pStyle w:val="Compact"/>
        <w:numPr>
          <w:ilvl w:val="0"/>
          <w:numId w:val="1007"/>
        </w:numPr>
      </w:pPr>
      <w:r>
        <w:rPr>
          <w:b/>
          <w:bCs/>
        </w:rPr>
        <w:t xml:space="preserve">1-D slab transport.</w:t>
      </w:r>
      <w:r>
        <w:t xml:space="preserve"> </w:t>
      </w:r>
      <w:r>
        <w:t xml:space="preserve">Full 3-D geometry is out of scope for this paper.</w:t>
      </w:r>
    </w:p>
    <w:p>
      <w:pPr>
        <w:pStyle w:val="Compact"/>
        <w:numPr>
          <w:ilvl w:val="0"/>
          <w:numId w:val="1007"/>
        </w:numPr>
      </w:pPr>
      <w:r>
        <w:rPr>
          <w:b/>
          <w:bCs/>
        </w:rPr>
        <w:t xml:space="preserve">Photon-only benchmark.</w:t>
      </w:r>
      <w:r>
        <w:t xml:space="preserve"> </w:t>
      </w:r>
      <w:r>
        <w:t xml:space="preserve">Neutron and charged-particle behaviour through nanocomposites is not addressed.</w:t>
      </w:r>
    </w:p>
    <w:p>
      <w:pPr>
        <w:pStyle w:val="Compact"/>
        <w:numPr>
          <w:ilvl w:val="0"/>
          <w:numId w:val="1007"/>
        </w:numPr>
      </w:pPr>
      <w:r>
        <w:rPr>
          <w:b/>
          <w:bCs/>
        </w:rPr>
        <w:t xml:space="preserve">Density input.</w:t>
      </w:r>
      <w:r>
        <w:t xml:space="preserve"> </w:t>
      </w:r>
      <m:oMath>
        <m:sSub>
          <m:e>
            <m:r>
              <m:t>ρ</m:t>
            </m:r>
          </m:e>
          <m:sub>
            <m:r>
              <m:rPr>
                <m:nor/>
                <m:sty m:val="p"/>
              </m:rPr>
              <m:t>eff</m:t>
            </m:r>
          </m:sub>
        </m:sSub>
        <m:r>
          <m:rPr>
            <m:sty m:val="p"/>
          </m:rPr>
          <m:t>=</m:t>
        </m:r>
        <m:r>
          <m:t>2.452</m:t>
        </m:r>
      </m:oMath>
      <w:r>
        <w:t xml:space="preserve"> </w:t>
      </w:r>
      <w:r>
        <w:t xml:space="preserve">g cm</w:t>
      </w:r>
      <m:oMath>
        <m:sSup>
          <m:e>
            <m:r>
              <m:t>​</m:t>
            </m:r>
          </m:e>
          <m:sup>
            <m:r>
              <m:rPr>
                <m:sty m:val="p"/>
              </m:rPr>
              <m:t>−</m:t>
            </m:r>
            <m:r>
              <m:t>3</m:t>
            </m:r>
          </m:sup>
        </m:sSup>
      </m:oMath>
      <w:r>
        <w:t xml:space="preserve"> </w:t>
      </w:r>
      <w:r>
        <w:t xml:space="preserve">(cross-regime comparison) and</w:t>
      </w:r>
      <w:r>
        <w:t xml:space="preserve"> </w:t>
      </w:r>
      <m:oMath>
        <m:r>
          <m:t>ρ</m:t>
        </m:r>
        <m:r>
          <m:rPr>
            <m:sty m:val="p"/>
          </m:rPr>
          <m:t>=</m:t>
        </m:r>
        <m:r>
          <m:t>2.45</m:t>
        </m:r>
      </m:oMath>
      <w:r>
        <w:t xml:space="preserve"> </w:t>
      </w:r>
      <w:r>
        <w:t xml:space="preserve">g cm</w:t>
      </w:r>
      <m:oMath>
        <m:sSup>
          <m:e>
            <m:r>
              <m:t>​</m:t>
            </m:r>
          </m:e>
          <m:sup>
            <m:r>
              <m:rPr>
                <m:sty m:val="p"/>
              </m:rPr>
              <m:t>−</m:t>
            </m:r>
            <m:r>
              <m:t>3</m:t>
            </m:r>
          </m:sup>
        </m:sSup>
      </m:oMath>
      <w:r>
        <w:t xml:space="preserve"> </w:t>
      </w:r>
      <w:r>
        <w:t xml:space="preserve">(regime A 30 wt% XCOM validation) are both derived from the volume-fraction rule or user-specified literature values; no measured densities are available at this time. Results carry the provenance tag</w:t>
      </w:r>
      <w:r>
        <w:t xml:space="preserve"> </w:t>
      </w:r>
      <w:r>
        <w:rPr>
          <w:rStyle w:val="VerbatimChar"/>
        </w:rPr>
        <w:t xml:space="preserve">[ρ-volume-rule]</w:t>
      </w:r>
      <w:r>
        <w:t xml:space="preserve">.</w:t>
      </w:r>
    </w:p>
    <w:p>
      <w:r>
        <w:pict>
          <v:rect style="width:0;height:1.5pt" o:hralign="center" o:hrstd="t" o:hr="t"/>
        </w:pict>
      </w:r>
    </w:p>
    <w:bookmarkEnd w:id="66"/>
    <w:bookmarkStart w:id="68" w:name="X2d8f1b2f27b31457b82c6dbfacb1816390ebf9a"/>
    <w:p>
      <w:pPr>
        <w:pStyle w:val="Heading2"/>
      </w:pPr>
      <w:r>
        <w:t xml:space="preserve">9. Reproducibility, Code Availability, and Ethics</w:t>
      </w:r>
    </w:p>
    <w:p>
      <w:pPr>
        <w:pStyle w:val="Compact"/>
        <w:numPr>
          <w:ilvl w:val="0"/>
          <w:numId w:val="1008"/>
        </w:numPr>
      </w:pPr>
      <w:r>
        <w:rPr>
          <w:b/>
          <w:bCs/>
        </w:rPr>
        <w:t xml:space="preserve">Software availability:</w:t>
      </w:r>
      <w:r>
        <w:t xml:space="preserve"> </w:t>
      </w:r>
      <w:r>
        <w:t xml:space="preserve">ShieldLab G4 v1.1 (tag to be assigned upon paper submission), released under the MIT licence. Source code is available at the repository root</w:t>
      </w:r>
      <w:r>
        <w:t xml:space="preserve"> </w:t>
      </w:r>
      <w:hyperlink r:id="rId67">
        <w:r>
          <w:rPr>
            <w:rStyle w:val="Hyperlink"/>
          </w:rPr>
          <w:t xml:space="preserve">README.md</w:t>
        </w:r>
      </w:hyperlink>
      <w:r>
        <w:t xml:space="preserve">.</w:t>
      </w:r>
    </w:p>
    <w:p>
      <w:pPr>
        <w:pStyle w:val="Compact"/>
        <w:numPr>
          <w:ilvl w:val="0"/>
          <w:numId w:val="1008"/>
        </w:numPr>
      </w:pPr>
      <w:r>
        <w:rPr>
          <w:b/>
          <w:bCs/>
        </w:rPr>
        <w:t xml:space="preserve">Data availability:</w:t>
      </w:r>
      <w:r>
        <w:t xml:space="preserve"> </w:t>
      </w:r>
      <w:r>
        <w:t xml:space="preserve">benchmark study JSON files, raw scorer outputs, derived CSV files, and figure-generation scripts for this paper are released in</w:t>
      </w:r>
      <w:r>
        <w:t xml:space="preserve"> </w:t>
      </w:r>
      <w:r>
        <w:rPr>
          <w:rStyle w:val="VerbatimChar"/>
        </w:rPr>
        <w:t xml:space="preserve">results/paper3/</w:t>
      </w:r>
      <w:r>
        <w:t xml:space="preserve"> </w:t>
      </w:r>
      <w:r>
        <w:t xml:space="preserve">under CC-BY 4.0.</w:t>
      </w:r>
    </w:p>
    <w:p>
      <w:pPr>
        <w:pStyle w:val="Compact"/>
        <w:numPr>
          <w:ilvl w:val="0"/>
          <w:numId w:val="1008"/>
        </w:numPr>
      </w:pPr>
      <w:r>
        <w:rPr>
          <w:b/>
          <w:bCs/>
        </w:rPr>
        <w:t xml:space="preserve">Compute environment:</w:t>
      </w:r>
      <w:r>
        <w:t xml:space="preserve"> </w:t>
      </w:r>
      <w:r>
        <w:t xml:space="preserve">Geant4 11.4-beta-01 on WSL Ubuntu 22.04, Python 3.11 (Windows host),</w:t>
      </w:r>
      <w:r>
        <w:t xml:space="preserve"> </w:t>
      </w:r>
      <w:r>
        <w:rPr>
          <w:rStyle w:val="VerbatimChar"/>
        </w:rPr>
        <w:t xml:space="preserve">d:\uv_envs</w:t>
      </w:r>
      <w:r>
        <w:t xml:space="preserve"> </w:t>
      </w:r>
      <w:r>
        <w:t xml:space="preserve">virtual environment.</w:t>
      </w:r>
    </w:p>
    <w:p>
      <w:pPr>
        <w:pStyle w:val="Compact"/>
        <w:numPr>
          <w:ilvl w:val="0"/>
          <w:numId w:val="1008"/>
        </w:numPr>
      </w:pPr>
      <w:r>
        <w:rPr>
          <w:b/>
          <w:bCs/>
        </w:rPr>
        <w:t xml:space="preserve">Ethics statement:</w:t>
      </w:r>
      <w:r>
        <w:t xml:space="preserve"> </w:t>
      </w:r>
      <w:r>
        <w:t xml:space="preserve">this study used no human participants, no animal data, and no clinical data.</w:t>
      </w:r>
    </w:p>
    <w:p>
      <w:pPr>
        <w:pStyle w:val="Compact"/>
        <w:numPr>
          <w:ilvl w:val="0"/>
          <w:numId w:val="1008"/>
        </w:numPr>
      </w:pPr>
      <w:r>
        <w:rPr>
          <w:b/>
          <w:bCs/>
        </w:rPr>
        <w:t xml:space="preserve">Funding statement:</w:t>
      </w:r>
      <w:r>
        <w:t xml:space="preserve"> </w:t>
      </w:r>
      <w:r>
        <w:t xml:space="preserve">no external funding was received for this work.</w:t>
      </w:r>
    </w:p>
    <w:p>
      <w:pPr>
        <w:pStyle w:val="Compact"/>
        <w:numPr>
          <w:ilvl w:val="0"/>
          <w:numId w:val="1008"/>
        </w:numPr>
      </w:pPr>
      <w:r>
        <w:rPr>
          <w:b/>
          <w:bCs/>
        </w:rPr>
        <w:t xml:space="preserve">Conflict of interest statement:</w:t>
      </w:r>
      <w:r>
        <w:t xml:space="preserve"> </w:t>
      </w:r>
      <w:r>
        <w:t xml:space="preserve">the author declares no conflict of interest.</w:t>
      </w:r>
    </w:p>
    <w:p>
      <w:pPr>
        <w:pStyle w:val="Compact"/>
        <w:numPr>
          <w:ilvl w:val="0"/>
          <w:numId w:val="1008"/>
        </w:numPr>
      </w:pPr>
      <w:r>
        <w:rPr>
          <w:b/>
          <w:bCs/>
        </w:rPr>
        <w:t xml:space="preserve">AI-assisted writing disclosure:</w:t>
      </w:r>
      <w:r>
        <w:t xml:space="preserve"> </w:t>
      </w:r>
      <w:r>
        <w:t xml:space="preserve">portions of the manuscript were drafted with the assistance of GitHub Copilot in agent mode; all physics claims, results, citations, and code were independently verified by the author before submission, consistent with COPE 2023 guidance.</w:t>
      </w:r>
    </w:p>
    <w:p>
      <w:r>
        <w:pict>
          <v:rect style="width:0;height:1.5pt" o:hralign="center" o:hrstd="t" o:hr="t"/>
        </w:pict>
      </w:r>
    </w:p>
    <w:bookmarkEnd w:id="68"/>
    <w:bookmarkStart w:id="78" w:name="references"/>
    <w:p>
      <w:pPr>
        <w:pStyle w:val="Heading2"/>
      </w:pPr>
      <w:r>
        <w:t xml:space="preserve">10. References</w:t>
      </w:r>
    </w:p>
    <w:p>
      <w:pPr>
        <w:pStyle w:val="Compact"/>
        <w:numPr>
          <w:ilvl w:val="0"/>
          <w:numId w:val="1009"/>
        </w:numPr>
      </w:pPr>
      <w:r>
        <w:t xml:space="preserve">S. Agostinelli et al.,</w:t>
      </w:r>
      <w:r>
        <w:t xml:space="preserve"> </w:t>
      </w:r>
      <w:r>
        <w:t xml:space="preserve">“Geant4 — a simulation toolkit,”</w:t>
      </w:r>
      <w:r>
        <w:t xml:space="preserve"> </w:t>
      </w:r>
      <w:r>
        <w:rPr>
          <w:i/>
          <w:iCs/>
        </w:rPr>
        <w:t xml:space="preserve">Nucl. Instrum. Methods Phys. Res. A</w:t>
      </w:r>
      <w:r>
        <w:t xml:space="preserve"> </w:t>
      </w:r>
      <w:r>
        <w:rPr>
          <w:b/>
          <w:bCs/>
        </w:rPr>
        <w:t xml:space="preserve">506</w:t>
      </w:r>
      <w:r>
        <w:t xml:space="preserve">, 250–303 (2003). DOI:</w:t>
      </w:r>
      <w:r>
        <w:t xml:space="preserve"> </w:t>
      </w:r>
      <w:hyperlink r:id="rId69">
        <w:r>
          <w:rPr>
            <w:rStyle w:val="Hyperlink"/>
          </w:rPr>
          <w:t xml:space="preserve">10.1016/S0168-9002(03)01368-8</w:t>
        </w:r>
      </w:hyperlink>
      <w:r>
        <w:t xml:space="preserve">.</w:t>
      </w:r>
    </w:p>
    <w:p>
      <w:pPr>
        <w:pStyle w:val="Compact"/>
        <w:numPr>
          <w:ilvl w:val="0"/>
          <w:numId w:val="1009"/>
        </w:numPr>
      </w:pPr>
      <w:r>
        <w:t xml:space="preserve">J. Allison et al.,</w:t>
      </w:r>
      <w:r>
        <w:t xml:space="preserve"> </w:t>
      </w:r>
      <w:r>
        <w:t xml:space="preserve">“Geant4 developments and applications,”</w:t>
      </w:r>
      <w:r>
        <w:t xml:space="preserve"> </w:t>
      </w:r>
      <w:r>
        <w:rPr>
          <w:i/>
          <w:iCs/>
        </w:rPr>
        <w:t xml:space="preserve">IEEE Trans. Nucl. Sci.</w:t>
      </w:r>
      <w:r>
        <w:t xml:space="preserve"> </w:t>
      </w:r>
      <w:r>
        <w:rPr>
          <w:b/>
          <w:bCs/>
        </w:rPr>
        <w:t xml:space="preserve">53</w:t>
      </w:r>
      <w:r>
        <w:t xml:space="preserve">, 270–278 (2006). DOI:</w:t>
      </w:r>
      <w:r>
        <w:t xml:space="preserve"> </w:t>
      </w:r>
      <w:hyperlink r:id="rId70">
        <w:r>
          <w:rPr>
            <w:rStyle w:val="Hyperlink"/>
          </w:rPr>
          <w:t xml:space="preserve">10.1109/TNS.2006.869826</w:t>
        </w:r>
      </w:hyperlink>
      <w:r>
        <w:t xml:space="preserve">.</w:t>
      </w:r>
    </w:p>
    <w:p>
      <w:pPr>
        <w:pStyle w:val="Compact"/>
        <w:numPr>
          <w:ilvl w:val="0"/>
          <w:numId w:val="1009"/>
        </w:numPr>
      </w:pPr>
      <w:r>
        <w:t xml:space="preserve">J. Allison et al.,</w:t>
      </w:r>
      <w:r>
        <w:t xml:space="preserve"> </w:t>
      </w:r>
      <w:r>
        <w:t xml:space="preserve">“Recent developments in Geant4,”</w:t>
      </w:r>
      <w:r>
        <w:t xml:space="preserve"> </w:t>
      </w:r>
      <w:r>
        <w:rPr>
          <w:i/>
          <w:iCs/>
        </w:rPr>
        <w:t xml:space="preserve">Nucl. Instrum. Methods Phys. Res. A</w:t>
      </w:r>
      <w:r>
        <w:t xml:space="preserve"> </w:t>
      </w:r>
      <w:r>
        <w:rPr>
          <w:b/>
          <w:bCs/>
        </w:rPr>
        <w:t xml:space="preserve">835</w:t>
      </w:r>
      <w:r>
        <w:t xml:space="preserve">, 186–225 (2016). DOI:</w:t>
      </w:r>
      <w:r>
        <w:t xml:space="preserve"> </w:t>
      </w:r>
      <w:hyperlink r:id="rId71">
        <w:r>
          <w:rPr>
            <w:rStyle w:val="Hyperlink"/>
          </w:rPr>
          <w:t xml:space="preserve">10.1016/j.nima.2016.06.125</w:t>
        </w:r>
      </w:hyperlink>
      <w:r>
        <w:t xml:space="preserve">.</w:t>
      </w:r>
    </w:p>
    <w:p>
      <w:pPr>
        <w:pStyle w:val="Compact"/>
        <w:numPr>
          <w:ilvl w:val="0"/>
          <w:numId w:val="1009"/>
        </w:numPr>
      </w:pPr>
      <w:r>
        <w:t xml:space="preserve">J. H. Hubbell,</w:t>
      </w:r>
      <w:r>
        <w:t xml:space="preserve"> </w:t>
      </w:r>
      <w:r>
        <w:t xml:space="preserve">“Photon mass attenuation and energy-absorption coefficients from 1 keV to 20 MeV,”</w:t>
      </w:r>
      <w:r>
        <w:t xml:space="preserve"> </w:t>
      </w:r>
      <w:r>
        <w:rPr>
          <w:i/>
          <w:iCs/>
        </w:rPr>
        <w:t xml:space="preserve">Int. J. Appl. Radiat. Isot.</w:t>
      </w:r>
      <w:r>
        <w:t xml:space="preserve"> </w:t>
      </w:r>
      <w:r>
        <w:rPr>
          <w:b/>
          <w:bCs/>
        </w:rPr>
        <w:t xml:space="preserve">33</w:t>
      </w:r>
      <w:r>
        <w:t xml:space="preserve">, 1269–1290 (1982). DOI:</w:t>
      </w:r>
      <w:r>
        <w:t xml:space="preserve"> </w:t>
      </w:r>
      <w:hyperlink r:id="rId72">
        <w:r>
          <w:rPr>
            <w:rStyle w:val="Hyperlink"/>
          </w:rPr>
          <w:t xml:space="preserve">10.1016/0020-708X(82)90248-4</w:t>
        </w:r>
      </w:hyperlink>
      <w:r>
        <w:t xml:space="preserve">.</w:t>
      </w:r>
    </w:p>
    <w:p>
      <w:pPr>
        <w:pStyle w:val="Compact"/>
        <w:numPr>
          <w:ilvl w:val="0"/>
          <w:numId w:val="1009"/>
        </w:numPr>
      </w:pPr>
      <w:r>
        <w:t xml:space="preserve">J. H. Hubbell,</w:t>
      </w:r>
      <w:r>
        <w:t xml:space="preserve"> </w:t>
      </w:r>
      <w:r>
        <w:t xml:space="preserve">“Review of photon interaction cross-section data in the medical and biological context,”</w:t>
      </w:r>
      <w:r>
        <w:t xml:space="preserve"> </w:t>
      </w:r>
      <w:r>
        <w:rPr>
          <w:i/>
          <w:iCs/>
        </w:rPr>
        <w:t xml:space="preserve">Phys. Med. Biol.</w:t>
      </w:r>
      <w:r>
        <w:t xml:space="preserve"> </w:t>
      </w:r>
      <w:r>
        <w:rPr>
          <w:b/>
          <w:bCs/>
        </w:rPr>
        <w:t xml:space="preserve">44</w:t>
      </w:r>
      <w:r>
        <w:t xml:space="preserve">, R1–R22 (1999). DOI:</w:t>
      </w:r>
      <w:r>
        <w:t xml:space="preserve"> </w:t>
      </w:r>
      <w:hyperlink r:id="rId73">
        <w:r>
          <w:rPr>
            <w:rStyle w:val="Hyperlink"/>
          </w:rPr>
          <w:t xml:space="preserve">10.1088/0031-9155/44/1/001</w:t>
        </w:r>
      </w:hyperlink>
      <w:r>
        <w:t xml:space="preserve">.</w:t>
      </w:r>
    </w:p>
    <w:p>
      <w:pPr>
        <w:pStyle w:val="Compact"/>
        <w:numPr>
          <w:ilvl w:val="0"/>
          <w:numId w:val="1009"/>
        </w:numPr>
      </w:pPr>
      <w:r>
        <w:t xml:space="preserve">M. J. Berger, J. H. Hubbell, S. M. Seltzer, J. Chang, J. S. Coursey, R. Sukumar, D. S. Zucker, K. Olsen,</w:t>
      </w:r>
      <w:r>
        <w:t xml:space="preserve"> </w:t>
      </w:r>
      <w:r>
        <w:rPr>
          <w:i/>
          <w:iCs/>
        </w:rPr>
        <w:t xml:space="preserve">XCOM: Photon Cross Section Database</w:t>
      </w:r>
      <w:r>
        <w:t xml:space="preserve">, NIST SRD 8 (XGAM), NIST, Gaithersburg MD. URL:</w:t>
      </w:r>
      <w:r>
        <w:t xml:space="preserve"> </w:t>
      </w:r>
      <w:hyperlink r:id="rId74">
        <w:r>
          <w:rPr>
            <w:rStyle w:val="Hyperlink"/>
          </w:rPr>
          <w:t xml:space="preserve">https://physics.nist.gov/xcom</w:t>
        </w:r>
      </w:hyperlink>
      <w:r>
        <w:t xml:space="preserve">.</w:t>
      </w:r>
    </w:p>
    <w:p>
      <w:pPr>
        <w:pStyle w:val="Compact"/>
        <w:numPr>
          <w:ilvl w:val="0"/>
          <w:numId w:val="1009"/>
        </w:numPr>
      </w:pPr>
      <w:r>
        <w:t xml:space="preserve">J. H. Hubbell and S. M. Seltzer,</w:t>
      </w:r>
      <w:r>
        <w:t xml:space="preserve"> </w:t>
      </w:r>
      <w:r>
        <w:rPr>
          <w:i/>
          <w:iCs/>
        </w:rPr>
        <w:t xml:space="preserve">Tables of X-Ray Mass Attenuation Coefficients and Mass Energy-Absorption Coefficients from 1 keV to 20 MeV for Elements Z = 1–92 and 48 Additional Substances of Dosimetric Interest</w:t>
      </w:r>
      <w:r>
        <w:t xml:space="preserve">, NISTIR 5632 (1995).</w:t>
      </w:r>
    </w:p>
    <w:p>
      <w:pPr>
        <w:pStyle w:val="Compact"/>
        <w:numPr>
          <w:ilvl w:val="0"/>
          <w:numId w:val="1009"/>
        </w:numPr>
      </w:pPr>
      <w:r>
        <w:t xml:space="preserve">S. Incerti et al.,</w:t>
      </w:r>
      <w:r>
        <w:t xml:space="preserve"> </w:t>
      </w:r>
      <w:r>
        <w:t xml:space="preserve">“Comparison of Geant4 very low energy cross-section models with experimental data in water,”</w:t>
      </w:r>
      <w:r>
        <w:t xml:space="preserve"> </w:t>
      </w:r>
      <w:r>
        <w:rPr>
          <w:i/>
          <w:iCs/>
        </w:rPr>
        <w:t xml:space="preserve">Med. Phys.</w:t>
      </w:r>
      <w:r>
        <w:t xml:space="preserve"> </w:t>
      </w:r>
      <w:r>
        <w:rPr>
          <w:b/>
          <w:bCs/>
        </w:rPr>
        <w:t xml:space="preserve">37</w:t>
      </w:r>
      <w:r>
        <w:t xml:space="preserve">, 4692–4708 (2010). DOI:</w:t>
      </w:r>
      <w:r>
        <w:t xml:space="preserve"> </w:t>
      </w:r>
      <w:hyperlink r:id="rId75">
        <w:r>
          <w:rPr>
            <w:rStyle w:val="Hyperlink"/>
          </w:rPr>
          <w:t xml:space="preserve">10.1118/1.3476457</w:t>
        </w:r>
      </w:hyperlink>
      <w:r>
        <w:t xml:space="preserve">.</w:t>
      </w:r>
    </w:p>
    <w:p>
      <w:pPr>
        <w:pStyle w:val="Compact"/>
        <w:numPr>
          <w:ilvl w:val="0"/>
          <w:numId w:val="1009"/>
        </w:numPr>
      </w:pPr>
      <w:r>
        <w:t xml:space="preserve">S. Incerti et al.,</w:t>
      </w:r>
      <w:r>
        <w:t xml:space="preserve"> </w:t>
      </w:r>
      <w:r>
        <w:t xml:space="preserve">“The Geant4-DNA project,”</w:t>
      </w:r>
      <w:r>
        <w:t xml:space="preserve"> </w:t>
      </w:r>
      <w:r>
        <w:rPr>
          <w:i/>
          <w:iCs/>
        </w:rPr>
        <w:t xml:space="preserve">Int. J. Model. Simul. Sci. Comput.</w:t>
      </w:r>
      <w:r>
        <w:t xml:space="preserve"> </w:t>
      </w:r>
      <w:r>
        <w:rPr>
          <w:b/>
          <w:bCs/>
        </w:rPr>
        <w:t xml:space="preserve">1</w:t>
      </w:r>
      <w:r>
        <w:t xml:space="preserve">, 157–178 (2010). DOI:</w:t>
      </w:r>
      <w:r>
        <w:t xml:space="preserve"> </w:t>
      </w:r>
      <w:hyperlink r:id="rId76">
        <w:r>
          <w:rPr>
            <w:rStyle w:val="Hyperlink"/>
          </w:rPr>
          <w:t xml:space="preserve">10.1142/S1793962310000122</w:t>
        </w:r>
      </w:hyperlink>
      <w:r>
        <w:t xml:space="preserve">.</w:t>
      </w:r>
    </w:p>
    <w:p>
      <w:pPr>
        <w:pStyle w:val="Compact"/>
        <w:numPr>
          <w:ilvl w:val="0"/>
          <w:numId w:val="1009"/>
        </w:numPr>
      </w:pPr>
      <w:r>
        <w:t xml:space="preserve">H. N. Tran et al.,</w:t>
      </w:r>
      <w:r>
        <w:t xml:space="preserve"> </w:t>
      </w:r>
      <w:r>
        <w:t xml:space="preserve">“Geant4 Monte Carlo simulation of absorbed dose and radiolysis yields enhancement from a gold nanoparticle under MeV proton irradiation,”</w:t>
      </w:r>
      <w:r>
        <w:t xml:space="preserve"> </w:t>
      </w:r>
      <w:r>
        <w:rPr>
          <w:i/>
          <w:iCs/>
        </w:rPr>
        <w:t xml:space="preserve">Nucl. Instrum. Methods Phys. Res. B</w:t>
      </w:r>
      <w:r>
        <w:t xml:space="preserve"> </w:t>
      </w:r>
      <w:r>
        <w:rPr>
          <w:b/>
          <w:bCs/>
        </w:rPr>
        <w:t xml:space="preserve">373</w:t>
      </w:r>
      <w:r>
        <w:t xml:space="preserve">, 126–139 (2016). DOI:</w:t>
      </w:r>
      <w:r>
        <w:t xml:space="preserve"> </w:t>
      </w:r>
      <w:hyperlink r:id="rId77">
        <w:r>
          <w:rPr>
            <w:rStyle w:val="Hyperlink"/>
          </w:rPr>
          <w:t xml:space="preserve">10.1016/j.nimb.2016.01.017</w:t>
        </w:r>
      </w:hyperlink>
      <w:r>
        <w:t xml:space="preserve">.</w:t>
      </w:r>
    </w:p>
    <w:p>
      <w:pPr>
        <w:pStyle w:val="Compact"/>
        <w:numPr>
          <w:ilvl w:val="0"/>
          <w:numId w:val="1009"/>
        </w:numPr>
      </w:pPr>
      <w:r>
        <w:t xml:space="preserve">D. E. Cullen, J. H. Hubbell, and L. Kissel,</w:t>
      </w:r>
      <w:r>
        <w:t xml:space="preserve"> </w:t>
      </w:r>
      <w:r>
        <w:rPr>
          <w:i/>
          <w:iCs/>
        </w:rPr>
        <w:t xml:space="preserve">EPDL97: The Evaluated Photon Data Library, ’97 Version</w:t>
      </w:r>
      <w:r>
        <w:t xml:space="preserve">, UCRL-50400 Vol. 6 Rev. 5, Lawrence Livermore National Laboratory (1997).</w:t>
      </w:r>
    </w:p>
    <w:p>
      <w:pPr>
        <w:pStyle w:val="Compact"/>
        <w:numPr>
          <w:ilvl w:val="0"/>
          <w:numId w:val="1009"/>
        </w:numPr>
      </w:pPr>
      <w:r>
        <w:t xml:space="preserve">ANSI/ANS-6.4.3-1991 (R2001),</w:t>
      </w:r>
      <w:r>
        <w:t xml:space="preserve"> </w:t>
      </w:r>
      <w:r>
        <w:rPr>
          <w:i/>
          <w:iCs/>
        </w:rPr>
        <w:t xml:space="preserve">Gamma-Ray Attenuation Coefficients and Buildup Factors for Engineering Materials</w:t>
      </w:r>
      <w:r>
        <w:t xml:space="preserve">, American Nuclear Society.</w:t>
      </w:r>
    </w:p>
    <w:p>
      <w:pPr>
        <w:pStyle w:val="Compact"/>
        <w:numPr>
          <w:ilvl w:val="0"/>
          <w:numId w:val="1009"/>
        </w:numPr>
      </w:pPr>
      <w:r>
        <w:t xml:space="preserve">ICRP Publication 116,</w:t>
      </w:r>
      <w:r>
        <w:t xml:space="preserve"> </w:t>
      </w:r>
      <w:r>
        <w:rPr>
          <w:i/>
          <w:iCs/>
        </w:rPr>
        <w:t xml:space="preserve">Conversion Coefficients for Radiological Protection Quantities for External Radiation Exposures</w:t>
      </w:r>
      <w:r>
        <w:t xml:space="preserve">, Ann. ICRP 40(2–5) (2010).</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hyperlink" Id="rId67" Target="README.md" TargetMode="External" /><Relationship Type="http://schemas.openxmlformats.org/officeDocument/2006/relationships/hyperlink" Id="rId72" Target="https://doi.org/10.1016/0020-708X(82)90248-4" TargetMode="External" /><Relationship Type="http://schemas.openxmlformats.org/officeDocument/2006/relationships/hyperlink" Id="rId69" Target="https://doi.org/10.1016/S0168-9002(03)01368-8" TargetMode="External" /><Relationship Type="http://schemas.openxmlformats.org/officeDocument/2006/relationships/hyperlink" Id="rId71" Target="https://doi.org/10.1016/j.nima.2016.06.125" TargetMode="External" /><Relationship Type="http://schemas.openxmlformats.org/officeDocument/2006/relationships/hyperlink" Id="rId77" Target="https://doi.org/10.1016/j.nimb.2016.01.017" TargetMode="External" /><Relationship Type="http://schemas.openxmlformats.org/officeDocument/2006/relationships/hyperlink" Id="rId73" Target="https://doi.org/10.1088/0031-9155/44/1/001" TargetMode="External" /><Relationship Type="http://schemas.openxmlformats.org/officeDocument/2006/relationships/hyperlink" Id="rId70" Target="https://doi.org/10.1109/TNS.2006.869826" TargetMode="External" /><Relationship Type="http://schemas.openxmlformats.org/officeDocument/2006/relationships/hyperlink" Id="rId75" Target="https://doi.org/10.1118/1.3476457" TargetMode="External" /><Relationship Type="http://schemas.openxmlformats.org/officeDocument/2006/relationships/hyperlink" Id="rId76" Target="https://doi.org/10.1142/S1793962310000122" TargetMode="External" /><Relationship Type="http://schemas.openxmlformats.org/officeDocument/2006/relationships/hyperlink" Id="rId74" Target="https://physics.nist.gov/xcom" TargetMode="External" /><Relationship Type="http://schemas.openxmlformats.org/officeDocument/2006/relationships/hyperlink" Id="rId19" Target="python/shieldlab/core/materials.py" TargetMode="External" /><Relationship Type="http://schemas.openxmlformats.org/officeDocument/2006/relationships/hyperlink" Id="rId20" Target="src/DetectorConstruction.cc" TargetMode="External" /><Relationship Type="http://schemas.openxmlformats.org/officeDocument/2006/relationships/hyperlink" Id="rId18" Target="src/MaterialRegistry.cc" TargetMode="External" /></Relationships>
</file>

<file path=word/_rels/footnotes.xml.rels><?xml version="1.0" encoding="UTF-8"?><Relationships xmlns="http://schemas.openxmlformats.org/package/2006/relationships"><Relationship Type="http://schemas.openxmlformats.org/officeDocument/2006/relationships/hyperlink" Id="rId67" Target="README.md" TargetMode="External" /><Relationship Type="http://schemas.openxmlformats.org/officeDocument/2006/relationships/hyperlink" Id="rId72" Target="https://doi.org/10.1016/0020-708X(82)90248-4" TargetMode="External" /><Relationship Type="http://schemas.openxmlformats.org/officeDocument/2006/relationships/hyperlink" Id="rId69" Target="https://doi.org/10.1016/S0168-9002(03)01368-8" TargetMode="External" /><Relationship Type="http://schemas.openxmlformats.org/officeDocument/2006/relationships/hyperlink" Id="rId71" Target="https://doi.org/10.1016/j.nima.2016.06.125" TargetMode="External" /><Relationship Type="http://schemas.openxmlformats.org/officeDocument/2006/relationships/hyperlink" Id="rId77" Target="https://doi.org/10.1016/j.nimb.2016.01.017" TargetMode="External" /><Relationship Type="http://schemas.openxmlformats.org/officeDocument/2006/relationships/hyperlink" Id="rId73" Target="https://doi.org/10.1088/0031-9155/44/1/001" TargetMode="External" /><Relationship Type="http://schemas.openxmlformats.org/officeDocument/2006/relationships/hyperlink" Id="rId70" Target="https://doi.org/10.1109/TNS.2006.869826" TargetMode="External" /><Relationship Type="http://schemas.openxmlformats.org/officeDocument/2006/relationships/hyperlink" Id="rId75" Target="https://doi.org/10.1118/1.3476457" TargetMode="External" /><Relationship Type="http://schemas.openxmlformats.org/officeDocument/2006/relationships/hyperlink" Id="rId76" Target="https://doi.org/10.1142/S1793962310000122" TargetMode="External" /><Relationship Type="http://schemas.openxmlformats.org/officeDocument/2006/relationships/hyperlink" Id="rId74" Target="https://physics.nist.gov/xcom" TargetMode="External" /><Relationship Type="http://schemas.openxmlformats.org/officeDocument/2006/relationships/hyperlink" Id="rId19" Target="python/shieldlab/core/materials.py" TargetMode="External" /><Relationship Type="http://schemas.openxmlformats.org/officeDocument/2006/relationships/hyperlink" Id="rId20" Target="src/DetectorConstruction.cc" TargetMode="External" /><Relationship Type="http://schemas.openxmlformats.org/officeDocument/2006/relationships/hyperlink" Id="rId18" Target="src/MaterialRegistry.c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2026-05-18T16:07:17Z</dcterms:created>
  <dcterms:modified xsi:type="dcterms:W3CDTF">2026-05-18T16:07:17Z</dcterms:modified>
</cp:coreProperties>
</file>

<file path=docProps/custom.xml><?xml version="1.0" encoding="utf-8"?>
<Properties xmlns="http://schemas.openxmlformats.org/officeDocument/2006/custom-properties" xmlns:vt="http://schemas.openxmlformats.org/officeDocument/2006/docPropsVTypes"/>
</file>