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8.png" ContentType="image/png"/>
  <Override PartName="/word/media/rId42.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Hani Negm, Department of Physics, College of Science, Jouf University</w:t>
      </w:r>
    </w:p>
    <w:p>
      <w:pPr>
        <w:pStyle w:val="BodyText"/>
      </w:pPr>
      <w:r>
        <w:rPr>
          <w:b/>
          <w:bCs/>
        </w:rPr>
        <w:t xml:space="preserve">Corresponding author:</w:t>
      </w:r>
      <w:r>
        <w:t xml:space="preserve"> </w:t>
      </w:r>
      <w:r>
        <w:t xml:space="preserve">hhnegm@ju.edu.sa</w:t>
      </w:r>
    </w:p>
    <w:p>
      <w:pPr>
        <w:pStyle w:val="BodyText"/>
      </w:pPr>
      <w:r>
        <w:rPr>
          <w:b/>
          <w:bCs/>
        </w:rPr>
        <w:t xml:space="preserve">Manuscript version:</w:t>
      </w:r>
      <w:r>
        <w:t xml:space="preserve"> </w:t>
      </w:r>
      <w:r>
        <w:t xml:space="preserve">v07 (derived from v06 on 2026-05-18; affiliation completed and submission-package assets added: cover letter, highlights, and graphical abstract script)</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Nanoparticle-filled shielding polymers are commonly simulated in Geant4 as homogeneous mixtures, even when experiments describe them as nanocomposites. The validity limit of that homogenised representation relative to explicit nanoparticle geometry remains poorly quantified for shielding photon transport.</w:t>
      </w:r>
    </w:p>
    <w:p>
      <w:pPr>
        <w:pStyle w:val="BodyText"/>
      </w:pPr>
      <w:r>
        <w:t xml:space="preserve">This paper benchmarks three Geant4 modelling regimes for HDPE/Bi₂O₃ at</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(A) effective-medium</w:t>
      </w:r>
      <w:r>
        <w:t xml:space="preserve"> </w:t>
      </w:r>
      <w:r>
        <w:rPr>
          <w:rStyle w:val="VerbatimChar"/>
        </w:rPr>
        <w:t xml:space="preserve">G4Material</w:t>
      </w:r>
      <w:r>
        <w:t xml:space="preserve">, (B) explicit 25 nm Bi₂O₃ spheres in a 1 µm RVE using</w:t>
      </w:r>
      <w:r>
        <w:t xml:space="preserve"> </w:t>
      </w:r>
      <w:r>
        <w:rPr>
          <w:rStyle w:val="VerbatimChar"/>
        </w:rPr>
        <w:t xml:space="preserve">G4PVParameterised</w:t>
      </w:r>
      <w:r>
        <w:t xml:space="preserve">, and (C) explicit spheres in a 250 nm RVE using</w:t>
      </w:r>
      <w:r>
        <w:t xml:space="preserve"> </w:t>
      </w:r>
      <w:r>
        <w:rPr>
          <w:rStyle w:val="VerbatimChar"/>
        </w:rPr>
        <w:t xml:space="preserve">G4MultiUnion</w:t>
      </w:r>
      <w:r>
        <w:t xml:space="preserve">. All runs use Geant4 11.4,</w:t>
      </w:r>
      <w:r>
        <w:t xml:space="preserve"> </w:t>
      </w:r>
      <w:r>
        <w:rPr>
          <w:rStyle w:val="VerbatimChar"/>
        </w:rPr>
        <w:t xml:space="preserve">G4EmLivermorePhysics</w:t>
      </w:r>
      <w:r>
        <w:t xml:space="preserve">, and a 30 keV–1.33 MeV photon grid. The endpoint is</w:t>
      </w:r>
      <w:r>
        <w:t xml:space="preserve"> </w:t>
      </w:r>
      <m:oMath>
        <m:r>
          <m:t>μ</m:t>
        </m:r>
        <m:r>
          <m:rPr>
            <m:sty m:val="p"/>
          </m:rPr>
          <m:t>/</m:t>
        </m:r>
        <m:r>
          <m:t>ρ</m:t>
        </m:r>
        <m:r>
          <m:rPr>
            <m:sty m:val="p"/>
          </m:rPr>
          <m:t>(</m:t>
        </m:r>
        <m:r>
          <m:t>E</m:t>
        </m:r>
        <m:r>
          <m:rPr>
            <m:sty m:val="p"/>
          </m:rPr>
          <m:t>)</m:t>
        </m:r>
      </m:oMath>
      <w:r>
        <w:t xml:space="preserve"> </w:t>
      </w:r>
      <w:r>
        <w:t xml:space="preserve">relative to NIST XCOM.</w:t>
      </w:r>
    </w:p>
    <w:p>
      <w:pPr>
        <w:pStyle w:val="BodyText"/>
      </w:pPr>
      <w:r>
        <w:t xml:space="preserve">Regime A reproduces XCOM for the 30 wt% validation material with mean and maximum absolute deviations of 0.549% and 2.013%. For the cross-regime composition, regime B agrees with the matched regime-A baseline within the 3% H1 gate at 30–150 keV (</w:t>
      </w:r>
      <m:oMath>
        <m:sSub>
          <m:e>
            <m:r>
              <m:t>μ</m:t>
            </m:r>
          </m:e>
          <m:sub>
            <m:r>
              <m:t>B</m:t>
            </m:r>
          </m:sub>
        </m:sSub>
        <m:r>
          <m:rPr>
            <m:sty m:val="p"/>
          </m:rPr>
          <m:t>/</m:t>
        </m:r>
        <m:sSub>
          <m:e>
            <m:r>
              <m:t>μ</m:t>
            </m:r>
          </m:e>
          <m:sub>
            <m:r>
              <m:t>A</m:t>
            </m:r>
            <m:r>
              <m:rPr>
                <m:sty m:val="p"/>
              </m:rPr>
              <m:t>,</m:t>
            </m:r>
            <m:r>
              <m:t>ϕ</m:t>
            </m:r>
          </m:sub>
        </m:sSub>
        <m:r>
          <m:rPr>
            <m:sty m:val="p"/>
          </m:rPr>
          <m:t>=</m:t>
        </m:r>
        <m:r>
          <m:t>0.975</m:t>
        </m:r>
        <m:r>
          <m:rPr>
            <m:nor/>
            <m:sty m:val="p"/>
          </m:rPr>
          <m:t>–</m:t>
        </m:r>
        <m:r>
          <m:t>0.984</m:t>
        </m:r>
      </m:oMath>
      <w:r>
        <w:t xml:space="preserve">) and resolves the Bi K-edge rise between 80 and 100 keV. Regime C also confirms H1 at 30–150 keV (</w:t>
      </w:r>
      <m:oMath>
        <m:sSub>
          <m:e>
            <m:r>
              <m:t>μ</m:t>
            </m:r>
          </m:e>
          <m:sub>
            <m:r>
              <m:t>C</m:t>
            </m:r>
          </m:sub>
        </m:sSub>
        <m:r>
          <m:rPr>
            <m:sty m:val="p"/>
          </m:rPr>
          <m:t>/</m:t>
        </m:r>
        <m:sSub>
          <m:e>
            <m:r>
              <m:t>μ</m:t>
            </m:r>
          </m:e>
          <m:sub>
            <m:r>
              <m:t>A</m:t>
            </m:r>
            <m:r>
              <m:rPr>
                <m:sty m:val="p"/>
              </m:rPr>
              <m:t>,</m:t>
            </m:r>
            <m:r>
              <m:t>ϕ</m:t>
            </m:r>
          </m:sub>
        </m:sSub>
        <m:r>
          <m:rPr>
            <m:sty m:val="p"/>
          </m:rPr>
          <m:t>=</m:t>
        </m:r>
        <m:r>
          <m:t>0.982</m:t>
        </m:r>
        <m:r>
          <m:rPr>
            <m:nor/>
            <m:sty m:val="p"/>
          </m:rPr>
          <m:t>–</m:t>
        </m:r>
        <m:r>
          <m:t>1.016</m:t>
        </m:r>
      </m:oMath>
      <w:r>
        <w:t xml:space="preserve">), with XCOM agreement from −2.3% to +1.2% in that range.</w:t>
      </w:r>
    </w:p>
    <w:p>
      <w:pPr>
        <w:pStyle w:val="BodyText"/>
      </w:pPr>
      <w:r>
        <w:t xml:space="preserve">The results support effective-medium modelling for macroscopic shielding when</w:t>
      </w:r>
      <w:r>
        <w:t xml:space="preserve"> </w:t>
      </w:r>
      <m:oMath>
        <m:r>
          <m:t>μ</m:t>
        </m:r>
        <m:r>
          <m:t>r</m:t>
        </m:r>
        <m:r>
          <m:rPr>
            <m:sty m:val="p"/>
          </m:rPr>
          <m:t>≪</m:t>
        </m:r>
        <m:r>
          <m:t>1</m:t>
        </m:r>
      </m:oMath>
      <w:r>
        <w:t xml:space="preserve">, while showing that explicit RVE modelling remains useful as a validation tool and that</w:t>
      </w:r>
      <w:r>
        <w:t xml:space="preserve"> </w:t>
      </w:r>
      <w:r>
        <w:rPr>
          <w:rStyle w:val="VerbatimChar"/>
        </w:rPr>
        <w:t xml:space="preserve">G4PVParameterised</w:t>
      </w:r>
      <w:r>
        <w:t xml:space="preserve"> </w:t>
      </w:r>
      <w:r>
        <w:t xml:space="preserve">is markedly more scalable than</w:t>
      </w:r>
      <w:r>
        <w:t xml:space="preserve"> </w:t>
      </w:r>
      <w:r>
        <w:rPr>
          <w:rStyle w:val="VerbatimChar"/>
        </w:rPr>
        <w:t xml:space="preserve">G4MultiUnion</w:t>
      </w:r>
      <w:r>
        <w:t xml:space="preserve"> </w:t>
      </w:r>
      <w:r>
        <w:t xml:space="preserve">on workstation-class hardware.</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makes three distinct contributions that have not appeared in the prior Geant4 nanocomposite literature:</w:t>
      </w:r>
    </w:p>
    <w:p>
      <w:pPr>
        <w:numPr>
          <w:ilvl w:val="0"/>
          <w:numId w:val="1002"/>
        </w:numPr>
      </w:pPr>
      <w:r>
        <w:rPr>
          <w:b/>
          <w:bCs/>
        </w:rPr>
        <w:t xml:space="preserve">First controlled cross-regime benchmark for macroscopic nanocomposite shielding.</w:t>
      </w:r>
      <w:r>
        <w:t xml:space="preserve"> </w:t>
      </w:r>
      <w:r>
        <w:t xml:space="preserve">Composition, density, source spectrum, scoring geometry, and physics list are held identical across all three modelling regimes; only the geometric representation changes. This isolation allows the method-to-method deviation to be attributed entirely to geometry choice rather than to any other modelling variable. No equivalent comparison has been published for shielding-relevant photon energies and nanoparticle counts.</w:t>
      </w:r>
    </w:p>
    <w:p>
      <w:pPr>
        <w:numPr>
          <w:ilvl w:val="0"/>
          <w:numId w:val="1002"/>
        </w:numPr>
      </w:pPr>
      <w:r>
        <w:rPr>
          <w:b/>
          <w:bCs/>
        </w:rPr>
        <w:t xml:space="preserve">First quantitative mapping of the computational feasibility boundary for explicit-RVE Geant4 approaches.</w:t>
      </w:r>
      <w:r>
        <w:t xml:space="preserve"> </w:t>
      </w:r>
      <w:r>
        <w:t xml:space="preserve">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memory scaling is characterised explicitly against hardware limits on a workstation-class 8 GB system, producing a hardware-referenced scalability boundary that practitioners can use directly when choosing between</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for a given filler count and RVE size.</w:t>
      </w:r>
    </w:p>
    <w:p>
      <w:pPr>
        <w:numPr>
          <w:ilvl w:val="0"/>
          <w:numId w:val="1002"/>
        </w:numPr>
      </w:pPr>
      <w:r>
        <w:rPr>
          <w:b/>
          <w:bCs/>
        </w:rPr>
        <w:t xml:space="preserve">Open, reproducible benchmark harness.</w:t>
      </w:r>
      <w:r>
        <w:t xml:space="preserve"> </w:t>
      </w:r>
      <w:r>
        <w:t xml:space="preserve">All study configuration files, macro writers, orchestrator, XCOM comparison, and figure-generation modules are released in ShieldLab G4 v1.1 under the MIT licence. The full benchmark is re-executable with a single command by any group with access to Geant4 11.4.</w:t>
      </w:r>
    </w:p>
    <w:p>
      <w:pPr>
        <w:pStyle w:val="FirstParagraph"/>
      </w:pPr>
      <w:r>
        <w:t xml:space="preserve">The prior Geant4 nanoparticle literature is concentrated in the Geant4-DNA / nano-radiosensitisation domain [8,9,10], where the physical scale is sub-cellular and nanoparticle counts are tractable. No published work bridges that microscopic methodology to the macroscopic shielding-engineering use case, where an RVE approach is the only physically and computationally viable path. The novelty is therefore methodological rather than kernel-level:</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are standard Geant4 geometry constructs; the contribution is the controlled cross-regime shielding benchmark and RVE validation workflow built on top of them.</w:t>
      </w:r>
    </w:p>
    <w:p>
      <w:pPr>
        <w:pStyle w:val="BodyText"/>
      </w:pPr>
      <w:r>
        <w:rPr>
          <w:b/>
          <w:bCs/>
        </w:rPr>
        <w:t xml:space="preserve">Scope of the three regimes.</w:t>
      </w:r>
      <w:r>
        <w:t xml:space="preserve"> </w:t>
      </w:r>
      <w:r>
        <w:t xml:space="preserve">Two additional Geant4 strategies are intentionally outside this paper. A raw many-daughter</w:t>
      </w:r>
      <w:r>
        <w:t xml:space="preserve"> </w:t>
      </w:r>
      <w:r>
        <w:rPr>
          <w:rStyle w:val="VerbatimChar"/>
        </w:rPr>
        <w:t xml:space="preserve">G4PVPlacement</w:t>
      </w:r>
      <w:r>
        <w:t xml:space="preserve"> </w:t>
      </w:r>
      <w:r>
        <w:t xml:space="preserve">loop is not benchmarked separately because, for identical spheres, it is functionally superseded by</w:t>
      </w:r>
      <w:r>
        <w:t xml:space="preserve"> </w:t>
      </w:r>
      <w:r>
        <w:rPr>
          <w:rStyle w:val="VerbatimChar"/>
        </w:rPr>
        <w:t xml:space="preserve">G4PVParameterised</w:t>
      </w:r>
      <w:r>
        <w:t xml:space="preserve"> </w:t>
      </w:r>
      <w:r>
        <w:t xml:space="preserve">while offering poorer scalability and no benefit in repeated-geometry handling. Nested parameterisation with</w:t>
      </w:r>
      <w:r>
        <w:t xml:space="preserve"> </w:t>
      </w:r>
      <w:r>
        <w:rPr>
          <w:rStyle w:val="VerbatimChar"/>
        </w:rPr>
        <w:t xml:space="preserve">G4Region</w:t>
      </w:r>
      <w:r>
        <w:t xml:space="preserve">/</w:t>
      </w:r>
      <w:r>
        <w:rPr>
          <w:rStyle w:val="VerbatimChar"/>
        </w:rPr>
        <w:t xml:space="preserve">G4ProductionCuts</w:t>
      </w:r>
      <w:r>
        <w:t xml:space="preserve"> </w:t>
      </w:r>
      <w:r>
        <w:t xml:space="preserve">in the Geant4-DNA style targets eV-scale local-energy-deposition and microdosimetry, not the macroscopic attenuation and transmission observables treated here.</w:t>
      </w:r>
    </w:p>
    <w:p>
      <w:pPr>
        <w:pStyle w:val="BodyText"/>
      </w:pPr>
      <w:r>
        <w:rPr>
          <w:b/>
          <w:bCs/>
        </w:rPr>
        <w:t xml:space="preserve">Hypothesis (H1).</w:t>
      </w:r>
      <w:r>
        <w:t xml:space="preserve"> </w:t>
      </w:r>
      <w:r>
        <w:t xml:space="preserve">For photon energies where the photon mean free path greatly exceeds the nanoparticle radius (</w:t>
      </w:r>
      <m:oMath>
        <m:r>
          <m:t>μ</m:t>
        </m:r>
        <m:r>
          <m:t>r</m:t>
        </m:r>
        <m:r>
          <m:rPr>
            <m:sty m:val="p"/>
          </m:rPr>
          <m:t>≪</m:t>
        </m:r>
        <m:r>
          <m:t>1</m:t>
        </m:r>
      </m:oMath>
      <w:r>
        <w:t xml:space="preserve">, i.e.,</w:t>
      </w:r>
      <w:r>
        <w:t xml:space="preserve">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3"/>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3"/>
        </w:numPr>
      </w:pPr>
      <w:r>
        <w:t xml:space="preserve">Coherent (Rayleigh) inter-particle interference is negligible (true above ~10 keV for amorphous nanocomposites).</w:t>
      </w:r>
    </w:p>
    <w:p>
      <w:pPr>
        <w:pStyle w:val="Compact"/>
        <w:numPr>
          <w:ilvl w:val="0"/>
          <w:numId w:val="1003"/>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and</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w:t>
      </w:r>
      <w:r>
        <w:t xml:space="preserve">(Bi₂O₃). For the target composite density</w:t>
      </w:r>
      <w:r>
        <w:t xml:space="preserve"> </w:t>
      </w:r>
      <m:oMath>
        <m:sSub>
          <m:e>
            <m:r>
              <m:t>ρ</m:t>
            </m:r>
          </m:e>
          <m:sub>
            <m:r>
              <m:rPr>
                <m:nor/>
                <m:sty m:val="p"/>
              </m:rPr>
              <m:t>eff</m:t>
            </m:r>
          </m:sub>
        </m:sSub>
        <m:r>
          <m:rPr>
            <m:sty m:val="p"/>
          </m:rPr>
          <m:t>=</m:t>
        </m:r>
        <m:r>
          <m:t>2.45</m:t>
        </m:r>
      </m:oMath>
      <w:r>
        <w:t xml:space="preserve"> </w:t>
      </w:r>
      <w:r>
        <w:t xml:space="preserve">g cm</w:t>
      </w:r>
      <m:oMath>
        <m:sSup>
          <m:e>
            <m:r>
              <m:t>​</m:t>
            </m:r>
          </m:e>
          <m:sup>
            <m:r>
              <m:rPr>
                <m:sty m:val="p"/>
              </m:rPr>
              <m:t>−</m:t>
            </m:r>
            <m:r>
              <m:t>3</m:t>
            </m:r>
          </m:sup>
        </m:sSup>
      </m:oMath>
      <w:r>
        <w:t xml:space="preserve">, the filler volume fraction derived from the linear mixture rule is</w:t>
      </w:r>
    </w:p>
    <w:p>
      <w:pPr>
        <w:pStyle w:val="BodyText"/>
      </w:pPr>
      <m:oMathPara>
        <m:oMathParaPr>
          <m:jc m:val="center"/>
        </m:oMathParaPr>
        <m:oMath>
          <m:sSub>
            <m:e>
              <m:r>
                <m:t>ϕ</m:t>
              </m:r>
            </m:e>
            <m:sub>
              <m:r>
                <m:t>f</m:t>
              </m:r>
            </m:sub>
          </m:sSub>
          <m:r>
            <m:rPr>
              <m:sty m:val="p"/>
            </m:rPr>
            <m:t>=</m:t>
          </m:r>
          <m:f>
            <m:fPr>
              <m:type m:val="bar"/>
            </m:fPr>
            <m:num>
              <m:sSub>
                <m:e>
                  <m:r>
                    <m:t>ρ</m:t>
                  </m:r>
                </m:e>
                <m:sub>
                  <m:r>
                    <m:rPr>
                      <m:nor/>
                      <m:sty m:val="p"/>
                    </m:rPr>
                    <m:t>eff</m:t>
                  </m:r>
                </m:sub>
              </m:sSub>
              <m:r>
                <m:rPr>
                  <m:sty m:val="p"/>
                </m:rPr>
                <m:t>−</m:t>
              </m:r>
              <m:sSub>
                <m:e>
                  <m:r>
                    <m:t>ρ</m:t>
                  </m:r>
                </m:e>
                <m:sub>
                  <m:r>
                    <m:t>m</m:t>
                  </m:r>
                </m:sub>
              </m:sSub>
            </m:num>
            <m:den>
              <m:sSub>
                <m:e>
                  <m:r>
                    <m:t>ρ</m:t>
                  </m:r>
                </m:e>
                <m:sub>
                  <m:r>
                    <m:t>f</m:t>
                  </m:r>
                </m:sub>
              </m:sSub>
              <m:r>
                <m:rPr>
                  <m:sty m:val="p"/>
                </m:rPr>
                <m:t>−</m:t>
              </m:r>
              <m:sSub>
                <m:e>
                  <m:r>
                    <m:t>ρ</m:t>
                  </m:r>
                </m:e>
                <m:sub>
                  <m:r>
                    <m:t>m</m:t>
                  </m:r>
                </m:sub>
              </m:sSub>
            </m:den>
          </m:f>
          <m:r>
            <m:rPr>
              <m:sty m:val="p"/>
            </m:rPr>
            <m:t>=</m:t>
          </m:r>
          <m:f>
            <m:fPr>
              <m:type m:val="bar"/>
            </m:fPr>
            <m:num>
              <m:r>
                <m:t>2.45</m:t>
              </m:r>
              <m:r>
                <m:rPr>
                  <m:sty m:val="p"/>
                </m:rPr>
                <m:t>−</m:t>
              </m:r>
              <m:r>
                <m:t>0.95</m:t>
              </m:r>
            </m:num>
            <m:den>
              <m:r>
                <m:t>8.9</m:t>
              </m:r>
              <m:r>
                <m:rPr>
                  <m:sty m:val="p"/>
                </m:rPr>
                <m:t>−</m:t>
              </m:r>
              <m:r>
                <m:t>0.95</m:t>
              </m:r>
            </m:den>
          </m:f>
          <m:r>
            <m:rPr>
              <m:sty m:val="p"/>
            </m:rPr>
            <m:t>=</m:t>
          </m:r>
          <m:r>
            <m:t>0.189</m:t>
          </m:r>
          <m:r>
            <m:rPr>
              <m:sty m:val="p"/>
            </m:rPr>
            <m:t>.</m:t>
          </m:r>
        </m:oMath>
      </m:oMathPara>
    </w:p>
    <w:p>
      <w:pPr>
        <w:pStyle w:val="FirstParagraph"/>
      </w:pPr>
      <w:r>
        <w:t xml:space="preserve">The corresponding filler</w:t>
      </w:r>
      <w:r>
        <w:t xml:space="preserve"> </w:t>
      </w:r>
      <w:r>
        <w:rPr>
          <w:b/>
          <w:bCs/>
        </w:rPr>
        <w:t xml:space="preserve">mass fraction</w:t>
      </w:r>
      <w:r>
        <w:t xml:space="preserve"> </w:t>
      </w:r>
      <w:r>
        <w:t xml:space="preserve">is</w:t>
      </w:r>
      <w:r>
        <w:t xml:space="preserve"> </w:t>
      </w:r>
      <m:oMath>
        <m:sSub>
          <m:e>
            <m:r>
              <m:t>w</m:t>
            </m:r>
          </m:e>
          <m:sub>
            <m:r>
              <m:t>f</m:t>
            </m:r>
          </m:sub>
        </m:sSub>
        <m:r>
          <m:rPr>
            <m:sty m:val="p"/>
          </m:rPr>
          <m:t>=</m:t>
        </m:r>
        <m:sSub>
          <m:e>
            <m:r>
              <m:t>ϕ</m:t>
            </m:r>
          </m:e>
          <m:sub>
            <m:r>
              <m:t>f</m:t>
            </m:r>
          </m:sub>
        </m:sSub>
        <m:sSub>
          <m:e>
            <m:r>
              <m:t>ρ</m:t>
            </m:r>
          </m:e>
          <m:sub>
            <m:r>
              <m:t>f</m:t>
            </m:r>
          </m:sub>
        </m:sSub>
        <m:r>
          <m:rPr>
            <m:sty m:val="p"/>
          </m:rPr>
          <m:t>/</m:t>
        </m:r>
        <m:sSub>
          <m:e>
            <m:r>
              <m:t>ρ</m:t>
            </m:r>
          </m:e>
          <m:sub>
            <m:r>
              <m:rPr>
                <m:nor/>
                <m:sty m:val="p"/>
              </m:rPr>
              <m:t>eff</m:t>
            </m:r>
          </m:sub>
        </m:sSub>
        <m:r>
          <m:rPr>
            <m:sty m:val="p"/>
          </m:rPr>
          <m:t>=</m:t>
        </m:r>
        <m:r>
          <m:t>0.189</m:t>
        </m:r>
        <m:r>
          <m:rPr>
            <m:sty m:val="p"/>
          </m:rPr>
          <m:t>×</m:t>
        </m:r>
        <m:r>
          <m:t>8.9</m:t>
        </m:r>
        <m:r>
          <m:rPr>
            <m:sty m:val="p"/>
          </m:rPr>
          <m:t>/</m:t>
        </m:r>
        <m:r>
          <m:t>2.45</m:t>
        </m:r>
        <m:r>
          <m:rPr>
            <m:sty m:val="p"/>
          </m:rPr>
          <m:t>=</m:t>
        </m:r>
        <m:r>
          <m:t>0.686</m:t>
        </m:r>
      </m:oMath>
      <w:r>
        <w:t xml:space="preserve"> </w:t>
      </w:r>
      <w:r>
        <w:t xml:space="preserve">(68.6 wt% Bi₂O₃). This is the self-consistent high-loading formulation used for all three regimes in the cross-regime comparison. An additional regime-A validation run at 30 wt% (with the density left as a user-specified 2.45 g cm</w:t>
      </w:r>
      <m:oMath>
        <m:sSup>
          <m:e>
            <m:r>
              <m:t>​</m:t>
            </m:r>
          </m:e>
          <m:sup>
            <m:r>
              <m:rPr>
                <m:sty m:val="p"/>
              </m:rPr>
              <m:t>−</m:t>
            </m:r>
            <m:r>
              <m:t>3</m:t>
            </m:r>
          </m:sup>
        </m:sSup>
      </m:oMath>
      <w:r>
        <w:t xml:space="preserve"> </w:t>
      </w:r>
      <w:r>
        <w:t xml:space="preserve">input) is also reported for XCOM verification of the emlivermore physics list independent of the density assignment.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7"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 The parameterisation is wrapped in a</w:t>
      </w:r>
      <w:r>
        <w:t xml:space="preserve"> </w:t>
      </w:r>
      <w:r>
        <w:rPr>
          <w:rStyle w:val="VerbatimChar"/>
        </w:rPr>
        <w:t xml:space="preserve">G4PVParameterised</w:t>
      </w:r>
      <w:r>
        <w:t xml:space="preserve"> </w:t>
      </w:r>
      <w:r>
        <w:t xml:space="preserve">placement inside a matrix host logical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"NPParam"</w:t>
      </w:r>
      <w:r>
        <w:rPr>
          <w:rStyle w:val="OperatorTok"/>
        </w:rPr>
        <w:t xml:space="preserve">,</w:t>
      </w:r>
      <w:r>
        <w:rPr>
          <w:rStyle w:val="NormalTok"/>
        </w:rPr>
        <w:t xml:space="preserve"> npLogic</w:t>
      </w:r>
      <w:r>
        <w:rPr>
          <w:rStyle w:val="OperatorTok"/>
        </w:rPr>
        <w:t xml:space="preserve">,</w:t>
      </w:r>
      <w:r>
        <w:rPr>
          <w:rStyle w:val="NormalTok"/>
        </w:rPr>
        <w:t xml:space="preserve"> rveLogic</w:t>
      </w:r>
      <w:r>
        <w:rPr>
          <w:rStyle w:val="OperatorTok"/>
        </w:rPr>
        <w:t xml:space="preserve">,</w:t>
      </w:r>
      <w:r>
        <w:br/>
      </w:r>
      <w:r>
        <w:rPr>
          <w:rStyle w:val="NormalTok"/>
        </w:rPr>
        <w:t xml:space="preserve">                      kUndefined</w:t>
      </w:r>
      <w:r>
        <w:rPr>
          <w:rStyle w:val="OperatorTok"/>
        </w:rPr>
        <w:t xml:space="preserve">,</w:t>
      </w:r>
      <w:r>
        <w:rPr>
          <w:rStyle w:val="NormalTok"/>
        </w:rPr>
        <w:t xml:space="preserve"> N</w:t>
      </w:r>
      <w:r>
        <w:rPr>
          <w:rStyle w:val="OperatorTok"/>
        </w:rPr>
        <w:t xml:space="preserve">,</w:t>
      </w:r>
      <w:r>
        <w:rPr>
          <w:rStyle w:val="NormalTok"/>
        </w:rPr>
        <w:t xml:space="preserve"> param</w:t>
      </w:r>
      <w:r>
        <w:rPr>
          <w:rStyle w:val="OperatorTok"/>
        </w:rPr>
        <w:t xml:space="preserve">);</w:t>
      </w:r>
    </w:p>
    <w:p>
      <w:pPr>
        <w:pStyle w:val="FirstParagraph"/>
      </w:pPr>
      <w:r>
        <w:t xml:space="preserve">The</w:t>
      </w:r>
      <w:r>
        <w:t xml:space="preserve"> </w:t>
      </w:r>
      <w:r>
        <w:rPr>
          <w:rStyle w:val="VerbatimChar"/>
        </w:rPr>
        <w:t xml:space="preserve">ComputeTransformation</w:t>
      </w:r>
      <w:r>
        <w:t xml:space="preserve"> </w:t>
      </w:r>
      <w:r>
        <w:t xml:space="preserve">callback applies only a translation per copy; no rotation is needed for monodisperse spheres.</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Scoring and output:</w:t>
      </w:r>
      <w:r>
        <w:t xml:space="preserve"> </w:t>
      </w:r>
      <w:r>
        <w:t xml:space="preserve">The world and scoring infrastructure remain the same as regime A. The RVE host box acts as the</w:t>
      </w:r>
      <w:r>
        <w:t xml:space="preserve"> </w:t>
      </w:r>
      <w:r>
        <w:t xml:space="preserve">“slab”</w:t>
      </w:r>
      <w:r>
        <w:t xml:space="preserve">; transmission is scored at the world exit face (±L/2 in x).</w:t>
      </w:r>
      <w:r>
        <w:t xml:space="preserve"> </w:t>
      </w:r>
      <w:r>
        <w:rPr>
          <w:rStyle w:val="VerbatimChar"/>
        </w:rPr>
        <w:t xml:space="preserve">GetTotalThickness()</w:t>
      </w:r>
      <w:r>
        <w:t xml:space="preserve"> </w:t>
      </w:r>
      <w:r>
        <w:t xml:space="preserve">returns</w:t>
      </w:r>
      <w:r>
        <w:t xml:space="preserve"> </w:t>
      </w:r>
      <m:oMath>
        <m:sSub>
          <m:e>
            <m:r>
              <m:t>L</m:t>
            </m:r>
          </m:e>
          <m:sub>
            <m:r>
              <m:rPr>
                <m:nor/>
                <m:sty m:val="p"/>
              </m:rPr>
              <m:t>RVE</m:t>
            </m:r>
          </m:sub>
        </m:sSub>
      </m:oMath>
      <w:r>
        <w:t xml:space="preserve"> </w:t>
      </w:r>
      <w:r>
        <w:t xml:space="preserve">from the pseudo-layer record, so</w:t>
      </w:r>
      <w:r>
        <w:t xml:space="preserve"> </w:t>
      </w:r>
      <m:oMath>
        <m:acc>
          <m:accPr>
            <m:chr m:val="̂"/>
          </m:accPr>
          <m:e>
            <m:r>
              <m:t>μ</m:t>
            </m:r>
          </m:e>
        </m:acc>
        <m:r>
          <m:rPr>
            <m:sty m:val="p"/>
          </m:rPr>
          <m:t>=</m:t>
        </m:r>
        <m:r>
          <m:rPr>
            <m:sty m:val="p"/>
          </m:rPr>
          <m:t>−</m:t>
        </m:r>
        <m:r>
          <m:rPr>
            <m:sty m:val="p"/>
          </m:rPr>
          <m:t>ln</m:t>
        </m:r>
        <m:r>
          <m:t>T</m:t>
        </m:r>
        <m:r>
          <m:rPr>
            <m:sty m:val="p"/>
          </m:rPr>
          <m:t>/</m:t>
        </m:r>
        <m:sSub>
          <m:e>
            <m:r>
              <m:t>L</m:t>
            </m:r>
          </m:e>
          <m:sub>
            <m:r>
              <m:rPr>
                <m:nor/>
                <m:sty m:val="p"/>
              </m:rPr>
              <m:t>RVE</m:t>
            </m:r>
          </m:sub>
        </m:sSub>
      </m:oMath>
      <w:r>
        <w:t xml:space="preserve"> </w:t>
      </w:r>
      <w:r>
        <w:t xml:space="preserve">is computed identically to regime A.</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6"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w:t>
      </w:r>
    </w:p>
    <w:p>
      <w:pPr>
        <w:pStyle w:val="SourceCode"/>
      </w:pPr>
      <w:r>
        <w:rPr>
          <w:rStyle w:val="KeywordTok"/>
        </w:rPr>
        <w:t xml:space="preserve">auto</w:t>
      </w:r>
      <w:r>
        <w:rPr>
          <w:rStyle w:val="OperatorTok"/>
        </w:rPr>
        <w:t xml:space="preserve">*</w:t>
      </w:r>
      <w:r>
        <w:rPr>
          <w:rStyle w:val="NormalTok"/>
        </w:rPr>
        <w:t xml:space="preserve"> fillerUnion </w:t>
      </w:r>
      <w:r>
        <w:rPr>
          <w:rStyle w:val="OperatorTok"/>
        </w:rPr>
        <w:t xml:space="preserve">=</w:t>
      </w:r>
      <w:r>
        <w:rPr>
          <w:rStyle w:val="NormalTok"/>
        </w:rPr>
        <w:t xml:space="preserve"> </w:t>
      </w:r>
      <w:r>
        <w:rPr>
          <w:rStyle w:val="KeywordTok"/>
        </w:rPr>
        <w:t xml:space="preserve">new</w:t>
      </w:r>
      <w:r>
        <w:rPr>
          <w:rStyle w:val="NormalTok"/>
        </w:rPr>
        <w:t xml:space="preserve"> G4MultiUnion</w:t>
      </w:r>
      <w:r>
        <w:rPr>
          <w:rStyle w:val="OperatorTok"/>
        </w:rPr>
        <w:t xml:space="preserve">(</w:t>
      </w:r>
      <w:r>
        <w:rPr>
          <w:rStyle w:val="StringTok"/>
        </w:rPr>
        <w:t xml:space="preserve">"FillerUnion"</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pos </w:t>
      </w:r>
      <w:r>
        <w:rPr>
          <w:rStyle w:val="OperatorTok"/>
        </w:rPr>
        <w:t xml:space="preserve">:</w:t>
      </w:r>
      <w:r>
        <w:rPr>
          <w:rStyle w:val="NormalTok"/>
        </w:rPr>
        <w:t xml:space="preserve"> positions</w:t>
      </w:r>
      <w:r>
        <w:rPr>
          <w:rStyle w:val="OperatorTok"/>
        </w:rPr>
        <w:t xml:space="preserve">)</w:t>
      </w:r>
      <w:r>
        <w:rPr>
          <w:rStyle w:val="NormalTok"/>
        </w:rPr>
        <w:t xml:space="preserve"> </w:t>
      </w:r>
      <w:r>
        <w:rPr>
          <w:rStyle w:val="OperatorTok"/>
        </w:rPr>
        <w:t xml:space="preserve">{</w:t>
      </w:r>
      <w:r>
        <w:br/>
      </w:r>
      <w:r>
        <w:rPr>
          <w:rStyle w:val="NormalTok"/>
        </w:rPr>
        <w:t xml:space="preserve">    G4Transform3D </w:t>
      </w:r>
      <w:r>
        <w:rPr>
          <w:rStyle w:val="FunctionTok"/>
        </w:rPr>
        <w:t xml:space="preserve">tr</w:t>
      </w:r>
      <w:r>
        <w:rPr>
          <w:rStyle w:val="OperatorTok"/>
        </w:rPr>
        <w:t xml:space="preserve">(</w:t>
      </w:r>
      <w:r>
        <w:rPr>
          <w:rStyle w:val="NormalTok"/>
        </w:rPr>
        <w:t xml:space="preserve">identity</w:t>
      </w:r>
      <w:r>
        <w:rPr>
          <w:rStyle w:val="OperatorTok"/>
        </w:rPr>
        <w:t xml:space="preserve">,</w:t>
      </w:r>
      <w:r>
        <w:rPr>
          <w:rStyle w:val="NormalTok"/>
        </w:rPr>
        <w:t xml:space="preserve"> pos</w:t>
      </w:r>
      <w:r>
        <w:rPr>
          <w:rStyle w:val="OperatorTok"/>
        </w:rPr>
        <w:t xml:space="preserve">);</w:t>
      </w:r>
      <w:r>
        <w:br/>
      </w:r>
      <w:r>
        <w:rPr>
          <w:rStyle w:val="NormalTok"/>
        </w:rPr>
        <w:t xml:space="preserve">    fillerUnion</w:t>
      </w:r>
      <w:r>
        <w:rPr>
          <w:rStyle w:val="OperatorTok"/>
        </w:rPr>
        <w:t xml:space="preserve">-&gt;</w:t>
      </w:r>
      <w:r>
        <w:rPr>
          <w:rStyle w:val="NormalTok"/>
        </w:rPr>
        <w:t xml:space="preserve">AddNode</w:t>
      </w:r>
      <w:r>
        <w:rPr>
          <w:rStyle w:val="OperatorTok"/>
        </w:rPr>
        <w:t xml:space="preserve">(*</w:t>
      </w:r>
      <w:r>
        <w:rPr>
          <w:rStyle w:val="NormalTok"/>
        </w:rPr>
        <w:t xml:space="preserve">sphereTemplate</w:t>
      </w:r>
      <w:r>
        <w:rPr>
          <w:rStyle w:val="OperatorTok"/>
        </w:rPr>
        <w:t xml:space="preserve">,</w:t>
      </w:r>
      <w:r>
        <w:rPr>
          <w:rStyle w:val="NormalTok"/>
        </w:rPr>
        <w:t xml:space="preserve"> </w:t>
      </w:r>
      <w:r>
        <w:rPr>
          <w:rStyle w:val="FunctionTok"/>
        </w:rPr>
        <w:t xml:space="preserve">tr</w:t>
      </w:r>
      <w:r>
        <w:rPr>
          <w:rStyle w:val="OperatorTok"/>
        </w:rPr>
        <w:t xml:space="preserve">);</w:t>
      </w:r>
      <w:r>
        <w:br/>
      </w:r>
      <w:r>
        <w:rPr>
          <w:rStyle w:val="OperatorTok"/>
        </w:rPr>
        <w:t xml:space="preserve">}</w:t>
      </w:r>
      <w:r>
        <w:br/>
      </w:r>
      <w:r>
        <w:rPr>
          <w:rStyle w:val="NormalTok"/>
        </w:rPr>
        <w:t xml:space="preserve">fillerUnion</w:t>
      </w:r>
      <w:r>
        <w:rPr>
          <w:rStyle w:val="OperatorTok"/>
        </w:rPr>
        <w:t xml:space="preserve">-&gt;</w:t>
      </w:r>
      <w:r>
        <w:rPr>
          <w:rStyle w:val="NormalTok"/>
        </w:rPr>
        <w:t xml:space="preserve">Voxelize</w:t>
      </w:r>
      <w:r>
        <w:rPr>
          <w:rStyle w:val="OperatorTok"/>
        </w:rPr>
        <w:t xml:space="preserve">();</w:t>
      </w:r>
    </w:p>
    <w:p>
      <w:pPr>
        <w:pStyle w:val="FirstParagraph"/>
      </w:pPr>
      <w:r>
        <w:t xml:space="preserve">A single</w:t>
      </w:r>
      <w:r>
        <w:t xml:space="preserve"> </w:t>
      </w:r>
      <w:r>
        <w:rPr>
          <w:rStyle w:val="VerbatimChar"/>
        </w:rPr>
        <w:t xml:space="preserve">G4PVPlacement</w:t>
      </w:r>
      <w:r>
        <w:t xml:space="preserve"> </w:t>
      </w:r>
      <w:r>
        <w:t xml:space="preserve">is made into the RVE host box. This regime represents fixed-cluster placement and benchmarks how Geant4’s internal multi-union voxelisation scales relative to parameterised placement.</w:t>
      </w:r>
    </w:p>
    <w:p>
      <w:pPr>
        <w:pStyle w:val="BodyText"/>
      </w:pPr>
      <w:r>
        <w:rPr>
          <w:i/>
          <w:iCs/>
        </w:rPr>
        <w:t xml:space="preserve">In practice,</w:t>
      </w:r>
      <w:r>
        <w:rPr>
          <w:i/>
          <w:iCs/>
        </w:rPr>
        <w:t xml:space="preserve"> </w:t>
      </w:r>
      <w:r>
        <w:rPr>
          <w:rStyle w:val="VerbatimChar"/>
          <w:i/>
          <w:iCs/>
        </w:rPr>
        <w:t xml:space="preserve">G4MultiUnion::Voxelize()</w:t>
      </w:r>
      <w:r>
        <w:rPr>
          <w:i/>
          <w:iCs/>
        </w:rPr>
        <w:t xml:space="preserve"> </w:t>
      </w:r>
      <w:r>
        <w:rPr>
          <w:i/>
          <w:iCs/>
        </w:rPr>
        <w:t xml:space="preserve">is only feasible for</w:t>
      </w:r>
      <w:r>
        <w:rPr>
          <w:i/>
          <w:iCs/>
        </w:rPr>
        <w:t xml:space="preserve"> </w:t>
      </w:r>
      <m:oMath>
        <m:r>
          <m:t>N</m:t>
        </m:r>
        <m:r>
          <m:rPr>
            <m:sty m:val="p"/>
          </m:rPr>
          <m:t>≲</m:t>
        </m:r>
        <m:r>
          <m:t>50</m:t>
        </m:r>
      </m:oMath>
      <w:r>
        <w:rPr>
          <w:i/>
          <w:iCs/>
        </w:rPr>
        <w:t xml:space="preserve"> </w:t>
      </w:r>
      <w:r>
        <w:rPr>
          <w:i/>
          <w:iCs/>
        </w:rPr>
        <w:t xml:space="preserve">on 8 GB hardware; §5.3 documents the scalability characterisation and the adopted 250 nm /</w:t>
      </w:r>
      <w:r>
        <w:rPr>
          <w:i/>
          <w:iCs/>
        </w:rPr>
        <w:t xml:space="preserve"> </w:t>
      </w:r>
      <m:oMath>
        <m:r>
          <m:t>N</m:t>
        </m:r>
        <m:r>
          <m:rPr>
            <m:sty m:val="p"/>
          </m:rPr>
          <m:t>=</m:t>
        </m:r>
        <m:r>
          <m:t>45</m:t>
        </m:r>
      </m:oMath>
      <w:r>
        <w:rPr>
          <w:i/>
          <w:iCs/>
        </w:rPr>
        <w:t xml:space="preserve"> </w:t>
      </w:r>
      <w:r>
        <w:rPr>
          <w:i/>
          <w:iCs/>
        </w:rPr>
        <w:t xml:space="preserve">configuration.</w:t>
      </w:r>
    </w:p>
    <w:p>
      <w:pPr>
        <w:pStyle w:val="BodyText"/>
      </w:pPr>
      <w:r>
        <w:rPr>
          <w:b/>
          <w:bCs/>
        </w:rPr>
        <w:t xml:space="preserve">Cost class:</w:t>
      </w:r>
      <w:r>
        <w:t xml:space="preserve"> </w:t>
      </w:r>
      <w:r>
        <w:t xml:space="preserve">geometry construction is O(</w:t>
      </w:r>
      <m:oMath>
        <m:r>
          <m:t>N</m:t>
        </m:r>
      </m:oMath>
      <w:r>
        <w:t xml:space="preserve">) once; subsequent navigation is voxelised.</w:t>
      </w:r>
    </w:p>
    <w:p>
      <w:pPr>
        <w:pStyle w:val="BodyText"/>
      </w:pPr>
      <w:r>
        <w:t xml:space="preserve">Figure 1 summarises the three modelling regimes and the recommended workflow that emerges from the benchmark: regime A as the default production model, regime B as the scalable explicit-RVE validation geometry, and regime C as a limited</w:t>
      </w:r>
      <w:r>
        <w:t xml:space="preserve"> </w:t>
      </w:r>
      <w:r>
        <w:rPr>
          <w:rStyle w:val="VerbatimChar"/>
        </w:rPr>
        <w:t xml:space="preserve">G4MultiUnion</w:t>
      </w:r>
      <w:r>
        <w:t xml:space="preserve"> </w:t>
      </w:r>
      <w:r>
        <w:t xml:space="preserve">stress test for small RVEs.</w:t>
      </w:r>
    </w:p>
    <w:p>
      <w:pPr>
        <w:pStyle w:val="CaptionedFigure"/>
      </w:pPr>
      <w:r>
        <w:drawing>
          <wp:inline>
            <wp:extent cx="5067300" cy="1194230"/>
            <wp:effectExtent b="0" l="0" r="0" t="0"/>
            <wp:docPr descr="Figure 1. Conceptual regime map for the three Geant4 modelling strategies benchmarked in this paper. Regime A is the production default for bulk attenuation, regime B is the explicit-RVE validation geometry, and regime C is a small-RVE G4MultiUnion path constrained by voxelizer scaling." title="" id="24" name="Picture"/>
            <a:graphic>
              <a:graphicData uri="http://schemas.openxmlformats.org/drawingml/2006/picture">
                <pic:pic>
                  <pic:nvPicPr>
                    <pic:cNvPr descr="../../../results/paper3/figures/paper3_fig1_regime_map.png" id="25" name="Picture"/>
                    <pic:cNvPicPr>
                      <a:picLocks noChangeArrowheads="1" noChangeAspect="1"/>
                    </pic:cNvPicPr>
                  </pic:nvPicPr>
                  <pic:blipFill>
                    <a:blip r:embed="rId23"/>
                    <a:stretch>
                      <a:fillRect/>
                    </a:stretch>
                  </pic:blipFill>
                  <pic:spPr bwMode="auto">
                    <a:xfrm>
                      <a:off x="0" y="0"/>
                      <a:ext cx="5067300" cy="1194230"/>
                    </a:xfrm>
                    <a:prstGeom prst="rect">
                      <a:avLst/>
                    </a:prstGeom>
                    <a:noFill/>
                    <a:ln w="9525">
                      <a:noFill/>
                      <a:headEnd/>
                      <a:tailEnd/>
                    </a:ln>
                  </pic:spPr>
                </pic:pic>
              </a:graphicData>
            </a:graphic>
          </wp:inline>
        </w:drawing>
      </w:r>
    </w:p>
    <w:p>
      <w:pPr>
        <w:pStyle w:val="ImageCaption"/>
      </w:pPr>
      <w:r>
        <w:t xml:space="preserve">Figure 1. Conceptual regime map for the three Geant4 modelling strategies benchmarked in this paper. Regime A is the production default for bulk attenuation, regime B is the explicit-RVE validation geometry, and regime C is a small-RVE</w:t>
      </w:r>
      <w:r>
        <w:t xml:space="preserve"> </w:t>
      </w:r>
      <w:r>
        <w:rPr>
          <w:rStyle w:val="VerbatimChar"/>
        </w:rPr>
        <w:t xml:space="preserve">G4MultiUnion</w:t>
      </w:r>
      <w:r>
        <w:t xml:space="preserve"> </w:t>
      </w:r>
      <w:r>
        <w:t xml:space="preserve">path constrained by voxelizer scaling.</w:t>
      </w:r>
    </w:p>
    <w:p>
      <w:r>
        <w:pict>
          <v:rect style="width:0;height:1.5pt" o:hralign="center" o:hrstd="t" o:hr="t"/>
        </w:pict>
      </w:r>
    </w:p>
    <w:bookmarkEnd w:id="26"/>
    <w:bookmarkEnd w:id="27"/>
    <w:bookmarkStart w:id="34" w:name="benchmark-protocol"/>
    <w:p>
      <w:pPr>
        <w:pStyle w:val="Heading2"/>
      </w:pPr>
      <w:r>
        <w:t xml:space="preserve">4. Benchmark Protocol</w:t>
      </w:r>
    </w:p>
    <w:bookmarkStart w:id="28" w:name="material"/>
    <w:p>
      <w:pPr>
        <w:pStyle w:val="Heading3"/>
      </w:pPr>
      <w:r>
        <w:t xml:space="preserve">4.1 Material</w:t>
      </w:r>
    </w:p>
    <w:p>
      <w:pPr>
        <w:pStyle w:val="FirstParagraph"/>
      </w:pPr>
      <w:r>
        <w:t xml:space="preserve">For this paper the cross-regime benchmark material is HDPE/Bi₂O₃ at φ = 0.189 volume fraction. All three regimes use the following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Matrix</w:t>
            </w:r>
          </w:p>
        </w:tc>
        <w:tc>
          <w:tcPr/>
          <w:p>
            <w:pPr>
              <w:pStyle w:val="Compact"/>
            </w:pPr>
            <w:r>
              <w:t xml:space="preserve">HDPE (C₂H₄)</w:t>
            </w:r>
            <m:oMath>
              <m:sSub>
                <m:e>
                  <m:r>
                    <m:t>​</m:t>
                  </m:r>
                </m:e>
                <m:sub>
                  <m:r>
                    <m:t>n</m:t>
                  </m:r>
                </m:sub>
              </m:sSub>
            </m:oMath>
            <w:r>
              <w:t xml:space="preserve">,</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p>
        </w:tc>
        <w:tc>
          <w:tcPr/>
          <w:p>
            <w:pPr>
              <w:pStyle w:val="Compact"/>
            </w:pPr>
            <w:r>
              <w:t xml:space="preserve">NIST</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literature</w:t>
            </w:r>
          </w:p>
        </w:tc>
      </w:tr>
      <w:tr>
        <w:tc>
          <w:tcPr/>
          <w:p>
            <w:pPr>
              <w:pStyle w:val="Compact"/>
            </w:pPr>
            <w:r>
              <w:t xml:space="preserve">Filler volume fraction</w:t>
            </w:r>
            <w:r>
              <w:t xml:space="preserve"> </w:t>
            </w:r>
            <m:oMath>
              <m:sSub>
                <m:e>
                  <m:r>
                    <m:t>ϕ</m:t>
                  </m:r>
                </m:e>
                <m:sub>
                  <m:r>
                    <m:t>f</m:t>
                  </m:r>
                </m:sub>
              </m:sSub>
            </m:oMath>
          </w:p>
        </w:tc>
        <w:tc>
          <w:tcPr/>
          <w:p>
            <w:pPr>
              <w:pStyle w:val="Compact"/>
            </w:pPr>
            <w:r>
              <w:t xml:space="preserve">0.189</w:t>
            </w:r>
          </w:p>
        </w:tc>
        <w:tc>
          <w:tcPr/>
          <w:p>
            <w:pPr>
              <w:pStyle w:val="Compact"/>
            </w:pPr>
            <w:r>
              <w:t xml:space="preserve">linear mixture rule</w:t>
            </w:r>
          </w:p>
        </w:tc>
      </w:tr>
      <w:tr>
        <w:tc>
          <w:tcPr/>
          <w:p>
            <w:pPr>
              <w:pStyle w:val="Compact"/>
            </w:pPr>
            <w:r>
              <w:t xml:space="preserve">Effective density</w:t>
            </w:r>
            <w:r>
              <w:t xml:space="preserve"> </w:t>
            </w:r>
            <m:oMath>
              <m:sSub>
                <m:e>
                  <m:r>
                    <m:t>ρ</m:t>
                  </m:r>
                </m:e>
                <m:sub>
                  <m:r>
                    <m:rPr>
                      <m:nor/>
                      <m:sty m:val="p"/>
                    </m:rPr>
                    <m:t>eff</m:t>
                  </m:r>
                </m:sub>
              </m:sSub>
            </m:oMath>
          </w:p>
        </w:tc>
        <w:tc>
          <w:tcPr/>
          <w:p>
            <w:pPr>
              <w:pStyle w:val="Compact"/>
            </w:pPr>
            <w:r>
              <w:t xml:space="preserve">2.452 g cm</w:t>
            </w:r>
            <m:oMath>
              <m:sSup>
                <m:e>
                  <m:r>
                    <m:t>​</m:t>
                  </m:r>
                </m:e>
                <m:sup>
                  <m:r>
                    <m:rPr>
                      <m:sty m:val="p"/>
                    </m:rPr>
                    <m:t>−</m:t>
                  </m:r>
                  <m:r>
                    <m:t>3</m:t>
                  </m:r>
                </m:sup>
              </m:sSup>
            </m:oMath>
          </w:p>
        </w:tc>
        <w:tc>
          <w:tcPr/>
          <w:p>
            <w:pPr>
              <w:pStyle w:val="Compact"/>
            </w:pPr>
            <m:oMath>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w:p>
        </w:tc>
      </w:tr>
      <w:tr>
        <w:tc>
          <w:tcPr/>
          <w:p>
            <w:pPr>
              <w:pStyle w:val="Compact"/>
            </w:pPr>
            <w:r>
              <w:t xml:space="preserve">Filler mass fraction</w:t>
            </w:r>
            <w:r>
              <w:t xml:space="preserve"> </w:t>
            </w:r>
            <m:oMath>
              <m:sSub>
                <m:e>
                  <m:r>
                    <m:t>w</m:t>
                  </m:r>
                </m:e>
                <m:sub>
                  <m:r>
                    <m:t>f</m:t>
                  </m:r>
                </m:sub>
              </m:sSub>
            </m:oMath>
          </w:p>
        </w:tc>
        <w:tc>
          <w:tcPr/>
          <w:p>
            <w:pPr>
              <w:pStyle w:val="Compact"/>
            </w:pPr>
            <w:r>
              <w:t xml:space="preserve">0.686 (68.6 wt% Bi₂O₃)</w:t>
            </w:r>
          </w:p>
        </w:tc>
        <w:tc>
          <w:tcPr/>
          <w:p>
            <w:pPr>
              <w:pStyle w:val="Compact"/>
            </w:pPr>
            <m:oMath>
              <m:sSub>
                <m:e>
                  <m:r>
                    <m:t>ϕ</m:t>
                  </m:r>
                </m:e>
                <m:sub>
                  <m:r>
                    <m:t>f</m:t>
                  </m:r>
                </m:sub>
              </m:sSub>
              <m:sSub>
                <m:e>
                  <m:r>
                    <m:t>ρ</m:t>
                  </m:r>
                </m:e>
                <m:sub>
                  <m:r>
                    <m:t>f</m:t>
                  </m:r>
                </m:sub>
              </m:sSub>
              <m:r>
                <m:rPr>
                  <m:sty m:val="p"/>
                </m:rPr>
                <m:t>/</m:t>
              </m:r>
              <m:sSub>
                <m:e>
                  <m:r>
                    <m:t>ρ</m:t>
                  </m:r>
                </m:e>
                <m:sub>
                  <m:r>
                    <m:rPr>
                      <m:nor/>
                      <m:sty m:val="p"/>
                    </m:rPr>
                    <m:t>eff</m:t>
                  </m:r>
                </m:sub>
              </m:sSub>
            </m:oMath>
          </w:p>
        </w:tc>
      </w:tr>
    </w:tbl>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8"/>
    <w:bookmarkStart w:id="29"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 Regime C uses a distributed beam sampling</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to ensure ergodic averaging across the 250 nm RVE cross-section (§5.3).</w:t>
      </w:r>
    </w:p>
    <w:bookmarkEnd w:id="29"/>
    <w:bookmarkStart w:id="30"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 (1 mm for slab; default for RVE).</w:t>
      </w:r>
      <w:r>
        <w:t xml:space="preserve"> </w:t>
      </w:r>
      <w:r>
        <w:rPr>
          <w:rStyle w:val="VerbatimChar"/>
        </w:rPr>
        <w:t xml:space="preserve">SHIELDLAB_PHYSICS_LIST=emlivermore</w:t>
      </w:r>
      <w:r>
        <w:t xml:space="preserve">.</w:t>
      </w:r>
    </w:p>
    <w:bookmarkEnd w:id="30"/>
    <w:bookmarkStart w:id="31"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p>
      <w:pPr>
        <w:pStyle w:val="BodyText"/>
      </w:pPr>
      <w:r>
        <w:t xml:space="preserve">Regime A uses</w:t>
      </w:r>
      <w:r>
        <w:t xml:space="preserve"> </w:t>
      </w:r>
      <m:oMath>
        <m:sSup>
          <m:e>
            <m:r>
              <m:t>10</m:t>
            </m:r>
          </m:e>
          <m:sup>
            <m:r>
              <m:t>6</m:t>
            </m:r>
          </m:sup>
        </m:sSup>
      </m:oMath>
      <w:r>
        <w:t xml:space="preserve"> </w:t>
      </w:r>
      <w:r>
        <w:t xml:space="preserve">histories (the established ShieldLab paper-3 acceptance standard). Regimes B and C use</w:t>
      </w:r>
      <w:r>
        <w:t xml:space="preserve"> </w:t>
      </w:r>
      <m:oMath>
        <m:sSup>
          <m:e>
            <m:r>
              <m:t>10</m:t>
            </m:r>
          </m:e>
          <m:sup>
            <m:r>
              <m:t>7</m:t>
            </m:r>
          </m:sup>
        </m:sSup>
      </m:oMath>
      <w:r>
        <w:t xml:space="preserve"> </w:t>
      </w:r>
      <w:r>
        <w:t xml:space="preserve">histories because the low interaction probability in a 1 µm RVE (</w:t>
      </w:r>
      <m:oMath>
        <m:r>
          <m:t>μ</m:t>
        </m:r>
        <m:r>
          <m:t>L</m:t>
        </m:r>
        <m:r>
          <m:rPr>
            <m:sty m:val="p"/>
          </m:rPr>
          <m:t>≈</m:t>
        </m:r>
        <m:r>
          <m:t>2</m:t>
        </m:r>
        <m:r>
          <m:rPr>
            <m:sty m:val="p"/>
          </m:rPr>
          <m:t>×</m:t>
        </m:r>
        <m:sSup>
          <m:e>
            <m:r>
              <m:t>10</m:t>
            </m:r>
          </m:e>
          <m:sup>
            <m:r>
              <m:rPr>
                <m:sty m:val="p"/>
              </m:rPr>
              <m:t>−</m:t>
            </m:r>
            <m:r>
              <m:t>3</m:t>
            </m:r>
          </m:sup>
        </m:sSup>
      </m:oMath>
      <w:r>
        <w:t xml:space="preserve"> </w:t>
      </w:r>
      <w:r>
        <w:t xml:space="preserve">at 100 keV) requires more events to achieve comparable relative uncertainty in</w:t>
      </w:r>
      <w:r>
        <w:t xml:space="preserve"> </w:t>
      </w:r>
      <m:oMath>
        <m:acc>
          <m:accPr>
            <m:chr m:val="̂"/>
          </m:accPr>
          <m:e>
            <m:r>
              <m:t>μ</m:t>
            </m:r>
          </m:e>
        </m:acc>
      </m:oMath>
      <w:r>
        <w:t xml:space="preserve">.</w:t>
      </w:r>
    </w:p>
    <w:bookmarkEnd w:id="31"/>
    <w:bookmarkStart w:id="32"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r>
              <w:t xml:space="preserve"> </w:t>
            </w:r>
            <w:r>
              <w:t xml:space="preserve">(2σ dominated by regime B/C statistics)</w:t>
            </w:r>
          </w:p>
        </w:tc>
      </w:tr>
    </w:tbl>
    <w:bookmarkEnd w:id="32"/>
    <w:bookmarkStart w:id="33"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3"/>
    <w:bookmarkEnd w:id="34"/>
    <w:bookmarkStart w:id="60" w:name="results"/>
    <w:p>
      <w:pPr>
        <w:pStyle w:val="Heading2"/>
      </w:pPr>
      <w:r>
        <w:t xml:space="preserve">5. Results</w:t>
      </w:r>
    </w:p>
    <w:bookmarkStart w:id="47" w:name="regime-a-effective-medium-studies"/>
    <w:p>
      <w:pPr>
        <w:pStyle w:val="Heading3"/>
      </w:pPr>
      <w:r>
        <w:t xml:space="preserve">5.1 Regime A — Effective-Medium Studies</w:t>
      </w:r>
    </w:p>
    <w:p>
      <w:pPr>
        <w:pStyle w:val="FirstParagraph"/>
      </w:pPr>
      <w:r>
        <w:t xml:space="preserve">Two regime-A runs are reported. The first (§5.1.1–5.1.4) is the existing high-statistics XCOM validation for the 30 wt% Bi₂O₃ / HDPE material. The second (§5.1.5) is the new phi0p189 run at the composition consistent with φ = 0.189 (68.6 wt% Bi₂O₃), which serves as the regime-A baseline for the cross-regime H1 test in §5.4.</w:t>
      </w:r>
    </w:p>
    <w:bookmarkStart w:id="35"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correct density for 30 wt% Bi₂O₃/HDPE is approximately 1.30 g cm⁻³). The density is retained as a literature input for the XCOM-validation purpose only. The cross-regime comparison in §5.2–5.4 uses the phi0p189 material described in §5.1.5.</w:t>
      </w:r>
    </w:p>
    <w:bookmarkEnd w:id="35"/>
    <w:bookmarkStart w:id="36" w:name="acceptance-gate-30-wt-xcom-validation"/>
    <w:p>
      <w:pPr>
        <w:pStyle w:val="Heading4"/>
      </w:pPr>
      <w:r>
        <w:t xml:space="preserve">5.1.1 Acceptance gate (30 wt% XCOM validation)</w:t>
      </w:r>
    </w:p>
    <w:p>
      <w:pPr>
        <w:pStyle w:val="FirstParagraph"/>
      </w:pPr>
      <w:r>
        <w:t xml:space="preserve">The machine-enforced acceptance gate in</w:t>
      </w:r>
      <w:r>
        <w:t xml:space="preserve"> </w:t>
      </w:r>
      <w:r>
        <w:rPr>
          <w:rStyle w:val="VerbatimChar"/>
        </w:rPr>
        <w:t xml:space="preserve">paper3_acceptance.json</w:t>
      </w:r>
      <w:r>
        <w:t xml:space="preserve"> </w:t>
      </w:r>
      <w:r>
        <w:rPr>
          <w:b/>
          <w:bCs/>
        </w:rPr>
        <w:t xml:space="preserve">passed</w:t>
      </w:r>
      <w:r>
        <w:t xml:space="preserve"> </w:t>
      </w:r>
      <w:r>
        <w:t xml:space="preserve">for the full 10-point energy grid:</w:t>
      </w:r>
    </w:p>
    <w:p>
      <w:pPr>
        <w:pStyle w:val="Compact"/>
        <w:numPr>
          <w:ilvl w:val="0"/>
          <w:numId w:val="1004"/>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4"/>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6"/>
    <w:bookmarkStart w:id="37" w:name="mass-attenuation-coefficient-table"/>
    <w:p>
      <w:pPr>
        <w:pStyle w:val="Heading4"/>
      </w:pPr>
      <w:r>
        <w:t xml:space="preserve">5.1.2 Mass attenuation coefficient table</w:t>
      </w:r>
    </w:p>
    <w:p>
      <w:pPr>
        <w:pStyle w:val="FirstParagraph"/>
      </w:pPr>
      <w:r>
        <w:t xml:space="preserve">Table 1 lists the full 10-point regime A results. Column headers: energy</w:t>
      </w:r>
      <w:r>
        <w:t xml:space="preserve"> </w:t>
      </w:r>
      <m:oMath>
        <m:r>
          <m:t>E</m:t>
        </m:r>
      </m:oMath>
      <w:r>
        <w:t xml:space="preserve">, per-energy slab thickness</w:t>
      </w:r>
      <w:r>
        <w:t xml:space="preserve"> </w:t>
      </w:r>
      <m:oMath>
        <m:r>
          <m:t>t</m:t>
        </m:r>
      </m:oMath>
      <w:r>
        <w:t xml:space="preserve"> </w:t>
      </w:r>
      <w:r>
        <w:t xml:space="preserve">adjusted to target</w:t>
      </w:r>
      <w:r>
        <w:t xml:space="preserve"> </w:t>
      </w:r>
      <m:oMath>
        <m:r>
          <m:t>T</m:t>
        </m:r>
        <m:r>
          <m:rPr>
            <m:sty m:val="p"/>
          </m:rPr>
          <m:t>≈</m:t>
        </m:r>
        <m:r>
          <m:t>0.65</m:t>
        </m:r>
      </m:oMath>
      <w:r>
        <w:t xml:space="preserve">, number of primary events</w:t>
      </w:r>
      <w:r>
        <w:t xml:space="preserve"> </w:t>
      </w:r>
      <m:oMath>
        <m:r>
          <m:t>N</m:t>
        </m:r>
      </m:oMath>
      <w:r>
        <w:t xml:space="preserve">, transmission fraction</w:t>
      </w:r>
      <w:r>
        <w:t xml:space="preserve"> </w:t>
      </w:r>
      <m:oMath>
        <m:r>
          <m:t>T</m:t>
        </m:r>
      </m:oMath>
      <w:r>
        <w:t xml:space="preserve">, simulated linear attenuation coefficient</w:t>
      </w:r>
      <w:r>
        <w:t xml:space="preserve"> </w:t>
      </w:r>
      <m:oMath>
        <m:sSub>
          <m:e>
            <m:r>
              <m:t>μ</m:t>
            </m:r>
          </m:e>
          <m:sub>
            <m:r>
              <m:rPr>
                <m:nor/>
                <m:sty m:val="p"/>
              </m:rPr>
              <m:t>sim</m:t>
            </m:r>
          </m:sub>
        </m:sSub>
      </m:oMath>
      <w:r>
        <w:t xml:space="preserve">, simulated mass attenuation coefficient</w:t>
      </w:r>
      <w:r>
        <w:t xml:space="preserve"> </w:t>
      </w:r>
      <m:oMath>
        <m:r>
          <m:rPr>
            <m:sty m:val="p"/>
          </m:rPr>
          <m:t>(</m:t>
        </m:r>
        <m:r>
          <m:t>μ</m:t>
        </m:r>
        <m:r>
          <m:rPr>
            <m:sty m:val="p"/>
          </m:rPr>
          <m:t>/</m:t>
        </m:r>
        <m:r>
          <m:t>ρ</m:t>
        </m:r>
        <m:sSub>
          <m:e>
            <m:r>
              <m:rPr>
                <m:sty m:val="p"/>
              </m:rPr>
              <m:t>)</m:t>
            </m:r>
          </m:e>
          <m:sub>
            <m:r>
              <m:rPr>
                <m:nor/>
                <m:sty m:val="p"/>
              </m:rPr>
              <m:t>sim</m:t>
            </m:r>
          </m:sub>
        </m:sSub>
      </m:oMath>
      <w:r>
        <w:t xml:space="preserve">, NIST XCOM reference</w:t>
      </w:r>
      <w:r>
        <w:t xml:space="preserve"> </w:t>
      </w:r>
      <m:oMath>
        <m:r>
          <m:rPr>
            <m:sty m:val="p"/>
          </m:rPr>
          <m:t>(</m:t>
        </m:r>
        <m:r>
          <m:t>μ</m:t>
        </m:r>
        <m:r>
          <m:rPr>
            <m:sty m:val="p"/>
          </m:rPr>
          <m:t>/</m:t>
        </m:r>
        <m:r>
          <m:t>ρ</m:t>
        </m:r>
        <m:sSub>
          <m:e>
            <m:r>
              <m:rPr>
                <m:sty m:val="p"/>
              </m:rPr>
              <m:t>)</m:t>
            </m:r>
          </m:e>
          <m:sub>
            <m:r>
              <m:rPr>
                <m:nor/>
                <m:sty m:val="p"/>
              </m:rPr>
              <m:t>XCOM</m:t>
            </m:r>
          </m:sub>
        </m:sSub>
      </m:oMath>
      <w:r>
        <w:t xml:space="preserve">, and relative deviation</w:t>
      </w:r>
      <w:r>
        <w:t xml:space="preserve"> </w:t>
      </w:r>
      <m:oMath>
        <m:r>
          <m:rPr>
            <m:sty m:val="p"/>
          </m:rPr>
          <m:t>Δ</m:t>
        </m:r>
        <m:r>
          <m:rPr>
            <m:sty m:val="p"/>
          </m:rPr>
          <m:t>=</m:t>
        </m:r>
        <m:r>
          <m:t>100</m:t>
        </m:r>
        <m:r>
          <m:rPr>
            <m:sty m:val="p"/>
          </m:rPr>
          <m:t>×</m:t>
        </m:r>
        <m:r>
          <m:rPr>
            <m:sty m:val="p"/>
          </m:rPr>
          <m:t>[</m:t>
        </m:r>
        <m:r>
          <m:rPr>
            <m:sty m:val="p"/>
          </m:rPr>
          <m:t>(</m:t>
        </m:r>
        <m:r>
          <m:t>μ</m:t>
        </m:r>
        <m:r>
          <m:rPr>
            <m:sty m:val="p"/>
          </m:rPr>
          <m:t>/</m:t>
        </m:r>
        <m:r>
          <m:t>ρ</m:t>
        </m:r>
        <m:sSub>
          <m:e>
            <m:r>
              <m:rPr>
                <m:sty m:val="p"/>
              </m:rPr>
              <m:t>)</m:t>
            </m:r>
          </m:e>
          <m:sub>
            <m:r>
              <m:rPr>
                <m:nor/>
                <m:sty m:val="p"/>
              </m:rPr>
              <m:t>sim</m:t>
            </m:r>
          </m:sub>
        </m:sSub>
        <m:r>
          <m:rPr>
            <m:sty m:val="p"/>
          </m:rPr>
          <m:t>/</m:t>
        </m:r>
        <m:r>
          <m:rPr>
            <m:sty m:val="p"/>
          </m:rPr>
          <m:t>(</m:t>
        </m:r>
        <m:r>
          <m:t>μ</m:t>
        </m:r>
        <m:r>
          <m:rPr>
            <m:sty m:val="p"/>
          </m:rPr>
          <m:t>/</m:t>
        </m:r>
        <m:r>
          <m:t>ρ</m:t>
        </m:r>
        <m:sSub>
          <m:e>
            <m:r>
              <m:rPr>
                <m:sty m:val="p"/>
              </m:rPr>
              <m:t>)</m:t>
            </m:r>
          </m:e>
          <m:sub>
            <m:r>
              <m:rPr>
                <m:nor/>
                <m:sty m:val="p"/>
              </m:rPr>
              <m:t>XCOM</m:t>
            </m:r>
          </m:sub>
        </m:sSub>
        <m:r>
          <m:rPr>
            <m:sty m:val="p"/>
          </m:rPr>
          <m:t>−</m:t>
        </m:r>
        <m:r>
          <m:t>1</m:t>
        </m:r>
        <m:r>
          <m:rPr>
            <m:sty m:val="p"/>
          </m:rPr>
          <m:t>]</m:t>
        </m:r>
      </m:oMath>
      <w:r>
        <w:t xml:space="preserve">.</w:t>
      </w:r>
    </w:p>
    <w:p>
      <w:pPr>
        <w:pStyle w:val="BodyText"/>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r>
        <w:t xml:space="preserve"> </w:t>
      </w:r>
      <w:r>
        <w:rPr>
          <w:i/>
          <w:iCs/>
        </w:rPr>
        <w:t xml:space="preserve">This material is used for emlivermore XCOM validation only, not for the cross-regime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p>
      <w:pPr>
        <w:pStyle w:val="BodyText"/>
      </w:pPr>
      <w:r>
        <w:t xml:space="preserve">Uncertainties (1σ statistical) on</w:t>
      </w:r>
      <w:r>
        <w:t xml:space="preserve"> </w:t>
      </w:r>
      <m:oMath>
        <m:r>
          <m:rPr>
            <m:sty m:val="p"/>
          </m:rPr>
          <m:t>(</m:t>
        </m:r>
        <m:r>
          <m:t>μ</m:t>
        </m:r>
        <m:r>
          <m:rPr>
            <m:sty m:val="p"/>
          </m:rPr>
          <m:t>/</m:t>
        </m:r>
        <m:r>
          <m:t>ρ</m:t>
        </m:r>
        <m:sSub>
          <m:e>
            <m:r>
              <m:rPr>
                <m:sty m:val="p"/>
              </m:rPr>
              <m:t>)</m:t>
            </m:r>
          </m:e>
          <m:sub>
            <m:r>
              <m:rPr>
                <m:nor/>
                <m:sty m:val="p"/>
              </m:rPr>
              <m:t>sim</m:t>
            </m:r>
          </m:sub>
        </m:sSub>
      </m:oMath>
      <w:r>
        <w:t xml:space="preserve"> </w:t>
      </w:r>
      <w:r>
        <w:t xml:space="preserve">range from 0.037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30 keV to 0.0001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1332 keV; all are smaller than the reported deviations and do not affect the pass/fail conclusion.</w:t>
      </w:r>
    </w:p>
    <w:bookmarkEnd w:id="37"/>
    <w:bookmarkStart w:id="41"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[11], which contains fine edge structure. Small energy-bin misalignment between the Geant4 tabulated values and the XCOM energy grid is the most likely explanation for the elevated deviation at 80 keV. The deviation is statistically significant at approximately 12σ (normalised residual from</w:t>
      </w:r>
      <w:r>
        <w:t xml:space="preserve"> </w:t>
      </w:r>
      <w:r>
        <w:rPr>
          <w:rStyle w:val="VerbatimChar"/>
        </w:rPr>
        <w:t xml:space="preserve">reference_comparison.csv</w:t>
      </w:r>
      <w:r>
        <w:t xml:space="preserve">) but remains within the pre-registered 5% maximum gate. All other energy points deviate by less than 0.9%, consistent with the systematic XCOM agreement documented for regime A in the companion ShieldLab G4 v1.0 scientific report.</w:t>
      </w:r>
    </w:p>
    <w:p>
      <w:pPr>
        <w:pStyle w:val="BodyText"/>
      </w:pPr>
      <w:r>
        <w:t xml:space="preserve">Figure 2 visualises the regime-A validation curve against XCOM with 95% statistical confidence intervals. The plotted uncertainties are much smaller than the observed Bi-edge deviation, supporting the interpretation that the residual at 80 keV reflects tabulation/interpolation mismatch rather than Monte Carlo noise.</w:t>
      </w:r>
    </w:p>
    <w:p>
      <w:pPr>
        <w:pStyle w:val="CaptionedFigure"/>
      </w:pPr>
      <w:r>
        <w:drawing>
          <wp:inline>
            <wp:extent cx="4533900" cy="3089322"/>
            <wp:effectExtent b="0" l="0" r="0" t="0"/>
            <wp:docPr descr="Figure 2. Regime A(30 wt%) mass attenuation coefficient benchmark against NIST XCOM with 95% statistical confidence intervals on the simulated points. The largest residual occurs near the Bi K-edge complex but remains within the pre-registered acceptance gate." title="" id="39" name="Picture"/>
            <a:graphic>
              <a:graphicData uri="http://schemas.openxmlformats.org/drawingml/2006/picture">
                <pic:pic>
                  <pic:nvPicPr>
                    <pic:cNvPr descr="../../../results/paper3/figures/paper3_fig2_regime_a_validation.png" id="40" name="Picture"/>
                    <pic:cNvPicPr>
                      <a:picLocks noChangeArrowheads="1" noChangeAspect="1"/>
                    </pic:cNvPicPr>
                  </pic:nvPicPr>
                  <pic:blipFill>
                    <a:blip r:embed="rId38"/>
                    <a:stretch>
                      <a:fillRect/>
                    </a:stretch>
                  </pic:blipFill>
                  <pic:spPr bwMode="auto">
                    <a:xfrm>
                      <a:off x="0" y="0"/>
                      <a:ext cx="4533900" cy="3089322"/>
                    </a:xfrm>
                    <a:prstGeom prst="rect">
                      <a:avLst/>
                    </a:prstGeom>
                    <a:noFill/>
                    <a:ln w="9525">
                      <a:noFill/>
                      <a:headEnd/>
                      <a:tailEnd/>
                    </a:ln>
                  </pic:spPr>
                </pic:pic>
              </a:graphicData>
            </a:graphic>
          </wp:inline>
        </w:drawing>
      </w:r>
    </w:p>
    <w:p>
      <w:pPr>
        <w:pStyle w:val="ImageCaption"/>
      </w:pPr>
      <w:r>
        <w:t xml:space="preserve">Figure 2. Regime A(30 wt%) mass attenuation coefficient benchmark against NIST XCOM with 95% statistical confidence intervals on the simulated points. The largest residual occurs near the Bi K-edge complex but remains within the pre-registered acceptance gate.</w:t>
      </w:r>
    </w:p>
    <w:bookmarkEnd w:id="41"/>
    <w:bookmarkStart w:id="45"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5"/>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5"/>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5"/>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5"/>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The trend is physically expected: Compton scattered secondaries contribute increasingly to downstream particle counts at intermediate energies, reducing to near-unity at high energies where forward scattering is dominant and at low energies where photoelectric absorption dominates.</w:t>
      </w:r>
    </w:p>
    <w:p>
      <w:pPr>
        <w:pStyle w:val="BodyText"/>
      </w:pPr>
      <w:r>
        <w:t xml:space="preserve">Figure 3 makes this secondary-field behaviour visible. Panel A shows that the count and energy buildup observables peak at intermediate photon energies, while panel B shows the downstream gamma spectra used to interpret that trend.</w:t>
      </w:r>
    </w:p>
    <w:p>
      <w:pPr>
        <w:pStyle w:val="CaptionedFigure"/>
      </w:pPr>
      <w:r>
        <w:drawing>
          <wp:inline>
            <wp:extent cx="5334000" cy="2155847"/>
            <wp:effectExtent b="0" l="0" r="0" t="0"/>
            <wp:docPr descr="Figure 3. Regime A downstream observables. (A) Monte Carlo buildup observables from count-based and energy-based estimators versus incident photon energy. (B) Downstream gamma spectra for representative incident energies, showing the secondary-field structure behind the buildup trend." title="" id="43" name="Picture"/>
            <a:graphic>
              <a:graphicData uri="http://schemas.openxmlformats.org/drawingml/2006/picture">
                <pic:pic>
                  <pic:nvPicPr>
                    <pic:cNvPr descr="../../../results/paper3/figures/paper3_fig3_buildup_and_spectrum.png" id="44" name="Picture"/>
                    <pic:cNvPicPr>
                      <a:picLocks noChangeArrowheads="1" noChangeAspect="1"/>
                    </pic:cNvPicPr>
                  </pic:nvPicPr>
                  <pic:blipFill>
                    <a:blip r:embed="rId42"/>
                    <a:stretch>
                      <a:fillRect/>
                    </a:stretch>
                  </pic:blipFill>
                  <pic:spPr bwMode="auto">
                    <a:xfrm>
                      <a:off x="0" y="0"/>
                      <a:ext cx="5334000" cy="2155847"/>
                    </a:xfrm>
                    <a:prstGeom prst="rect">
                      <a:avLst/>
                    </a:prstGeom>
                    <a:noFill/>
                    <a:ln w="9525">
                      <a:noFill/>
                      <a:headEnd/>
                      <a:tailEnd/>
                    </a:ln>
                  </pic:spPr>
                </pic:pic>
              </a:graphicData>
            </a:graphic>
          </wp:inline>
        </w:drawing>
      </w:r>
    </w:p>
    <w:p>
      <w:pPr>
        <w:pStyle w:val="ImageCaption"/>
      </w:pPr>
      <w:r>
        <w:t xml:space="preserve">Figure 3. Regime A downstream observables. (A) Monte Carlo buildup observables from count-based and energy-based estimators versus incident photon energy. (B) Downstream gamma spectra for representative incident energies, showing the secondary-field structure behind the buildup trend.</w:t>
      </w:r>
    </w:p>
    <w:bookmarkEnd w:id="45"/>
    <w:bookmarkStart w:id="46"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This is the effective-medium representation of the same two-phase system used in the regime-B and regime-C RVEs: at</w:t>
      </w:r>
      <w:r>
        <w:t xml:space="preserve"> </w:t>
      </w:r>
      <m:oMath>
        <m:sSub>
          <m:e>
            <m:r>
              <m:t>ϕ</m:t>
            </m:r>
          </m:e>
          <m:sub>
            <m:r>
              <m:t>f</m:t>
            </m:r>
          </m:sub>
        </m:sSub>
        <m:r>
          <m:rPr>
            <m:sty m:val="p"/>
          </m:rPr>
          <m:t>=</m:t>
        </m:r>
        <m:r>
          <m:t>0.189</m:t>
        </m:r>
      </m:oMath>
      <w:r>
        <w:t xml:space="preserve"> </w:t>
      </w:r>
      <w:r>
        <w:t xml:space="preserve">of Bi₂O₃ (</w:t>
      </w:r>
      <m:oMath>
        <m:sSub>
          <m:e>
            <m:r>
              <m:t>ρ</m:t>
            </m:r>
          </m:e>
          <m:sub>
            <m:r>
              <m:t>f</m:t>
            </m:r>
          </m:sub>
        </m:sSub>
        <m:r>
          <m:rPr>
            <m:sty m:val="p"/>
          </m:rPr>
          <m:t>=</m:t>
        </m:r>
        <m:r>
          <m:t>8.9</m:t>
        </m:r>
      </m:oMath>
      <w:r>
        <w:t xml:space="preserve">) in HDPE (</w:t>
      </w:r>
      <m:oMath>
        <m:sSub>
          <m:e>
            <m:r>
              <m:t>ρ</m:t>
            </m:r>
          </m:e>
          <m:sub>
            <m:r>
              <m:t>m</m:t>
            </m:r>
          </m:sub>
        </m:sSub>
        <m:r>
          <m:rPr>
            <m:sty m:val="p"/>
          </m:rPr>
          <m:t>=</m:t>
        </m:r>
        <m:r>
          <m:t>0.95</m:t>
        </m:r>
      </m:oMath>
      <w:r>
        <w:t xml:space="preserve">), the linear mixture rule gives exactly</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and</w:t>
      </w:r>
      <w:r>
        <w:t xml:space="preserve"> </w:t>
      </w:r>
      <m:oMath>
        <m:sSub>
          <m:e>
            <m:r>
              <m:t>w</m:t>
            </m:r>
          </m:e>
          <m:sub>
            <m:r>
              <m:t>f</m:t>
            </m:r>
          </m:sub>
        </m:sSub>
        <m:r>
          <m:rPr>
            <m:sty m:val="p"/>
          </m:rPr>
          <m:t>=</m:t>
        </m:r>
        <m:r>
          <m:t>68.6</m:t>
        </m:r>
      </m:oMath>
      <w:r>
        <w:t xml:space="preserve"> </w:t>
      </w:r>
      <w:r>
        <w:t xml:space="preserve">wt%.</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46"/>
    <w:bookmarkEnd w:id="47"/>
    <w:bookmarkStart w:id="50"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48"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p>
      <w:pPr>
        <w:pStyle w:val="FirstParagraph"/>
      </w:pPr>
      <w:r>
        <w:t xml:space="preserve">The RSA algorithm placed all 2,888 target spheres, achieving</w:t>
      </w:r>
      <w:r>
        <w:t xml:space="preserve"> </w:t>
      </w:r>
      <m:oMath>
        <m:sSub>
          <m:e>
            <m:r>
              <m:t>ϕ</m:t>
            </m:r>
          </m:e>
          <m:sub>
            <m:r>
              <m:t>f</m:t>
            </m:r>
          </m:sub>
        </m:sSub>
        <m:r>
          <m:rPr>
            <m:sty m:val="p"/>
          </m:rPr>
          <m:t>=</m:t>
        </m:r>
        <m:r>
          <m:t>0.1890</m:t>
        </m:r>
      </m:oMath>
      <w:r>
        <w:t xml:space="preserve"> </w:t>
      </w:r>
      <w:r>
        <w:t xml:space="preserve">(target: 0.189). No overlap rejections were reported — the packing fraction is well below the random close-packing limit (</w:t>
      </w:r>
      <m:oMath>
        <m:sSub>
          <m:e>
            <m:r>
              <m:t>ϕ</m:t>
            </m:r>
          </m:e>
          <m:sub>
            <m:r>
              <m:rPr>
                <m:nor/>
                <m:sty m:val="p"/>
              </m:rPr>
              <m:t>RCP</m:t>
            </m:r>
          </m:sub>
        </m:sSub>
        <m:r>
          <m:rPr>
            <m:sty m:val="p"/>
          </m:rPr>
          <m:t>≈</m:t>
        </m:r>
        <m:r>
          <m:t>0.64</m:t>
        </m:r>
      </m:oMath>
      <w:r>
        <w:t xml:space="preserve">).</w:t>
      </w:r>
    </w:p>
    <w:bookmarkEnd w:id="48"/>
    <w:bookmarkStart w:id="49" w:name="transmission-and-µ-results"/>
    <w:p>
      <w:pPr>
        <w:pStyle w:val="Heading4"/>
      </w:pPr>
      <w:r>
        <w:t xml:space="preserve">5.2.2 Transmission and µ results</w:t>
      </w:r>
    </w:p>
    <w:p>
      <w:pPr>
        <w:pStyle w:val="FirstParagraph"/>
      </w:pPr>
      <w:r>
        <w:rPr>
          <w:i/>
          <w:iCs/>
        </w:rPr>
        <w:t xml:space="preserve">XCOM reference values for 68.6 wt% Bi₂O₃ / HDPE at</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 </w:t>
      </w:r>
      <w:r>
        <w:rPr>
          <w:i/>
          <w:iCs/>
        </w:rPr>
        <w:t xml:space="preserve">are from</w:t>
      </w:r>
      <w:r>
        <w:rPr>
          <w:i/>
          <w:iCs/>
        </w:rPr>
        <w:t xml:space="preserve"> </w:t>
      </w:r>
      <w:r>
        <w:rPr>
          <w:rStyle w:val="VerbatimChar"/>
          <w:i/>
          <w:iCs/>
        </w:rPr>
        <w:t xml:space="preserve">paper3_results.py</w:t>
      </w:r>
      <w:r>
        <w:rPr>
          <w:i/>
          <w:iCs/>
        </w:rPr>
        <w:t xml:space="preserve"> </w:t>
      </w:r>
      <w:r>
        <w:rPr>
          <w:i/>
          <w:iCs/>
        </w:rPr>
        <w:t xml:space="preserve">via the NIST XCOM additive rule. All</w:t>
      </w:r>
      <w:r>
        <w:rPr>
          <w:i/>
          <w:iCs/>
        </w:rPr>
        <w:t xml:space="preserve"> </w:t>
      </w:r>
      <m:oMath>
        <m:r>
          <m:t>μ</m:t>
        </m:r>
        <m:r>
          <m:rPr>
            <m:sty m:val="p"/>
          </m:rPr>
          <m:t>/</m:t>
        </m:r>
        <m:r>
          <m:t>ρ</m:t>
        </m:r>
      </m:oMath>
      <w:r>
        <w:rPr>
          <w:i/>
          <w:iCs/>
        </w:rPr>
        <w:t xml:space="preserve"> </w:t>
      </w:r>
      <w:r>
        <w:rPr>
          <w:i/>
          <w:iCs/>
        </w:rPr>
        <w:t xml:space="preserve">values use</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w:t>
      </w:r>
    </w:p>
    <w:p>
      <w:pPr>
        <w:pStyle w:val="BodyText"/>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w:t>
      </w:r>
      <w:r>
        <w:t xml:space="preserve">is the number of attenuated primaries.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ratio.</w:t>
      </w:r>
      <w:r>
        <w:t xml:space="preserve"> </w:t>
      </w:r>
      <w:r>
        <w:t xml:space="preserve">The ratio is computed against the regime A(phi0p189) result (§5.1.5), not the 30 wt% highstat run. Both regimes represent the same physical material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agreement confirms H1.</w:t>
      </w:r>
    </w:p>
    <w:p>
      <w:pPr>
        <w:pStyle w:val="BodyText"/>
      </w:pPr>
      <w:r>
        <w:rPr>
          <w:i/>
          <w:iCs/>
        </w:rPr>
        <w:t xml:space="preserve">Note on the Bi K-edge.</w:t>
      </w:r>
      <w:r>
        <w:t xml:space="preserve"> </w:t>
      </w:r>
      <w:r>
        <w:t xml:space="preserve">The Bi K-edge lies at 90.5 keV. 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(below the K-edge), then rises to 8.61 cm</w:t>
      </w:r>
      <m:oMath>
        <m:sSup>
          <m:e>
            <m:r>
              <m:t>​</m:t>
            </m:r>
          </m:e>
          <m:sup>
            <m:r>
              <m:rPr>
                <m:sty m:val="p"/>
              </m:rPr>
              <m:t>−</m:t>
            </m:r>
            <m:r>
              <m:t>1</m:t>
            </m:r>
          </m:sup>
        </m:sSup>
      </m:oMath>
      <w:r>
        <w:t xml:space="preserve"> </w:t>
      </w:r>
      <w:r>
        <w:t xml:space="preserve">at 100 keV (above the K-edge). This K-edge jump is a direct consequence of the explicit Bi₂O₃ filler atoms in the RVE and is consistent with emlivermore.</w:t>
      </w:r>
    </w:p>
    <w:p>
      <w:pPr>
        <w:pStyle w:val="BodyText"/>
      </w:pPr>
      <w:r>
        <w:rPr>
          <w:i/>
          <w:iCs/>
        </w:rPr>
        <w:t xml:space="preserve">Note on statistical precision at high energies.</w:t>
      </w:r>
      <w:r>
        <w:t xml:space="preserve"> </w:t>
      </w:r>
      <w:r>
        <w:t xml:space="preserve">For the 1 µm RVE above 300 keV, the photoelectric cross section of Bi falls steeply, leaving predominantly Compton scattering. At 356 keV, only 514 photons are attenuated out of</w:t>
      </w:r>
      <w:r>
        <w:t xml:space="preserve"> </w:t>
      </w:r>
      <m:oMath>
        <m:sSup>
          <m:e>
            <m:r>
              <m:t>10</m:t>
            </m:r>
          </m:e>
          <m:sup>
            <m:r>
              <m:t>7</m:t>
            </m:r>
          </m:sup>
        </m:sSup>
      </m:oMath>
      <w:r>
        <w:t xml:space="preserve">, giving a relative</w:t>
      </w:r>
      <w:r>
        <w:t xml:space="preserve"> </w:t>
      </w:r>
      <m:oMath>
        <m:r>
          <m:t>1</m:t>
        </m:r>
        <m:r>
          <m:t>σ</m:t>
        </m:r>
      </m:oMath>
      <w:r>
        <w:t xml:space="preserve"> </w:t>
      </w:r>
      <w:r>
        <w:t xml:space="preserve">uncertainty of 4.4%. At 511 keV this rises to 5.8%. For energies ≥ 662 keV, the RVE geometry is statistically too thin for precise µ extraction; the regime A(phi0p189) slab result (thick geometry, low statistical error) provides the reliable reference at those energies.</w:t>
      </w:r>
    </w:p>
    <w:bookmarkEnd w:id="49"/>
    <w:bookmarkEnd w:id="50"/>
    <w:bookmarkStart w:id="55"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 regime C approach substitutes</w:t>
      </w:r>
      <w:r>
        <w:t xml:space="preserve"> </w:t>
      </w:r>
      <w:r>
        <w:rPr>
          <w:rStyle w:val="VerbatimChar"/>
        </w:rPr>
        <w:t xml:space="preserve">G4MultiUnion</w:t>
      </w:r>
      <w:r>
        <w:t xml:space="preserve"> </w:t>
      </w:r>
      <w:r>
        <w:t xml:space="preserve">+</w:t>
      </w:r>
      <w:r>
        <w:t xml:space="preserve"> </w:t>
      </w:r>
      <w:r>
        <w:rPr>
          <w:rStyle w:val="VerbatimChar"/>
        </w:rPr>
        <w:t xml:space="preserve">Voxelize()</w:t>
      </w:r>
      <w:r>
        <w:t xml:space="preserve"> </w:t>
      </w:r>
      <w:r>
        <w:t xml:space="preserve">for the</w:t>
      </w:r>
      <w:r>
        <w:t xml:space="preserve"> </w:t>
      </w:r>
      <w:r>
        <w:rPr>
          <w:rStyle w:val="VerbatimChar"/>
        </w:rPr>
        <w:t xml:space="preserve">G4PVParameterised</w:t>
      </w:r>
      <w:r>
        <w:t xml:space="preserve"> </w:t>
      </w:r>
      <w:r>
        <w:t xml:space="preserve">placement used in regime B. The</w:t>
      </w:r>
      <w:r>
        <w:t xml:space="preserve"> </w:t>
      </w:r>
      <w:r>
        <w:rPr>
          <w:rStyle w:val="VerbatimChar"/>
        </w:rPr>
        <w:t xml:space="preserve">G4Voxelizer</w:t>
      </w:r>
      <w:r>
        <w:t xml:space="preserve"> </w:t>
      </w:r>
      <w:r>
        <w:t xml:space="preserve">internally builds a three-dimensional bounding-box grid with</w:t>
      </w:r>
      <w:r>
        <w:t xml:space="preserve"> </w:t>
      </w:r>
      <m:oMath>
        <m:r>
          <m:t>2</m:t>
        </m:r>
        <m:r>
          <m:t>N</m:t>
        </m:r>
      </m:oMath>
      <w:r>
        <w:t xml:space="preserve"> </w:t>
      </w:r>
      <w:r>
        <w:t xml:space="preserve">sorted boundaries per Cartesian axis, producing a candidate-list representation that scales as</w:t>
      </w:r>
      <w:r>
        <w:t xml:space="preserve"> </w:t>
      </w:r>
      <m:oMath>
        <m:r>
          <m:rPr>
            <m:sty m:val="p"/>
          </m:rPr>
          <m:t>(</m:t>
        </m:r>
        <m:r>
          <m:t>2</m:t>
        </m:r>
        <m:r>
          <m:t>N</m:t>
        </m:r>
        <m:sSup>
          <m:e>
            <m:r>
              <m:rPr>
                <m:sty m:val="p"/>
              </m:rPr>
              <m:t>)</m:t>
            </m:r>
          </m:e>
          <m:sup>
            <m:r>
              <m:t>3</m:t>
            </m:r>
          </m:sup>
        </m:sSup>
      </m:oMath>
      <w:r>
        <w:t xml:space="preserve"> </w:t>
      </w:r>
      <w:r>
        <w:t xml:space="preserve">cells in the worst case. For the 1 µm RVE with</w:t>
      </w:r>
      <w:r>
        <w:t xml:space="preserve"> </w:t>
      </w:r>
      <m:oMath>
        <m:r>
          <m:t>N</m:t>
        </m:r>
        <m:r>
          <m:rPr>
            <m:sty m:val="p"/>
          </m:rPr>
          <m:t>=</m:t>
        </m:r>
        <m:r>
          <m:t>2</m:t>
        </m:r>
        <m:r>
          <m:rPr>
            <m:sty m:val="p"/>
          </m:rPr>
          <m:t>,</m:t>
        </m:r>
        <m:r>
          <m:t>888</m:t>
        </m:r>
      </m:oMath>
      <w:r>
        <w:t xml:space="preserve"> </w:t>
      </w:r>
      <w:r>
        <w:t xml:space="preserve">spheres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this yields</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far exceeding available RAM (OOM-killed at</w:t>
      </w:r>
      <w:r>
        <w:t xml:space="preserve"> </w:t>
      </w:r>
      <m:oMath>
        <m:r>
          <m:rPr>
            <m:sty m:val="p"/>
          </m:rPr>
          <m:t>&gt;</m:t>
        </m:r>
        <m:r>
          <m:t>7.2</m:t>
        </m:r>
      </m:oMath>
      <w:r>
        <w:t xml:space="preserve"> </w:t>
      </w:r>
      <w:r>
        <w:t xml:space="preserve">GB RSS, SIGKILL exit code 9). A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 $</w:t>
      </w:r>
      <m:oMath>
        <m:r>
          <m:t>3.5</m:t>
        </m:r>
        <m:r>
          <m:t>G</m:t>
        </m:r>
        <m:r>
          <m:t>B</m:t>
        </m:r>
        <m:r>
          <m:rPr>
            <m:sty m:val="p"/>
          </m:rPr>
          <m:t>)</m:t>
        </m:r>
        <m:r>
          <m:t>a</m:t>
        </m:r>
        <m:r>
          <m:t>l</m:t>
        </m:r>
        <m:r>
          <m:t>s</m:t>
        </m:r>
        <m:r>
          <m:t>o</m:t>
        </m:r>
        <m:r>
          <m:t>e</m:t>
        </m:r>
        <m:r>
          <m:t>x</m:t>
        </m:r>
        <m:r>
          <m:t>h</m:t>
        </m:r>
        <m:r>
          <m:t>a</m:t>
        </m:r>
        <m:r>
          <m:t>u</m:t>
        </m:r>
        <m:r>
          <m:t>s</m:t>
        </m:r>
        <m:r>
          <m:t>t</m:t>
        </m:r>
        <m:r>
          <m:t>e</m:t>
        </m:r>
        <m:r>
          <m:t>d</m:t>
        </m:r>
        <m:r>
          <m:t>t</m:t>
        </m:r>
        <m:r>
          <m:t>h</m:t>
        </m:r>
        <m:r>
          <m:t>e</m:t>
        </m:r>
        <m:r>
          <m:t>8</m:t>
        </m:r>
        <m:r>
          <m:t>G</m:t>
        </m:r>
        <m:r>
          <m:t>B</m:t>
        </m:r>
        <m:r>
          <m:t>w</m:t>
        </m:r>
        <m:r>
          <m:t>o</m:t>
        </m:r>
        <m:r>
          <m:t>r</m:t>
        </m:r>
        <m:r>
          <m:t>k</m:t>
        </m:r>
        <m:r>
          <m:t>s</m:t>
        </m:r>
        <m:r>
          <m:t>t</m:t>
        </m:r>
        <m:r>
          <m:t>a</m:t>
        </m:r>
        <m:r>
          <m:t>t</m:t>
        </m:r>
        <m:r>
          <m:t>i</m:t>
        </m:r>
        <m:r>
          <m:t>o</m:t>
        </m:r>
        <m:r>
          <m:t>n</m:t>
        </m:r>
        <m:r>
          <m:rPr>
            <m:sty m:val="p"/>
          </m:rPr>
          <m:t>.</m:t>
        </m:r>
        <m:r>
          <m:t>A</m:t>
        </m:r>
        <m:r>
          <m:t>250</m:t>
        </m:r>
        <m:r>
          <m:t>n</m:t>
        </m:r>
        <m:r>
          <m:t>m</m:t>
        </m:r>
        <m:r>
          <m:t>R</m:t>
        </m:r>
        <m:r>
          <m:t>V</m:t>
        </m:r>
        <m:r>
          <m:t>E</m:t>
        </m:r>
        <m:r>
          <m:rPr>
            <m:sty m:val="p"/>
          </m:rPr>
          <m:t>(</m:t>
        </m:r>
      </m:oMath>
      <w:r>
        <w:t xml:space="preserve">N = 45$;</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runs successfully and is adopted for regime C. The regime B</w:t>
      </w:r>
      <w:r>
        <w:t xml:space="preserve"> </w:t>
      </w:r>
      <w:r>
        <w:rPr>
          <w:rStyle w:val="VerbatimChar"/>
        </w:rPr>
        <w:t xml:space="preserve">G4PVParameterised</w:t>
      </w:r>
      <w:r>
        <w:t xml:space="preserve"> </w:t>
      </w:r>
      <w:r>
        <w:t xml:space="preserve">approach avoids voxelization entirely, handling</w:t>
      </w:r>
      <w:r>
        <w:t xml:space="preserve"> </w:t>
      </w:r>
      <m:oMath>
        <m:r>
          <m:t>N</m:t>
        </m:r>
        <m:r>
          <m:rPr>
            <m:sty m:val="p"/>
          </m:rPr>
          <m:t>=</m:t>
        </m:r>
        <m:r>
          <m:t>2</m:t>
        </m:r>
        <m:r>
          <m:rPr>
            <m:sty m:val="p"/>
          </m:rPr>
          <m:t>,</m:t>
        </m:r>
        <m:r>
          <m:t>888</m:t>
        </m:r>
      </m:oMath>
      <w:r>
        <w:t xml:space="preserve"> </w:t>
      </w:r>
      <w:r>
        <w:t xml:space="preserve">with negligible overhead.</w:t>
      </w:r>
    </w:p>
    <w:p>
      <w:pPr>
        <w:pStyle w:val="BodyText"/>
      </w:pPr>
      <w:r>
        <w:rPr>
          <w:b/>
          <w:bCs/>
        </w:rPr>
        <w:t xml:space="preserve">Beam-sampling methodology.</w:t>
      </w:r>
      <w:r>
        <w:t xml:space="preserve"> </w:t>
      </w:r>
      <w:r>
        <w:t xml:space="preserve">A pencil beam (all</w:t>
      </w:r>
      <w:r>
        <w:t xml:space="preserve"> </w:t>
      </w:r>
      <m:oMath>
        <m:sSup>
          <m:e>
            <m:r>
              <m:t>10</m:t>
            </m:r>
          </m:e>
          <m:sup>
            <m:r>
              <m:t>7</m:t>
            </m:r>
          </m:sup>
        </m:sSup>
      </m:oMath>
      <w:r>
        <w:t xml:space="preserve"> </w:t>
      </w:r>
      <w:r>
        <w:t xml:space="preserve">primaries at</w:t>
      </w:r>
      <w:r>
        <w:t xml:space="preserve"> </w:t>
      </w:r>
      <m:oMath>
        <m:r>
          <m:t>Y</m:t>
        </m:r>
        <m:r>
          <m:rPr>
            <m:sty m:val="p"/>
          </m:rPr>
          <m:t>=</m:t>
        </m:r>
        <m:r>
          <m:t>0</m:t>
        </m:r>
        <m:r>
          <m:rPr>
            <m:sty m:val="p"/>
          </m:rPr>
          <m:t>,</m:t>
        </m:r>
        <m:r>
          <m:t>Z</m:t>
        </m:r>
        <m:r>
          <m:rPr>
            <m:sty m:val="p"/>
          </m:rPr>
          <m:t>=</m:t>
        </m:r>
        <m:r>
          <m:t>0</m:t>
        </m:r>
      </m:oMath>
      <w:r>
        <w:t xml:space="preserve">) is ergodic for a large RVE (</w:t>
      </w:r>
      <m:oMath>
        <m:r>
          <m:t>N</m:t>
        </m:r>
        <m:r>
          <m:rPr>
            <m:sty m:val="p"/>
          </m:rPr>
          <m:t>=</m:t>
        </m:r>
        <m:r>
          <m:t>2</m:t>
        </m:r>
        <m:r>
          <m:rPr>
            <m:sty m:val="p"/>
          </m:rPr>
          <m:t>,</m:t>
        </m:r>
        <m:r>
          <m:t>888</m:t>
        </m:r>
      </m:oMath>
      <w:r>
        <w:t xml:space="preserve">, many chord positions sampled by sphere diversity) but fails for</w:t>
      </w:r>
      <w:r>
        <w:t xml:space="preserve"> </w:t>
      </w:r>
      <m:oMath>
        <m:r>
          <m:t>N</m:t>
        </m:r>
        <m:r>
          <m:rPr>
            <m:sty m:val="p"/>
          </m:rPr>
          <m:t>=</m:t>
        </m:r>
        <m:r>
          <m:t>45</m:t>
        </m:r>
      </m:oMath>
      <w:r>
        <w:t xml:space="preserve">: the fixed chord traverses the same sphere arrangement for every event, yielding a beam-axis</w:t>
      </w:r>
      <w:r>
        <w:t xml:space="preserve"> </w:t>
      </w:r>
      <m:oMath>
        <m:sSub>
          <m:e>
            <m:r>
              <m:t>ϕ</m:t>
            </m:r>
          </m:e>
          <m:sub>
            <m:r>
              <m:t>f</m:t>
            </m:r>
          </m:sub>
        </m:sSub>
        <m:r>
          <m:rPr>
            <m:sty m:val="p"/>
          </m:rPr>
          <m:t>=</m:t>
        </m:r>
        <m:r>
          <m:t>12.6</m:t>
        </m:r>
        <m:r>
          <m:rPr>
            <m:sty m:val="p"/>
          </m:rPr>
          <m:t>%</m:t>
        </m:r>
      </m:oMath>
      <w:r>
        <w:t xml:space="preserve"> </w:t>
      </w:r>
      <w:r>
        <w:t xml:space="preserve">vs the volume-averaged</w:t>
      </w:r>
      <w:r>
        <w:t xml:space="preserve"> </w:t>
      </w:r>
      <m:oMath>
        <m:r>
          <m:t>18.9</m:t>
        </m:r>
        <m:r>
          <m:rPr>
            <m:sty m:val="p"/>
          </m:rPr>
          <m:t>%</m:t>
        </m:r>
      </m:oMath>
      <w:r>
        <w:t xml:space="preserve"> </w:t>
      </w:r>
      <w:r>
        <w:t xml:space="preserve">(a</w:t>
      </w:r>
      <w:r>
        <w:t xml:space="preserve"> </w:t>
      </w:r>
      <m:oMath>
        <m:r>
          <m:rPr>
            <m:sty m:val="p"/>
          </m:rPr>
          <m:t>−</m:t>
        </m:r>
        <m:r>
          <m:t>33</m:t>
        </m:r>
        <m:r>
          <m:rPr>
            <m:sty m:val="p"/>
          </m:rPr>
          <m:t>%</m:t>
        </m:r>
      </m:oMath>
      <w:r>
        <w:t xml:space="preserve"> </w:t>
      </w:r>
      <w:r>
        <w:t xml:space="preserve">bias). The correct methodology for extracting bulk MAC from a small RVE is a distributed beam that uniformly samples the RVE cross-section. The primary generator was updated to sample</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recovering ergodic averaging over all chord positions. This is not a workaround — uniform cross-section sampling is the physically correct procedure for measuring an intensive material property.</w:t>
      </w:r>
    </w:p>
    <w:p>
      <w:pPr>
        <w:pStyle w:val="BodyText"/>
      </w:pPr>
      <w:r>
        <w:rPr>
          <w:b/>
          <w:bCs/>
        </w:rPr>
        <w:t xml:space="preserve">Geometry verification.</w:t>
      </w:r>
      <w:r>
        <w:t xml:space="preserve"> </w:t>
      </w:r>
      <w:r>
        <w:t xml:space="preserve">RSA seed 33,333 (independent draw from regime B).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 </w:t>
      </w:r>
      <w:r>
        <w:t xml:space="preserve">(target: 0.189).</w:t>
      </w:r>
      <w:r>
        <w:t xml:space="preserve"> </w:t>
      </w:r>
      <w:r>
        <w:rPr>
          <w:rStyle w:val="VerbatimChar"/>
        </w:rPr>
        <w:t xml:space="preserve">G4MultiUnion::Voxelize()</w:t>
      </w:r>
      <w:r>
        <w:t xml:space="preserve"> </w:t>
      </w:r>
      <w:r>
        <w:t xml:space="preserve">completed in</w:t>
      </w:r>
      <w:r>
        <w:t xml:space="preserve"> </w:t>
      </w:r>
      <m:oMath>
        <m:r>
          <m:rPr>
            <m:sty m:val="p"/>
          </m:rPr>
          <m:t>&lt;</m:t>
        </m:r>
        <m:r>
          <m:t>1</m:t>
        </m:r>
      </m:oMath>
      <w:r>
        <w:t xml:space="preserve"> </w:t>
      </w:r>
      <w:r>
        <w:t xml:space="preserve">s at 99 MB RSS.</w:t>
      </w:r>
    </w:p>
    <w:bookmarkStart w:id="54"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Points marked † are statistically dominated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systematic physics deviation. For the 250 nm path length,</w:t>
      </w:r>
      <w:r>
        <w:t xml:space="preserve"> </w:t>
      </w:r>
      <m:oMath>
        <m:sSub>
          <m:e>
            <m:r>
              <m:t>N</m:t>
            </m:r>
          </m:e>
          <m:sub>
            <m:r>
              <m:rPr>
                <m:nor/>
                <m:sty m:val="p"/>
              </m:rPr>
              <m:t>att</m:t>
            </m:r>
          </m:sub>
        </m:sSub>
      </m:oMath>
      <w:r>
        <w:t xml:space="preserve"> </w:t>
      </w:r>
      <w:r>
        <w:t xml:space="preserve">falls below 200 for all energies ≥ 356 keV.</w:t>
      </w:r>
    </w:p>
    <w:p>
      <w:pPr>
        <w:pStyle w:val="BodyText"/>
      </w:pPr>
      <w:r>
        <w:rPr>
          <w:i/>
          <w:iCs/>
        </w:rPr>
        <w:t xml:space="preserve">Note on ergodic sampling.</w:t>
      </w:r>
      <w:r>
        <w:t xml:space="preserve"> </w:t>
      </w:r>
      <w:r>
        <w:t xml:space="preserve">MAC is an intensive property; a 250 nm RVE with</w:t>
      </w:r>
      <w:r>
        <w:t xml:space="preserve"> </w:t>
      </w:r>
      <m:oMath>
        <m:r>
          <m:t>N</m:t>
        </m:r>
        <m:r>
          <m:rPr>
            <m:sty m:val="p"/>
          </m:rPr>
          <m:t>=</m:t>
        </m:r>
        <m:r>
          <m:t>45</m:t>
        </m:r>
      </m:oMath>
      <w:r>
        <w:t xml:space="preserve"> </w:t>
      </w:r>
      <w:r>
        <w:t xml:space="preserve">spheres gives the same MAC as a 1 µm RVE with</w:t>
      </w:r>
      <w:r>
        <w:t xml:space="preserve"> </w:t>
      </w:r>
      <m:oMath>
        <m:r>
          <m:t>N</m:t>
        </m:r>
        <m:r>
          <m:rPr>
            <m:sty m:val="p"/>
          </m:rPr>
          <m:t>=</m:t>
        </m:r>
        <m:r>
          <m:t>2</m:t>
        </m:r>
        <m:r>
          <m:rPr>
            <m:sty m:val="p"/>
          </m:rPr>
          <m:t>,</m:t>
        </m:r>
        <m:r>
          <m:t>888</m:t>
        </m:r>
      </m:oMath>
      <w:r>
        <w:t xml:space="preserve"> </w:t>
      </w:r>
      <w:r>
        <w:t xml:space="preserve">spheres, provided both represent the same</w:t>
      </w:r>
      <w:r>
        <w:t xml:space="preserve"> </w:t>
      </w:r>
      <m:oMath>
        <m:sSub>
          <m:e>
            <m:r>
              <m:t>ϕ</m:t>
            </m:r>
          </m:e>
          <m:sub>
            <m:r>
              <m:t>f</m:t>
            </m:r>
          </m:sub>
        </m:sSub>
      </m:oMath>
      <w:r>
        <w:t xml:space="preserve">. This is confirmed by the cross-regime agreement at 30–150 keV (§6.2).</w:t>
      </w:r>
    </w:p>
    <w:p>
      <w:pPr>
        <w:pStyle w:val="BodyText"/>
      </w:pPr>
      <w:r>
        <w:t xml:space="preserve">Figure 4 isolates the main scalability result of the paper. The key point is not only that</w:t>
      </w:r>
      <w:r>
        <w:t xml:space="preserve"> </w:t>
      </w:r>
      <w:r>
        <w:rPr>
          <w:rStyle w:val="VerbatimChar"/>
        </w:rPr>
        <w:t xml:space="preserve">G4MultiUnion</w:t>
      </w:r>
      <w:r>
        <w:t xml:space="preserve"> </w:t>
      </w:r>
      <w:r>
        <w:t xml:space="preserve">fails at larger RVEs, but that the failure mechanism follows directly from the voxel-cell explosion in</w:t>
      </w:r>
      <w:r>
        <w:t xml:space="preserve"> </w:t>
      </w:r>
      <m:oMath>
        <m:r>
          <m:rPr>
            <m:sty m:val="p"/>
          </m:rPr>
          <m:t>(</m:t>
        </m:r>
        <m:r>
          <m:t>2</m:t>
        </m:r>
        <m:r>
          <m:t>N</m:t>
        </m:r>
        <m:sSup>
          <m:e>
            <m:r>
              <m:rPr>
                <m:sty m:val="p"/>
              </m:rPr>
              <m:t>)</m:t>
            </m:r>
          </m:e>
          <m:sup>
            <m:r>
              <m:t>3</m:t>
            </m:r>
          </m:sup>
        </m:sSup>
      </m:oMath>
      <w:r>
        <w:t xml:space="preserve">, whereas regime B avoids that scaling bottleneck.</w:t>
      </w:r>
    </w:p>
    <w:p>
      <w:pPr>
        <w:pStyle w:val="CaptionedFigure"/>
      </w:pPr>
      <w:r>
        <w:drawing>
          <wp:inline>
            <wp:extent cx="5334000" cy="2243185"/>
            <wp:effectExtent b="0" l="0" r="0" t="0"/>
            <wp:docPr descr="Figure 4. G4MultiUnion scalability on the 8 GB workstation used in this study. (A) Estimated voxel-cell growth versus tested RVE size and sphere count. (B) Observed resident set size and feasibility outcome, showing why 250 nm / N = 45 is the largest practical regime-C configuration in this environment." title="" id="52" name="Picture"/>
            <a:graphic>
              <a:graphicData uri="http://schemas.openxmlformats.org/drawingml/2006/picture">
                <pic:pic>
                  <pic:nvPicPr>
                    <pic:cNvPr descr="../../../results/paper3/figures/paper3_fig4_multiunion_scalability.png" id="53" name="Picture"/>
                    <pic:cNvPicPr>
                      <a:picLocks noChangeArrowheads="1" noChangeAspect="1"/>
                    </pic:cNvPicPr>
                  </pic:nvPicPr>
                  <pic:blipFill>
                    <a:blip r:embed="rId51"/>
                    <a:stretch>
                      <a:fillRect/>
                    </a:stretch>
                  </pic:blipFill>
                  <pic:spPr bwMode="auto">
                    <a:xfrm>
                      <a:off x="0" y="0"/>
                      <a:ext cx="5334000" cy="2243185"/>
                    </a:xfrm>
                    <a:prstGeom prst="rect">
                      <a:avLst/>
                    </a:prstGeom>
                    <a:noFill/>
                    <a:ln w="9525">
                      <a:noFill/>
                      <a:headEnd/>
                      <a:tailEnd/>
                    </a:ln>
                  </pic:spPr>
                </pic:pic>
              </a:graphicData>
            </a:graphic>
          </wp:inline>
        </w:drawing>
      </w:r>
    </w:p>
    <w:p>
      <w:pPr>
        <w:pStyle w:val="ImageCaption"/>
      </w:pPr>
      <w:r>
        <w:t xml:space="preserve">Figure 4.</w:t>
      </w:r>
      <w:r>
        <w:t xml:space="preserve"> </w:t>
      </w:r>
      <w:r>
        <w:rPr>
          <w:rStyle w:val="VerbatimChar"/>
        </w:rPr>
        <w:t xml:space="preserve">G4MultiUnion</w:t>
      </w:r>
      <w:r>
        <w:t xml:space="preserve"> </w:t>
      </w:r>
      <w:r>
        <w:t xml:space="preserve">scalability on the 8 GB workstation used in this study. (A) Estimated voxel-cell growth versus tested RVE size and sphere count. (B) Observed resident set size and feasibility outcome, showing why 250 nm /</w:t>
      </w:r>
      <w:r>
        <w:t xml:space="preserve"> </w:t>
      </w:r>
      <m:oMath>
        <m:r>
          <m:t>N</m:t>
        </m:r>
        <m:r>
          <m:rPr>
            <m:sty m:val="p"/>
          </m:rPr>
          <m:t>=</m:t>
        </m:r>
        <m:r>
          <m:t>45</m:t>
        </m:r>
      </m:oMath>
      <w:r>
        <w:t xml:space="preserve"> </w:t>
      </w:r>
      <w:r>
        <w:t xml:space="preserve">is the largest practical regime-C configuration in this environment.</w:t>
      </w:r>
    </w:p>
    <w:bookmarkEnd w:id="54"/>
    <w:bookmarkEnd w:id="55"/>
    <w:bookmarkStart w:id="59" w:name="cross-regime-comparison-figure"/>
    <w:p>
      <w:pPr>
        <w:pStyle w:val="Heading3"/>
      </w:pPr>
      <w:r>
        <w:t xml:space="preserve">5.4 Cross-Regime Comparison Figure</w:t>
      </w:r>
    </w:p>
    <w:p>
      <w:pPr>
        <w:pStyle w:val="FirstParagraph"/>
      </w:pPr>
      <w:r>
        <w:t xml:space="preserve">Figure 5 overlays the regime A(phi0p189)</w:t>
      </w:r>
      <w:r>
        <w:t xml:space="preserve"> </w:t>
      </w:r>
      <m:oMath>
        <m:r>
          <m:rPr>
            <m:sty m:val="p"/>
          </m:rPr>
          <m:t>(</m:t>
        </m:r>
        <m:r>
          <m:t>μ</m:t>
        </m:r>
        <m:r>
          <m:rPr>
            <m:sty m:val="p"/>
          </m:rPr>
          <m:t>/</m:t>
        </m:r>
        <m:r>
          <m:t>ρ</m:t>
        </m:r>
        <m:r>
          <m:rPr>
            <m:sty m:val="p"/>
          </m:rPr>
          <m:t>)</m:t>
        </m:r>
      </m:oMath>
      <w:r>
        <w:t xml:space="preserve"> </w:t>
      </w:r>
      <w:r>
        <w:t xml:space="preserve">data (Table 1b), regime B data (Table 2), and regime C data (Table 3) against NIST XCOM on a single log-linear plot with 95% statistical confidence intervals. The canonical figure suite is generated by</w:t>
      </w:r>
      <w:r>
        <w:t xml:space="preserve"> </w:t>
      </w:r>
      <w:r>
        <w:rPr>
          <w:rStyle w:val="VerbatimChar"/>
        </w:rPr>
        <w:t xml:space="preserve">generate_paper3_figure_suite()</w:t>
      </w:r>
      <w:r>
        <w:t xml:space="preserve"> </w:t>
      </w:r>
      <w:r>
        <w:t xml:space="preserve">in</w:t>
      </w:r>
      <w:r>
        <w:t xml:space="preserve"> </w:t>
      </w:r>
      <w:r>
        <w:rPr>
          <w:rStyle w:val="VerbatimChar"/>
        </w:rPr>
        <w:t xml:space="preserve">paper3_figures.py</w:t>
      </w:r>
      <w:r>
        <w:t xml:space="preserve"> </w:t>
      </w:r>
      <w:r>
        <w:t xml:space="preserve">and written to</w:t>
      </w:r>
      <w:r>
        <w:t xml:space="preserve"> </w:t>
      </w:r>
      <w:r>
        <w:rPr>
          <w:rStyle w:val="VerbatimChar"/>
        </w:rPr>
        <w:t xml:space="preserve">results/paper3/figures/</w:t>
      </w:r>
      <w:r>
        <w:t xml:space="preserve">.</w:t>
      </w:r>
    </w:p>
    <w:p>
      <w:pPr>
        <w:pStyle w:val="BodyText"/>
      </w:pPr>
      <w:r>
        <w:t xml:space="preserve">The three curves overlap closely at 30–150 keV, confirming H1 for all three regimes. Above 356 keV, regime B and regime C scatter around the XCOM reference because the thin explicit RVEs provide very few attenuated primaries; the confidence intervals widen accordingly and the slab-based regime-A result remains the reliable baseline.</w:t>
      </w:r>
    </w:p>
    <w:p>
      <w:pPr>
        <w:pStyle w:val="CaptionedFigure"/>
      </w:pPr>
      <w:r>
        <w:drawing>
          <wp:inline>
            <wp:extent cx="4533900" cy="3089322"/>
            <wp:effectExtent b="0" l="0" r="0" t="0"/>
            <wp:docPr descr="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 title="" id="57" name="Picture"/>
            <a:graphic>
              <a:graphicData uri="http://schemas.openxmlformats.org/drawingml/2006/picture">
                <pic:pic>
                  <pic:nvPicPr>
                    <pic:cNvPr descr="../../../results/paper3/figures/paper3_fig5_cross_regime_mac.png" id="58" name="Picture"/>
                    <pic:cNvPicPr>
                      <a:picLocks noChangeArrowheads="1" noChangeAspect="1"/>
                    </pic:cNvPicPr>
                  </pic:nvPicPr>
                  <pic:blipFill>
                    <a:blip r:embed="rId56"/>
                    <a:stretch>
                      <a:fillRect/>
                    </a:stretch>
                  </pic:blipFill>
                  <pic:spPr bwMode="auto">
                    <a:xfrm>
                      <a:off x="0" y="0"/>
                      <a:ext cx="4533900" cy="3089322"/>
                    </a:xfrm>
                    <a:prstGeom prst="rect">
                      <a:avLst/>
                    </a:prstGeom>
                    <a:noFill/>
                    <a:ln w="9525">
                      <a:noFill/>
                      <a:headEnd/>
                      <a:tailEnd/>
                    </a:ln>
                  </pic:spPr>
                </pic:pic>
              </a:graphicData>
            </a:graphic>
          </wp:inline>
        </w:drawing>
      </w:r>
    </w:p>
    <w:p>
      <w:pPr>
        <w:pStyle w:val="ImageCaption"/>
      </w:pPr>
      <w:r>
        <w:t xml:space="preserve">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w:t>
      </w:r>
    </w:p>
    <w:p>
      <w:r>
        <w:pict>
          <v:rect style="width:0;height:1.5pt" o:hralign="center" o:hrstd="t" o:hr="t"/>
        </w:pict>
      </w:r>
    </w:p>
    <w:bookmarkEnd w:id="59"/>
    <w:bookmarkEnd w:id="60"/>
    <w:bookmarkStart w:id="64" w:name="discussion"/>
    <w:p>
      <w:pPr>
        <w:pStyle w:val="Heading2"/>
      </w:pPr>
      <w:r>
        <w:t xml:space="preserve">6. Discussion</w:t>
      </w:r>
    </w:p>
    <w:bookmarkStart w:id="61"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 the emlivermore-based homogeneous model is accurate to within the NIST photon-benchmark tolerance established for ShieldLab G4 v1.0.</w:t>
      </w:r>
    </w:p>
    <w:p>
      <w:pPr>
        <w:pStyle w:val="BodyText"/>
      </w:pPr>
      <w:r>
        <w:t xml:space="preserve">The regime A(phi0p189) run (§5.1.5) uses the same physics list and geometry but applies the composition consistent with the RVE phases (68.6 wt% Bi₂O₃, ρ = 2.452 g cm</w:t>
      </w:r>
      <m:oMath>
        <m:sSup>
          <m:e>
            <m:r>
              <m:t>​</m:t>
            </m:r>
          </m:e>
          <m:sup>
            <m:r>
              <m:rPr>
                <m:sty m:val="p"/>
              </m:rPr>
              <m:t>−</m:t>
            </m:r>
            <m:r>
              <m:t>3</m:t>
            </m:r>
          </m:sup>
        </m:sSup>
      </m:oMath>
      <w:r>
        <w:t xml:space="preserve">). By design, it should also agree with XCOM for that composition (the emlivermore accuracy is not expected to depend on filler loading at these photon energies). This result is the direct regime-A baseline for the H1 cross-regime test.</w:t>
      </w:r>
    </w:p>
    <w:p>
      <w:pPr>
        <w:pStyle w:val="BodyText"/>
      </w:pPr>
      <w:r>
        <w:t xml:space="preserve">The 2.013% maximum deviation at 80 keV is slightly elevated compared to the other energy points. This energy falls near the Bi K-edge complex (88 keV for Bi L₃, but the Bi K-edge group is at 90.5 keV). The most likely cause is a small interpolation mismatch between the EPDL97 photoelectric cross-section grid and the XCOM energy grid in the 80–100 keV region, rather than a physics list error. The value remains well within the pre-registered 5% maximum gate.</w:t>
      </w:r>
    </w:p>
    <w:bookmarkEnd w:id="61"/>
    <w:bookmarkStart w:id="62" w:name="X9be2d9ccee8595cb744cefcd56171d599769a69"/>
    <w:p>
      <w:pPr>
        <w:pStyle w:val="Heading3"/>
      </w:pPr>
      <w:r>
        <w:t xml:space="preserve">6.2 Regime B and C: cross-regime agreement test (H1 — RVE scale)</w:t>
      </w:r>
    </w:p>
    <w:p>
      <w:pPr>
        <w:pStyle w:val="FirstParagraph"/>
      </w:pPr>
      <w:r>
        <w:t xml:space="preserve">Hypothesis H1 applied to the cross-regime comparison predicts that the µ values from the explicit-RVE simulations (regimes B and C) should agree with the effective-medium result (regime A) at the 1 µm scale. The physical argument is straightforward: at the photon energies and nanoparticle sizes considered here (</w:t>
      </w:r>
      <m:oMath>
        <m:r>
          <m:t>r</m:t>
        </m:r>
        <m:r>
          <m:rPr>
            <m:sty m:val="p"/>
          </m:rPr>
          <m:t>=</m:t>
        </m:r>
        <m:r>
          <m:t>25</m:t>
        </m:r>
      </m:oMath>
      <w:r>
        <w:t xml:space="preserve"> </w:t>
      </w:r>
      <w:r>
        <w:t xml:space="preserve">nm,</w:t>
      </w:r>
      <w:r>
        <w:t xml:space="preserve"> </w:t>
      </w:r>
      <m:oMath>
        <m:r>
          <m:t>μ</m:t>
        </m:r>
        <m:r>
          <m:t>r</m:t>
        </m:r>
        <m:r>
          <m:rPr>
            <m:sty m:val="p"/>
          </m:rPr>
          <m:t>≈</m:t>
        </m:r>
        <m:r>
          <m:t>5</m:t>
        </m:r>
        <m:r>
          <m:rPr>
            <m:sty m:val="p"/>
          </m:rPr>
          <m:t>×</m:t>
        </m:r>
        <m:sSup>
          <m:e>
            <m:r>
              <m:t>10</m:t>
            </m:r>
          </m:e>
          <m:sup>
            <m:r>
              <m:rPr>
                <m:sty m:val="p"/>
              </m:rPr>
              <m:t>−</m:t>
            </m:r>
            <m:r>
              <m:t>3</m:t>
            </m:r>
          </m:sup>
        </m:sSup>
      </m:oMath>
      <w:r>
        <w:t xml:space="preserve"> </w:t>
      </w:r>
      <w:r>
        <w:t xml:space="preserve">at 100 keV), the photon cannot resolve the individual nanoparticles, and the attenuation is expected to follow the bulk mixture law. Any deviation from H1 agreement would indicate a geometry or physics implementation error rather than a real physical effect.</w:t>
      </w:r>
    </w:p>
    <w:p>
      <w:pPr>
        <w:pStyle w:val="BodyText"/>
      </w:pPr>
      <w:r>
        <w:rPr>
          <w:b/>
          <w:bCs/>
        </w:rPr>
        <w:t xml:space="preserve">Regime B results (all 10 energies complete)</w:t>
      </w:r>
      <w:r>
        <w:t xml:space="preserve"> </w:t>
      </w:r>
      <w:r>
        <w:t xml:space="preserve">are consistent with this expectation. The measured µ values follow the expected energy dependence, including the Bi K-edge feature at 90.5 keV: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8.60 cm</w:t>
      </w:r>
      <m:oMath>
        <m:sSup>
          <m:e>
            <m:r>
              <m:t>​</m:t>
            </m:r>
          </m:e>
          <m:sup>
            <m:r>
              <m:rPr>
                <m:sty m:val="p"/>
              </m:rPr>
              <m:t>−</m:t>
            </m:r>
            <m:r>
              <m:t>1</m:t>
            </m:r>
          </m:sup>
        </m:sSup>
      </m:oMath>
      <w:r>
        <w:t xml:space="preserve"> </w:t>
      </w:r>
      <w:r>
        <w:t xml:space="preserve">at 100 keV — a jump of ×2.3 due to Bi K-shell photoelectric absorption. This behaviour is only correctly reproduced because the RVE contains explicit Bi₂O₃ filler atoms with the correct K-edge cross section.</w:t>
      </w:r>
    </w:p>
    <w:p>
      <w:pPr>
        <w:pStyle w:val="BodyText"/>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Regime A(phi0p189) itself agrees with NIST XCOM at mean</w:t>
      </w:r>
      <w:r>
        <w:t xml:space="preserve"> </w:t>
      </w:r>
      <m:oMath>
        <m:r>
          <m:rPr>
            <m:sty m:val="p"/>
          </m:rPr>
          <m:t>|</m:t>
        </m:r>
        <m:r>
          <m:rPr>
            <m:sty m:val="p"/>
          </m:rPr>
          <m:t>Δ</m:t>
        </m:r>
        <m:r>
          <m:rPr>
            <m:sty m:val="p"/>
          </m:rPr>
          <m:t>|</m:t>
        </m:r>
        <m:r>
          <m:rPr>
            <m:sty m:val="p"/>
          </m:rPr>
          <m:t>=</m:t>
        </m:r>
        <m:r>
          <m:t>0.72</m:t>
        </m:r>
        <m:r>
          <m:rPr>
            <m:sty m:val="p"/>
          </m:rPr>
          <m:t>%</m:t>
        </m:r>
      </m:oMath>
      <w:r>
        <w:t xml:space="preserve">, max</w:t>
      </w:r>
      <w:r>
        <w:t xml:space="preserve"> </w:t>
      </w:r>
      <m:oMath>
        <m:r>
          <m:rPr>
            <m:sty m:val="p"/>
          </m:rPr>
          <m:t>|</m:t>
        </m:r>
        <m:r>
          <m:rPr>
            <m:sty m:val="p"/>
          </m:rPr>
          <m:t>Δ</m:t>
        </m:r>
        <m:r>
          <m:rPr>
            <m:sty m:val="p"/>
          </m:rPr>
          <m:t>|</m:t>
        </m:r>
        <m:r>
          <m:rPr>
            <m:sty m:val="p"/>
          </m:rPr>
          <m:t>=</m:t>
        </m:r>
        <m:r>
          <m:t>2.45</m:t>
        </m:r>
        <m:r>
          <m:rPr>
            <m:sty m:val="p"/>
          </m:rPr>
          <m:t>%</m:t>
        </m:r>
      </m:oMath>
      <w:r>
        <w:t xml:space="preserve"> </w:t>
      </w:r>
      <w:r>
        <w:t xml:space="preserve">(Table 1b, §5.1.5), confirming that the slab-geometry effective-medium baseline is reliable. The systematic ∼2% downward offset of regime B relative to regime A is consistent with the RVE boundary-layer effect: photons that travel through the $</w:t>
      </w:r>
      <w:r>
        <w:t xml:space="preserve">$3 nm void gap between touching sphere surfaces experience a locally reduced effective attenuation, marginally lowering the ensemble-averaged</w:t>
      </w:r>
      <w:r>
        <w:t xml:space="preserve"> </w:t>
      </w:r>
      <m:oMath>
        <m:r>
          <m:t>μ</m:t>
        </m:r>
      </m:oMath>
      <w:r>
        <w:t xml:space="preserve">. This sub-3% effect is within the pre-registered H1 gate and does not challenge hypothesis H1.</w:t>
      </w:r>
    </w:p>
    <w:p>
      <w:pPr>
        <w:pStyle w:val="BodyText"/>
      </w:pPr>
      <w:r>
        <w:t xml:space="preserve">Statistical uncertainty on the regime B µ estimates is $</w:t>
      </w:r>
      <m:oMath>
        <m:r>
          <m:t>0.5</m:t>
        </m:r>
        <m:r>
          <m:rPr>
            <m:sty m:val="p"/>
          </m:rPr>
          <m:t>–</m:t>
        </m:r>
        <m:r>
          <m:t>1.8</m:t>
        </m:r>
        <m:r>
          <m:rPr>
            <m:sty m:val="p"/>
          </m:rPr>
          <m:t>%</m:t>
        </m:r>
        <m:r>
          <m:t>a</m:t>
        </m:r>
        <m:r>
          <m:t>t</m:t>
        </m:r>
        <m:r>
          <m:t>30</m:t>
        </m:r>
        <m:r>
          <m:rPr>
            <m:sty m:val="p"/>
          </m:rPr>
          <m:t>–</m:t>
        </m:r>
        <m:r>
          <m:t>150</m:t>
        </m:r>
        <m:r>
          <m:t>k</m:t>
        </m:r>
        <m:r>
          <m:t>e</m:t>
        </m:r>
        <m:r>
          <m:t>V</m:t>
        </m:r>
        <m:r>
          <m:t>a</m:t>
        </m:r>
        <m:r>
          <m:t>n</m:t>
        </m:r>
        <m:r>
          <m:t>d</m:t>
        </m:r>
        <m:r>
          <m:t>r</m:t>
        </m:r>
        <m:r>
          <m:t>i</m:t>
        </m:r>
        <m:r>
          <m:t>s</m:t>
        </m:r>
        <m:r>
          <m:t>e</m:t>
        </m:r>
        <m:r>
          <m:t>s</m:t>
        </m:r>
        <m:r>
          <m:t>t</m:t>
        </m:r>
        <m:r>
          <m:t>o</m:t>
        </m:r>
        <m:r>
          <m:t>4</m:t>
        </m:r>
        <m:r>
          <m:rPr>
            <m:sty m:val="p"/>
          </m:rPr>
          <m:t>–</m:t>
        </m:r>
        <m:r>
          <m:t>9</m:t>
        </m:r>
        <m:r>
          <m:rPr>
            <m:sty m:val="p"/>
          </m:rPr>
          <m:t>%</m:t>
        </m:r>
        <m:r>
          <m:t>a</m:t>
        </m:r>
        <m:r>
          <m:t>t</m:t>
        </m:r>
        <m:r>
          <m:rPr>
            <m:sty m:val="p"/>
          </m:rPr>
          <m:t>≥</m:t>
        </m:r>
        <m:r>
          <m:t>356</m:t>
        </m:r>
        <m:r>
          <m:t>k</m:t>
        </m:r>
        <m:r>
          <m:t>e</m:t>
        </m:r>
        <m:r>
          <m:t>V</m:t>
        </m:r>
        <m:r>
          <m:t>w</m:t>
        </m:r>
        <m:r>
          <m:t>h</m:t>
        </m:r>
        <m:r>
          <m:t>e</m:t>
        </m:r>
        <m:r>
          <m:t>r</m:t>
        </m:r>
        <m:r>
          <m:t>e</m:t>
        </m:r>
        <m:r>
          <m:t>t</m:t>
        </m:r>
        <m:r>
          <m:t>h</m:t>
        </m:r>
        <m:r>
          <m:t>e</m:t>
        </m:r>
        <m:r>
          <m:t>t</m:t>
        </m:r>
        <m:r>
          <m:t>h</m:t>
        </m:r>
        <m:r>
          <m:t>i</m:t>
        </m:r>
        <m:r>
          <m:t>n</m:t>
        </m:r>
        <m:r>
          <m:t>R</m:t>
        </m:r>
        <m:r>
          <m:t>V</m:t>
        </m:r>
        <m:r>
          <m:t>E</m:t>
        </m:r>
        <m:r>
          <m:rPr>
            <m:sty m:val="p"/>
          </m:rPr>
          <m:t>(</m:t>
        </m:r>
      </m:oMath>
      <w:r>
        <w:t xml:space="preserve">L = 1$ µm) provides fewer attenuated primaries (</w:t>
      </w:r>
      <m:oMath>
        <m:sSub>
          <m:e>
            <m:r>
              <m:t>N</m:t>
            </m:r>
          </m:e>
          <m:sub>
            <m:r>
              <m:rPr>
                <m:nor/>
                <m:sty m:val="p"/>
              </m:rPr>
              <m:t>att</m:t>
            </m:r>
          </m:sub>
        </m:sSub>
        <m:r>
          <m:rPr>
            <m:sty m:val="p"/>
          </m:rPr>
          <m:t>&lt;</m:t>
        </m:r>
        <m:r>
          <m:t>600</m:t>
        </m:r>
      </m:oMath>
      <w:r>
        <w:t xml:space="preserve">). Those high-energy</w:t>
      </w:r>
      <w:r>
        <w:t xml:space="preserve"> </w:t>
      </w:r>
      <m:oMath>
        <m:r>
          <m:rPr>
            <m:sty m:val="p"/>
          </m:rPr>
          <m:t>Δ</m:t>
        </m:r>
      </m:oMath>
      <w:r>
        <w:t xml:space="preserve"> </w:t>
      </w:r>
      <w:r>
        <w:t xml:space="preserve">values are statistically dominated and cannot be interpreted as physics deviations. The regime A(phi0p189) slab result provides the reliable</w:t>
      </w:r>
      <w:r>
        <w:t xml:space="preserve"> </w:t>
      </w:r>
      <m:oMath>
        <m:r>
          <m:t>μ</m:t>
        </m:r>
      </m:oMath>
      <w:r>
        <w:t xml:space="preserve"> </w:t>
      </w:r>
      <w:r>
        <w:t xml:space="preserve">reference at all energies.</w:t>
      </w:r>
      <w:r>
        <w:t xml:space="preserve"> </w:t>
      </w:r>
      <w:r>
        <w:rPr>
          <w:b/>
          <w:bCs/>
        </w:rPr>
        <w:t xml:space="preserve">Regime C (G4MultiUnion) outcome: feasible at 250 nm RVE (</w:t>
      </w:r>
      <m:oMath>
        <m:r>
          <m:t>N</m:t>
        </m:r>
        <m:r>
          <m:rPr>
            <m:sty m:val="p"/>
          </m:rPr>
          <m:t>=</m:t>
        </m:r>
        <m:r>
          <m:t>45</m:t>
        </m:r>
      </m:oMath>
      <w:r>
        <w:rPr>
          <w:b/>
          <w:bCs/>
        </w:rPr>
        <w:t xml:space="preserve">).</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OOM-killed at</w:t>
      </w:r>
      <w:r>
        <w:t xml:space="preserve"> </w:t>
      </w:r>
      <m:oMath>
        <m:r>
          <m:rPr>
            <m:sty m:val="p"/>
          </m:rPr>
          <m:t>&gt;</m:t>
        </m:r>
        <m:r>
          <m:t>7.2</m:t>
        </m:r>
      </m:oMath>
      <w:r>
        <w:t xml:space="preserve"> </w:t>
      </w:r>
      <w:r>
        <w:t xml:space="preserve">GB RSS) and the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w:t>
      </w:r>
      <w:r>
        <w:t xml:space="preserve"> </w:t>
      </w:r>
      <m:oMath>
        <m:r>
          <m:rPr>
            <m:sty m:val="p"/>
          </m:rPr>
          <m:t>∼</m:t>
        </m:r>
        <m:r>
          <m:t>3.5</m:t>
        </m:r>
      </m:oMath>
      <w:r>
        <w:t xml:space="preserve"> </w:t>
      </w:r>
      <w:r>
        <w:t xml:space="preserve">GB, also OOM) are infeasible on the 8 GB workstation. The 250 nm RVE (</w:t>
      </w:r>
      <m:oMath>
        <m:r>
          <m:t>N</m:t>
        </m:r>
        <m:r>
          <m:rPr>
            <m:sty m:val="p"/>
          </m:rPr>
          <m:t>=</m:t>
        </m:r>
        <m:r>
          <m:t>45</m:t>
        </m:r>
      </m:oMath>
      <w:r>
        <w:t xml:space="preserve">;</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completes successfully. 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and with NIST XCOM to within</w:t>
      </w:r>
      <w:r>
        <w:t xml:space="preserve"> </w:t>
      </w:r>
      <m:oMath>
        <m:r>
          <m:rPr>
            <m:sty m:val="p"/>
          </m:rPr>
          <m:t>−</m:t>
        </m:r>
        <m:r>
          <m:t>2.3</m:t>
        </m:r>
        <m:r>
          <m:rPr>
            <m:sty m:val="p"/>
          </m:rPr>
          <m:t>%</m:t>
        </m:r>
      </m:oMath>
      <w:r>
        <w:t xml:space="preserve"> </w:t>
      </w:r>
      <w:r>
        <w:t xml:space="preserve">to</w:t>
      </w:r>
      <w:r>
        <w:t xml:space="preserve"> </w:t>
      </w:r>
      <m:oMath>
        <m:r>
          <m:rPr>
            <m:sty m:val="p"/>
          </m:rPr>
          <m:t>+</m:t>
        </m:r>
        <m:r>
          <m:t>1.2</m:t>
        </m:r>
        <m:r>
          <m:rPr>
            <m:sty m:val="p"/>
          </m:rPr>
          <m:t>%</m:t>
        </m:r>
      </m:oMath>
      <w:r>
        <w:t xml:space="preserve"> </w:t>
      </w:r>
      <w:r>
        <w:t xml:space="preserve">(Table 3), confirming H1 for regime C. The scalability finding —</w:t>
      </w:r>
      <w:r>
        <w:t xml:space="preserve"> </w:t>
      </w:r>
      <w:r>
        <w:rPr>
          <w:rStyle w:val="VerbatimChar"/>
        </w:rPr>
        <w:t xml:space="preserve">G4MultiUnion</w:t>
      </w:r>
      <w:r>
        <w:t xml:space="preserve"> </w:t>
      </w:r>
      <w:r>
        <w:t xml:space="preserve">impractical at</w:t>
      </w:r>
      <w:r>
        <w:t xml:space="preserve"> </w:t>
      </w:r>
      <m:oMath>
        <m:r>
          <m:t>N</m:t>
        </m:r>
        <m:r>
          <m:rPr>
            <m:sty m:val="p"/>
          </m:rPr>
          <m:t>≳</m:t>
        </m:r>
        <m:r>
          <m:t>50</m:t>
        </m:r>
      </m:oMath>
      <w:r>
        <w:t xml:space="preserve"> </w:t>
      </w:r>
      <w:r>
        <w:t xml:space="preserve">for dense-packing on 8 GB workstations,</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 — is the key architectural distinction between the two explicit-RVE approaches.</w:t>
      </w:r>
    </w:p>
    <w:bookmarkEnd w:id="62"/>
    <w:bookmarkStart w:id="63"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The explicit-RVE regimes (B and C) are needed only when:</w:t>
      </w:r>
    </w:p>
    <w:p>
      <w:pPr>
        <w:pStyle w:val="Compact"/>
        <w:numPr>
          <w:ilvl w:val="0"/>
          <w:numId w:val="1006"/>
        </w:numPr>
      </w:pPr>
      <w:r>
        <w:t xml:space="preserve">Interface dose or dose-enhancement factors at the matrix–filler boundary are required.</w:t>
      </w:r>
    </w:p>
    <w:p>
      <w:pPr>
        <w:pStyle w:val="Compact"/>
        <w:numPr>
          <w:ilvl w:val="0"/>
          <w:numId w:val="1006"/>
        </w:numPr>
      </w:pPr>
      <w:r>
        <w:t xml:space="preserve">The nanoparticle size or loading approaches a regime where inter-particle coherence (for X-ray diffraction/scattering) or absorption edge microstructure effects become relevant.</w:t>
      </w:r>
    </w:p>
    <w:p>
      <w:pPr>
        <w:pStyle w:val="Compact"/>
        <w:numPr>
          <w:ilvl w:val="0"/>
          <w:numId w:val="1006"/>
        </w:numPr>
      </w:pPr>
      <w:r>
        <w:t xml:space="preserve">The application requires spatial resolution below the photon MFP.</w:t>
      </w:r>
    </w:p>
    <w:p>
      <w:pPr>
        <w:pStyle w:val="FirstParagraph"/>
      </w:pPr>
      <w:r>
        <w:t xml:space="preserve">For the 68.6 wt% Bi₂O₃/HDPE composition studied here (φ = 0.189, ρ = 2.452 g cm</w:t>
      </w:r>
      <m:oMath>
        <m:sSup>
          <m:e>
            <m:r>
              <m:t>​</m:t>
            </m:r>
          </m:e>
          <m:sup>
            <m:r>
              <m:rPr>
                <m:sty m:val="p"/>
              </m:rPr>
              <m:t>−</m:t>
            </m:r>
            <m:r>
              <m:t>3</m:t>
            </m:r>
          </m:sup>
        </m:sSup>
      </m:oMath>
      <w:r>
        <w:t xml:space="preserve">), none of these conditions are met at the macro-transport level, and regime A provides a reliable, low-cost simulation approach.</w:t>
      </w:r>
    </w:p>
    <w:p>
      <w:r>
        <w:pict>
          <v:rect style="width:0;height:1.5pt" o:hralign="center" o:hrstd="t" o:hr="t"/>
        </w:pict>
      </w:r>
    </w:p>
    <w:bookmarkEnd w:id="63"/>
    <w:bookmarkEnd w:id="64"/>
    <w:bookmarkStart w:id="65" w:name="conclusions"/>
    <w:p>
      <w:pPr>
        <w:pStyle w:val="Heading2"/>
      </w:pPr>
      <w:r>
        <w:t xml:space="preserve">7. Conclusions</w:t>
      </w:r>
    </w:p>
    <w:p>
      <w:pPr>
        <w:numPr>
          <w:ilvl w:val="0"/>
          <w:numId w:val="1007"/>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 This constitutes a validated emlivermore-vs-XCOM benchmark. The cross-regime comparison uses the separate regime A(phi0p189) run at 68.6 wt% Bi₂O₃ (φ = 0.189), which uses the same composition as the explicit-RVE regimes.</w:t>
      </w:r>
    </w:p>
    <w:p>
      <w:pPr>
        <w:numPr>
          <w:ilvl w:val="0"/>
          <w:numId w:val="1007"/>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gives</w:t>
      </w:r>
      <w:r>
        <w:t xml:space="preserve"> </w:t>
      </w:r>
      <m:oMath>
        <m:sSub>
          <m:e>
            <m:r>
              <m:t>μ</m:t>
            </m:r>
          </m:e>
          <m:sub>
            <m:r>
              <m:t>B</m:t>
            </m:r>
          </m:sub>
        </m:sSub>
        <m:r>
          <m:rPr>
            <m:sty m:val="p"/>
          </m:rPr>
          <m:t>(</m:t>
        </m:r>
        <m:r>
          <m:t>30</m:t>
        </m:r>
        <m:r>
          <m:t> </m:t>
        </m:r>
        <m:r>
          <m:rPr>
            <m:nor/>
            <m:sty m:val="p"/>
          </m:rPr>
          <m:t>keV</m:t>
        </m:r>
        <m:r>
          <m:rPr>
            <m:sty m:val="p"/>
          </m:rPr>
          <m:t>)</m:t>
        </m:r>
        <m:r>
          <m:rPr>
            <m:sty m:val="p"/>
          </m:rPr>
          <m:t>=</m:t>
        </m:r>
        <m:r>
          <m:t>47.0</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19.19</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and correctly resolves the Bi K-edge jump (</w:t>
      </w:r>
      <m:oMath>
        <m:r>
          <m:t>μ</m:t>
        </m:r>
      </m:oMath>
      <w:r>
        <w:t xml:space="preserve"> </w:t>
      </w:r>
      <w:r>
        <w:t xml:space="preserve">rises ×2.3 from 80 to 100 keV). Regime C gives</w:t>
      </w:r>
      <w:r>
        <w:t xml:space="preserve"> </w:t>
      </w:r>
      <m:oMath>
        <m:sSub>
          <m:e>
            <m:r>
              <m:t>μ</m:t>
            </m:r>
          </m:e>
          <m:sub>
            <m:r>
              <m:t>C</m:t>
            </m:r>
          </m:sub>
        </m:sSub>
        <m:r>
          <m:rPr>
            <m:sty m:val="p"/>
          </m:rPr>
          <m:t>(</m:t>
        </m:r>
        <m:r>
          <m:t>30</m:t>
        </m:r>
        <m:r>
          <m:t> </m:t>
        </m:r>
        <m:r>
          <m:rPr>
            <m:nor/>
            <m:sty m:val="p"/>
          </m:rPr>
          <m:t>keV</m:t>
        </m:r>
        <m:r>
          <m:rPr>
            <m:sty m:val="p"/>
          </m:rPr>
          <m:t>)</m:t>
        </m:r>
        <m:r>
          <m:rPr>
            <m:sty m:val="p"/>
          </m:rPr>
          <m:t>=</m:t>
        </m:r>
        <m:r>
          <m:t>47.16</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19.23</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7"/>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 Both regime B and regime C agree with NIST XCOM to within the 5% max gate at 30–150 keV. The ~2% systematic offset of regime B relative to regime A is consistent with RVE boundary-layer effects; regime C shows no systematic offset, consistent with ergodic averaging via distributed beam. High-energy points (≥ 356 keV) are statistically limited for both RVE regimes and cannot be interpreted as physics deviations; regime A(phi0p189) provides the reliable µ reference there.</w:t>
      </w:r>
    </w:p>
    <w:p>
      <w:pPr>
        <w:numPr>
          <w:ilvl w:val="0"/>
          <w:numId w:val="1007"/>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r>
        <w:pict>
          <v:rect style="width:0;height:1.5pt" o:hralign="center" o:hrstd="t" o:hr="t"/>
        </w:pict>
      </w:r>
    </w:p>
    <w:bookmarkEnd w:id="65"/>
    <w:bookmarkStart w:id="66" w:name="limitations-and-validity-scope"/>
    <w:p>
      <w:pPr>
        <w:pStyle w:val="Heading2"/>
      </w:pPr>
      <w:r>
        <w:t xml:space="preserve">8. Limitations and Validity Scope</w:t>
      </w:r>
    </w:p>
    <w:p>
      <w:pPr>
        <w:pStyle w:val="Compact"/>
        <w:numPr>
          <w:ilvl w:val="0"/>
          <w:numId w:val="1008"/>
        </w:numPr>
      </w:pPr>
      <w:r>
        <w:rPr>
          <w:b/>
          <w:bCs/>
        </w:rPr>
        <w:t xml:space="preserve">RVE size selection.</w:t>
      </w:r>
      <w:r>
        <w:t xml:space="preserve"> </w:t>
      </w:r>
      <w:r>
        <w:t xml:space="preserve">Regime B used a 1 µm RVE (</w:t>
      </w:r>
      <m:oMath>
        <m:r>
          <m:t>N</m:t>
        </m:r>
        <m:r>
          <m:rPr>
            <m:sty m:val="p"/>
          </m:rPr>
          <m:t>=</m:t>
        </m:r>
        <m:r>
          <m:t>2</m:t>
        </m:r>
        <m:r>
          <m:rPr>
            <m:sty m:val="p"/>
          </m:rPr>
          <m:t>,</m:t>
        </m:r>
        <m:r>
          <m:t>888</m:t>
        </m:r>
      </m:oMath>
      <w:r>
        <w:t xml:space="preserve"> </w:t>
      </w:r>
      <w:r>
        <w:t xml:space="preserve">spheres); regime C required a 250 nm RVE (</w:t>
      </w:r>
      <m:oMath>
        <m:r>
          <m:t>N</m:t>
        </m:r>
        <m:r>
          <m:rPr>
            <m:sty m:val="p"/>
          </m:rPr>
          <m:t>=</m:t>
        </m:r>
        <m:r>
          <m:t>45</m:t>
        </m:r>
      </m:oMath>
      <w:r>
        <w:t xml:space="preserve">) due to</w:t>
      </w:r>
      <w:r>
        <w:t xml:space="preserve"> </w:t>
      </w:r>
      <w:r>
        <w:rPr>
          <w:rStyle w:val="VerbatimChar"/>
        </w:rPr>
        <w:t xml:space="preserve">G4Voxelizer</w:t>
      </w:r>
      <w:r>
        <w:t xml:space="preserve"> </w:t>
      </w:r>
      <w:r>
        <w:t xml:space="preserve">memory constraints (§5.3). A systematic RVE-convergence study (varying</w:t>
      </w:r>
      <w:r>
        <w:t xml:space="preserve"> </w:t>
      </w:r>
      <m:oMath>
        <m:sSub>
          <m:e>
            <m:r>
              <m:t>L</m:t>
            </m:r>
          </m:e>
          <m:sub>
            <m:r>
              <m:rPr>
                <m:nor/>
                <m:sty m:val="p"/>
              </m:rPr>
              <m:t>RVE</m:t>
            </m:r>
          </m:sub>
        </m:sSub>
      </m:oMath>
      <w:r>
        <w:t xml:space="preserve">) is deferred to a future version.</w:t>
      </w:r>
    </w:p>
    <w:p>
      <w:pPr>
        <w:pStyle w:val="Compact"/>
        <w:numPr>
          <w:ilvl w:val="0"/>
          <w:numId w:val="1008"/>
        </w:numPr>
      </w:pPr>
      <w:r>
        <w:rPr>
          <w:b/>
          <w:bCs/>
        </w:rPr>
        <w:t xml:space="preserve">Single material composition.</w:t>
      </w:r>
      <w:r>
        <w:t xml:space="preserve"> </w:t>
      </w:r>
      <w:r>
        <w:t xml:space="preserve">Only HDPE/Bi₂O₃ at</w:t>
      </w:r>
      <w:r>
        <w:t xml:space="preserve"> </w:t>
      </w:r>
      <m:oMath>
        <m:sSub>
          <m:e>
            <m:r>
              <m:t>ϕ</m:t>
            </m:r>
          </m:e>
          <m:sub>
            <m:r>
              <m:t>f</m:t>
            </m:r>
          </m:sub>
        </m:sSub>
        <m:r>
          <m:rPr>
            <m:sty m:val="p"/>
          </m:rPr>
          <m:t>=</m:t>
        </m:r>
        <m:r>
          <m:t>0.189</m:t>
        </m:r>
      </m:oMath>
      <w:r>
        <w:t xml:space="preserve"> </w:t>
      </w:r>
      <w:r>
        <w:t xml:space="preserve">(68.6 wt% Bi₂O₃, ρ = 2.452 g cm</w:t>
      </w:r>
      <m:oMath>
        <m:sSup>
          <m:e>
            <m:r>
              <m:t>​</m:t>
            </m:r>
          </m:e>
          <m:sup>
            <m:r>
              <m:rPr>
                <m:sty m:val="p"/>
              </m:rPr>
              <m:t>−</m:t>
            </m:r>
            <m:r>
              <m:t>3</m:t>
            </m:r>
          </m:sup>
        </m:sSup>
      </m:oMath>
      <w:r>
        <w:t xml:space="preserve">) is reported for the cross-regime comparison. An additional emlivermore XCOM validation at 30 wt% is included. Extension to additional matrix/filler combinations (WO₃, BaSO₄, varied loadings) is planned for the full regime-map study.</w:t>
      </w:r>
    </w:p>
    <w:p>
      <w:pPr>
        <w:pStyle w:val="Compact"/>
        <w:numPr>
          <w:ilvl w:val="0"/>
          <w:numId w:val="1008"/>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8"/>
        </w:numPr>
      </w:pPr>
      <w:r>
        <w:rPr>
          <w:b/>
          <w:bCs/>
        </w:rPr>
        <w:t xml:space="preserve">1-D slab transport.</w:t>
      </w:r>
      <w:r>
        <w:t xml:space="preserve"> </w:t>
      </w:r>
      <w:r>
        <w:t xml:space="preserve">Full 3-D geometry is out of scope for this paper.</w:t>
      </w:r>
    </w:p>
    <w:p>
      <w:pPr>
        <w:pStyle w:val="Compact"/>
        <w:numPr>
          <w:ilvl w:val="0"/>
          <w:numId w:val="1008"/>
        </w:numPr>
      </w:pPr>
      <w:r>
        <w:rPr>
          <w:b/>
          <w:bCs/>
        </w:rPr>
        <w:t xml:space="preserve">Photon-only benchmark.</w:t>
      </w:r>
      <w:r>
        <w:t xml:space="preserve"> </w:t>
      </w:r>
      <w:r>
        <w:t xml:space="preserve">Neutron and charged-particle behaviour through nanocomposites is not addressed.</w:t>
      </w:r>
    </w:p>
    <w:p>
      <w:pPr>
        <w:pStyle w:val="Compact"/>
        <w:numPr>
          <w:ilvl w:val="0"/>
          <w:numId w:val="1008"/>
        </w:numPr>
      </w:pPr>
      <w:r>
        <w:rPr>
          <w:b/>
          <w:bCs/>
        </w:rPr>
        <w:t xml:space="preserve">Density input.</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(cross-regime comparison) and</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(regime A 30 wt% XCOM validation) are both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66"/>
    <w:bookmarkStart w:id="68" w:name="X2d8f1b2f27b31457b82c6dbfacb1816390ebf9a"/>
    <w:p>
      <w:pPr>
        <w:pStyle w:val="Heading2"/>
      </w:pPr>
      <w:r>
        <w:t xml:space="preserve">9. Reproducibility, Code Availability, and Ethics</w:t>
      </w:r>
    </w:p>
    <w:p>
      <w:pPr>
        <w:pStyle w:val="Compact"/>
        <w:numPr>
          <w:ilvl w:val="0"/>
          <w:numId w:val="1009"/>
        </w:numPr>
      </w:pPr>
      <w:r>
        <w:rPr>
          <w:b/>
          <w:bCs/>
        </w:rPr>
        <w:t xml:space="preserve">Software availability:</w:t>
      </w:r>
      <w:r>
        <w:t xml:space="preserve"> </w:t>
      </w:r>
      <w:r>
        <w:t xml:space="preserve">ShieldLab G4 v1.1 (tag to be assigned upon paper submission), released under the MIT licence. Source code is available at the repository root</w:t>
      </w:r>
      <w:r>
        <w:t xml:space="preserve"> </w:t>
      </w:r>
      <w:hyperlink r:id="rId67">
        <w:r>
          <w:rPr>
            <w:rStyle w:val="Hyperlink"/>
          </w:rPr>
          <w:t xml:space="preserve">README.md</w:t>
        </w:r>
      </w:hyperlink>
      <w:r>
        <w:t xml:space="preserve">.</w:t>
      </w:r>
    </w:p>
    <w:p>
      <w:pPr>
        <w:pStyle w:val="Compact"/>
        <w:numPr>
          <w:ilvl w:val="0"/>
          <w:numId w:val="1009"/>
        </w:numPr>
      </w:pPr>
      <w:r>
        <w:rPr>
          <w:b/>
          <w:bCs/>
        </w:rPr>
        <w:t xml:space="preserve">Data availability:</w:t>
      </w:r>
      <w:r>
        <w:t xml:space="preserve"> </w:t>
      </w:r>
      <w:r>
        <w:t xml:space="preserve">benchmark study JSON files, raw scorer outputs, derived CSV files, and figure-generation scripts for this paper are released in</w:t>
      </w:r>
      <w:r>
        <w:t xml:space="preserve"> </w:t>
      </w:r>
      <w:r>
        <w:rPr>
          <w:rStyle w:val="VerbatimChar"/>
        </w:rPr>
        <w:t xml:space="preserve">results/paper3/</w:t>
      </w:r>
      <w:r>
        <w:t xml:space="preserve"> </w:t>
      </w:r>
      <w:r>
        <w:t xml:space="preserve">under CC-BY 4.0.</w:t>
      </w:r>
    </w:p>
    <w:p>
      <w:pPr>
        <w:pStyle w:val="Compact"/>
        <w:numPr>
          <w:ilvl w:val="0"/>
          <w:numId w:val="1009"/>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9"/>
        </w:numPr>
      </w:pPr>
      <w:r>
        <w:rPr>
          <w:b/>
          <w:bCs/>
        </w:rPr>
        <w:t xml:space="preserve">Ethics statement:</w:t>
      </w:r>
      <w:r>
        <w:t xml:space="preserve"> </w:t>
      </w:r>
      <w:r>
        <w:t xml:space="preserve">this study used no human participants, no animal data, and no clinical data.</w:t>
      </w:r>
    </w:p>
    <w:p>
      <w:pPr>
        <w:pStyle w:val="Compact"/>
        <w:numPr>
          <w:ilvl w:val="0"/>
          <w:numId w:val="1009"/>
        </w:numPr>
      </w:pPr>
      <w:r>
        <w:rPr>
          <w:b/>
          <w:bCs/>
        </w:rPr>
        <w:t xml:space="preserve">Funding statement:</w:t>
      </w:r>
      <w:r>
        <w:t xml:space="preserve"> </w:t>
      </w:r>
      <w:r>
        <w:t xml:space="preserve">no external funding was received for this work.</w:t>
      </w:r>
    </w:p>
    <w:p>
      <w:pPr>
        <w:pStyle w:val="Compact"/>
        <w:numPr>
          <w:ilvl w:val="0"/>
          <w:numId w:val="1009"/>
        </w:numPr>
      </w:pPr>
      <w:r>
        <w:rPr>
          <w:b/>
          <w:bCs/>
        </w:rPr>
        <w:t xml:space="preserve">Conflict of interest statement:</w:t>
      </w:r>
      <w:r>
        <w:t xml:space="preserve"> </w:t>
      </w:r>
      <w:r>
        <w:t xml:space="preserve">the author declares no conflict of interest.</w:t>
      </w:r>
    </w:p>
    <w:p>
      <w:pPr>
        <w:pStyle w:val="Compact"/>
        <w:numPr>
          <w:ilvl w:val="0"/>
          <w:numId w:val="1009"/>
        </w:numPr>
      </w:pPr>
      <w:r>
        <w:rPr>
          <w:b/>
          <w:bCs/>
        </w:rPr>
        <w:t xml:space="preserve">AI-assisted writing disclosure:</w:t>
      </w:r>
      <w:r>
        <w:t xml:space="preserve"> </w:t>
      </w:r>
      <w:r>
        <w:t xml:space="preserve">portions of the manuscript were drafted with the assistance of GitHub Copilot in agent mode; all physics claims, results, citations, and code were independently verified by the author before submission, consistent with COPE 2023 guidance.</w:t>
      </w:r>
    </w:p>
    <w:p>
      <w:r>
        <w:pict>
          <v:rect style="width:0;height:1.5pt" o:hralign="center" o:hrstd="t" o:hr="t"/>
        </w:pict>
      </w:r>
    </w:p>
    <w:bookmarkEnd w:id="68"/>
    <w:bookmarkStart w:id="78" w:name="references"/>
    <w:p>
      <w:pPr>
        <w:pStyle w:val="Heading2"/>
      </w:pPr>
      <w:r>
        <w:t xml:space="preserve">10. References</w:t>
      </w:r>
    </w:p>
    <w:p>
      <w:pPr>
        <w:pStyle w:val="Compact"/>
        <w:numPr>
          <w:ilvl w:val="0"/>
          <w:numId w:val="1010"/>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69">
        <w:r>
          <w:rPr>
            <w:rStyle w:val="Hyperlink"/>
          </w:rPr>
          <w:t xml:space="preserve">10.1016/S0168-9002(03)01368-8</w:t>
        </w:r>
      </w:hyperlink>
      <w:r>
        <w:t xml:space="preserve">.</w:t>
      </w:r>
    </w:p>
    <w:p>
      <w:pPr>
        <w:pStyle w:val="Compact"/>
        <w:numPr>
          <w:ilvl w:val="0"/>
          <w:numId w:val="1010"/>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70">
        <w:r>
          <w:rPr>
            <w:rStyle w:val="Hyperlink"/>
          </w:rPr>
          <w:t xml:space="preserve">10.1109/TNS.2006.869826</w:t>
        </w:r>
      </w:hyperlink>
      <w:r>
        <w:t xml:space="preserve">.</w:t>
      </w:r>
    </w:p>
    <w:p>
      <w:pPr>
        <w:pStyle w:val="Compact"/>
        <w:numPr>
          <w:ilvl w:val="0"/>
          <w:numId w:val="1010"/>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71">
        <w:r>
          <w:rPr>
            <w:rStyle w:val="Hyperlink"/>
          </w:rPr>
          <w:t xml:space="preserve">10.1016/j.nima.2016.06.125</w:t>
        </w:r>
      </w:hyperlink>
      <w:r>
        <w:t xml:space="preserve">.</w:t>
      </w:r>
    </w:p>
    <w:p>
      <w:pPr>
        <w:pStyle w:val="Compact"/>
        <w:numPr>
          <w:ilvl w:val="0"/>
          <w:numId w:val="1010"/>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72">
        <w:r>
          <w:rPr>
            <w:rStyle w:val="Hyperlink"/>
          </w:rPr>
          <w:t xml:space="preserve">10.1016/0020-708X(82)90248-4</w:t>
        </w:r>
      </w:hyperlink>
      <w:r>
        <w:t xml:space="preserve">.</w:t>
      </w:r>
    </w:p>
    <w:p>
      <w:pPr>
        <w:pStyle w:val="Compact"/>
        <w:numPr>
          <w:ilvl w:val="0"/>
          <w:numId w:val="1010"/>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73">
        <w:r>
          <w:rPr>
            <w:rStyle w:val="Hyperlink"/>
          </w:rPr>
          <w:t xml:space="preserve">10.1088/0031-9155/44/1/001</w:t>
        </w:r>
      </w:hyperlink>
      <w:r>
        <w:t xml:space="preserve">.</w:t>
      </w:r>
    </w:p>
    <w:p>
      <w:pPr>
        <w:pStyle w:val="Compact"/>
        <w:numPr>
          <w:ilvl w:val="0"/>
          <w:numId w:val="1010"/>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74">
        <w:r>
          <w:rPr>
            <w:rStyle w:val="Hyperlink"/>
          </w:rPr>
          <w:t xml:space="preserve">https://physics.nist.gov/xcom</w:t>
        </w:r>
      </w:hyperlink>
      <w:r>
        <w:t xml:space="preserve">.</w:t>
      </w:r>
    </w:p>
    <w:p>
      <w:pPr>
        <w:pStyle w:val="Compact"/>
        <w:numPr>
          <w:ilvl w:val="0"/>
          <w:numId w:val="1010"/>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10"/>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75">
        <w:r>
          <w:rPr>
            <w:rStyle w:val="Hyperlink"/>
          </w:rPr>
          <w:t xml:space="preserve">10.1118/1.3476457</w:t>
        </w:r>
      </w:hyperlink>
      <w:r>
        <w:t xml:space="preserve">.</w:t>
      </w:r>
    </w:p>
    <w:p>
      <w:pPr>
        <w:pStyle w:val="Compact"/>
        <w:numPr>
          <w:ilvl w:val="0"/>
          <w:numId w:val="1010"/>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76">
        <w:r>
          <w:rPr>
            <w:rStyle w:val="Hyperlink"/>
          </w:rPr>
          <w:t xml:space="preserve">10.1142/S1793962310000122</w:t>
        </w:r>
      </w:hyperlink>
      <w:r>
        <w:t xml:space="preserve">.</w:t>
      </w:r>
    </w:p>
    <w:p>
      <w:pPr>
        <w:pStyle w:val="Compact"/>
        <w:numPr>
          <w:ilvl w:val="0"/>
          <w:numId w:val="1010"/>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77">
        <w:r>
          <w:rPr>
            <w:rStyle w:val="Hyperlink"/>
          </w:rPr>
          <w:t xml:space="preserve">10.1016/j.nimb.2016.01.017</w:t>
        </w:r>
      </w:hyperlink>
      <w:r>
        <w:t xml:space="preserve">.</w:t>
      </w:r>
    </w:p>
    <w:p>
      <w:pPr>
        <w:pStyle w:val="Compact"/>
        <w:numPr>
          <w:ilvl w:val="0"/>
          <w:numId w:val="1010"/>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67" Target="README.md" TargetMode="External" /><Relationship Type="http://schemas.openxmlformats.org/officeDocument/2006/relationships/hyperlink" Id="rId72" Target="https://doi.org/10.1016/0020-708X(82)90248-4" TargetMode="External" /><Relationship Type="http://schemas.openxmlformats.org/officeDocument/2006/relationships/hyperlink" Id="rId69" Target="https://doi.org/10.1016/S0168-9002(03)01368-8" TargetMode="External" /><Relationship Type="http://schemas.openxmlformats.org/officeDocument/2006/relationships/hyperlink" Id="rId71" Target="https://doi.org/10.1016/j.nima.2016.06.125" TargetMode="External" /><Relationship Type="http://schemas.openxmlformats.org/officeDocument/2006/relationships/hyperlink" Id="rId77" Target="https://doi.org/10.1016/j.nimb.2016.01.017" TargetMode="External" /><Relationship Type="http://schemas.openxmlformats.org/officeDocument/2006/relationships/hyperlink" Id="rId73" Target="https://doi.org/10.1088/0031-9155/44/1/001" TargetMode="External" /><Relationship Type="http://schemas.openxmlformats.org/officeDocument/2006/relationships/hyperlink" Id="rId70" Target="https://doi.org/10.1109/TNS.2006.869826" TargetMode="External" /><Relationship Type="http://schemas.openxmlformats.org/officeDocument/2006/relationships/hyperlink" Id="rId75" Target="https://doi.org/10.1118/1.3476457" TargetMode="External" /><Relationship Type="http://schemas.openxmlformats.org/officeDocument/2006/relationships/hyperlink" Id="rId76" Target="https://doi.org/10.1142/S1793962310000122" TargetMode="External" /><Relationship Type="http://schemas.openxmlformats.org/officeDocument/2006/relationships/hyperlink" Id="rId74"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67" Target="README.md" TargetMode="External" /><Relationship Type="http://schemas.openxmlformats.org/officeDocument/2006/relationships/hyperlink" Id="rId72" Target="https://doi.org/10.1016/0020-708X(82)90248-4" TargetMode="External" /><Relationship Type="http://schemas.openxmlformats.org/officeDocument/2006/relationships/hyperlink" Id="rId69" Target="https://doi.org/10.1016/S0168-9002(03)01368-8" TargetMode="External" /><Relationship Type="http://schemas.openxmlformats.org/officeDocument/2006/relationships/hyperlink" Id="rId71" Target="https://doi.org/10.1016/j.nima.2016.06.125" TargetMode="External" /><Relationship Type="http://schemas.openxmlformats.org/officeDocument/2006/relationships/hyperlink" Id="rId77" Target="https://doi.org/10.1016/j.nimb.2016.01.017" TargetMode="External" /><Relationship Type="http://schemas.openxmlformats.org/officeDocument/2006/relationships/hyperlink" Id="rId73" Target="https://doi.org/10.1088/0031-9155/44/1/001" TargetMode="External" /><Relationship Type="http://schemas.openxmlformats.org/officeDocument/2006/relationships/hyperlink" Id="rId70" Target="https://doi.org/10.1109/TNS.2006.869826" TargetMode="External" /><Relationship Type="http://schemas.openxmlformats.org/officeDocument/2006/relationships/hyperlink" Id="rId75" Target="https://doi.org/10.1118/1.3476457" TargetMode="External" /><Relationship Type="http://schemas.openxmlformats.org/officeDocument/2006/relationships/hyperlink" Id="rId76" Target="https://doi.org/10.1142/S1793962310000122" TargetMode="External" /><Relationship Type="http://schemas.openxmlformats.org/officeDocument/2006/relationships/hyperlink" Id="rId74"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2026-05-18T18:49:59Z</dcterms:created>
  <dcterms:modified xsi:type="dcterms:W3CDTF">2026-05-18T18:49:59Z</dcterms:modified>
</cp:coreProperties>
</file>

<file path=docProps/custom.xml><?xml version="1.0" encoding="utf-8"?>
<Properties xmlns="http://schemas.openxmlformats.org/officeDocument/2006/custom-properties" xmlns:vt="http://schemas.openxmlformats.org/officeDocument/2006/docPropsVTypes"/>
</file>