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5.png" ContentType="image/png"/>
  <Override PartName="/word/media/rId42.png" ContentType="image/png"/>
  <Override PartName="/word/media/rId51.png" ContentType="image/png"/>
  <Override PartName="/word/media/rId56.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X74c57c3dceeb9abb58d90b90d41d01d59f61b11"/>
    <w:p>
      <w:pPr>
        <w:pStyle w:val="Heading1"/>
      </w:pPr>
      <w:r>
        <w:t xml:space="preserve">Controlled Geant4 Benchmarking of Nanocomposite Radiation Shielding Across Effective-Medium and Explicit-RVE Regimes for Two K-Edge Filler Chemistries</w:t>
      </w:r>
    </w:p>
    <w:p>
      <w:pPr>
        <w:pStyle w:val="FirstParagraph"/>
      </w:pPr>
      <w:r>
        <w:rPr>
          <w:b/>
          <w:bCs/>
        </w:rPr>
        <w:t xml:space="preserve">Hani H. Negm</w:t>
      </w:r>
      <w:r>
        <w:t xml:space="preserve">¹</w:t>
      </w:r>
    </w:p>
    <w:p>
      <w:pPr>
        <w:pStyle w:val="BodyText"/>
      </w:pPr>
      <w:r>
        <w:t xml:space="preserve">¹</w:t>
      </w:r>
      <w:r>
        <w:t xml:space="preserve"> </w:t>
      </w:r>
      <w:r>
        <w:rPr>
          <w:i/>
          <w:iCs/>
        </w:rPr>
        <w:t xml:space="preserve">Hani Negm, Department of Physics, College of Science, Jouf University</w:t>
      </w:r>
    </w:p>
    <w:p>
      <w:pPr>
        <w:pStyle w:val="BodyText"/>
      </w:pPr>
      <w:r>
        <w:rPr>
          <w:b/>
          <w:bCs/>
        </w:rPr>
        <w:t xml:space="preserve">Corresponding author:</w:t>
      </w:r>
      <w:r>
        <w:t xml:space="preserve"> </w:t>
      </w:r>
      <w:r>
        <w:t xml:space="preserve">hhnegm@ju.edu.sa</w:t>
      </w:r>
    </w:p>
    <w:p>
      <w:pPr>
        <w:pStyle w:val="BodyText"/>
      </w:pPr>
      <w:r>
        <w:rPr>
          <w:b/>
          <w:bCs/>
        </w:rPr>
        <w:t xml:space="preserve">Manuscript version:</w:t>
      </w:r>
      <w:r>
        <w:t xml:space="preserve"> </w:t>
      </w:r>
      <w:r>
        <w:t xml:space="preserve">v08 (derived from v07 on 2026-05-18; second-material HDPE/WO₃ benchmark added)</w:t>
      </w:r>
    </w:p>
    <w:p>
      <w:pPr>
        <w:pStyle w:val="BodyText"/>
      </w:pPr>
      <w:r>
        <w:rPr>
          <w:b/>
          <w:bCs/>
        </w:rPr>
        <w:t xml:space="preserve">Target journals (Q1, in priority order):</w:t>
      </w:r>
      <w:r>
        <w:t xml:space="preserve"> </w:t>
      </w:r>
      <w:r>
        <w:t xml:space="preserve">1.</w:t>
      </w:r>
      <w:r>
        <w:t xml:space="preserve"> </w:t>
      </w:r>
      <w:r>
        <w:rPr>
          <w:i/>
          <w:iCs/>
        </w:rPr>
        <w:t xml:space="preserve">Radiation Physics and Chemistry</w:t>
      </w:r>
      <w:r>
        <w:t xml:space="preserve"> </w:t>
      </w:r>
      <w:r>
        <w:t xml:space="preserve">(Elsevier, IF ≈ 2.9; primary scope match — shielding + MC methodology)</w:t>
      </w:r>
      <w:r>
        <w:t xml:space="preserve"> </w:t>
      </w:r>
      <w:r>
        <w:t xml:space="preserve">2.</w:t>
      </w:r>
      <w:r>
        <w:t xml:space="preserve"> </w:t>
      </w:r>
      <w:r>
        <w:rPr>
          <w:i/>
          <w:iCs/>
        </w:rPr>
        <w:t xml:space="preserve">Nuclear Instruments and Methods in Physics Research A</w:t>
      </w:r>
      <w:r>
        <w:t xml:space="preserve"> </w:t>
      </w:r>
      <w:r>
        <w:t xml:space="preserve">(NIM A, Elsevier; established Geant4 methods venue)</w:t>
      </w:r>
      <w:r>
        <w:t xml:space="preserve"> </w:t>
      </w:r>
      <w:r>
        <w:t xml:space="preserve">3.</w:t>
      </w:r>
      <w:r>
        <w:t xml:space="preserve"> </w:t>
      </w:r>
      <w:r>
        <w:rPr>
          <w:i/>
          <w:iCs/>
        </w:rPr>
        <w:t xml:space="preserve">Computer Physics Communications</w:t>
      </w:r>
      <w:r>
        <w:t xml:space="preserve"> </w:t>
      </w:r>
      <w:r>
        <w:t xml:space="preserve">(Elsevier; physics + software methodology)</w:t>
      </w:r>
      <w:r>
        <w:t xml:space="preserve"> </w:t>
      </w:r>
      <w:r>
        <w:t xml:space="preserve">4.</w:t>
      </w:r>
      <w:r>
        <w:t xml:space="preserve"> </w:t>
      </w:r>
      <w:r>
        <w:rPr>
          <w:i/>
          <w:iCs/>
        </w:rPr>
        <w:t xml:space="preserve">Physics in Medicine and Biology</w:t>
      </w:r>
      <w:r>
        <w:t xml:space="preserve"> </w:t>
      </w:r>
      <w:r>
        <w:t xml:space="preserve">(IOP; if diagnostic-energy nano-dose results are emphasised)</w:t>
      </w:r>
      <w:r>
        <w:t xml:space="preserve"> </w:t>
      </w:r>
      <w:r>
        <w:t xml:space="preserve">5.</w:t>
      </w:r>
      <w:r>
        <w:t xml:space="preserve"> </w:t>
      </w:r>
      <w:r>
        <w:rPr>
          <w:i/>
          <w:iCs/>
        </w:rPr>
        <w:t xml:space="preserve">Annals of Nuclear Energy</w:t>
      </w:r>
      <w:r>
        <w:t xml:space="preserve"> </w:t>
      </w:r>
      <w:r>
        <w:t xml:space="preserve">(Elsevier; if shielding-engineering framing is emphasised)</w:t>
      </w:r>
    </w:p>
    <w:p>
      <w:r>
        <w:pict>
          <v:rect style="width:0;height:1.5pt" o:hralign="center" o:hrstd="t" o:hr="t"/>
        </w:pict>
      </w:r>
    </w:p>
    <w:bookmarkStart w:id="9" w:name="abstract"/>
    <w:p>
      <w:pPr>
        <w:pStyle w:val="Heading2"/>
      </w:pPr>
      <w:r>
        <w:t xml:space="preserve">Abstract</w:t>
      </w:r>
    </w:p>
    <w:p>
      <w:pPr>
        <w:pStyle w:val="FirstParagraph"/>
      </w:pPr>
      <w:r>
        <w:t xml:space="preserve">Nanoparticle-filled shielding polymers are commonly simulated in Geant4 as homogeneous mixtures, even when experiments describe them as nanocomposites. The validity limit of that homogenised representation relative to explicit nanoparticle geometry remains poorly quantified for shielding photon transport. This paper extends the benchmark to two distinct K-edge filler chemistries, demonstrating methodology generalisability.</w:t>
      </w:r>
    </w:p>
    <w:p>
      <w:pPr>
        <w:pStyle w:val="BodyText"/>
      </w:pPr>
      <w:r>
        <w:t xml:space="preserve">Three Geant4 modelling regimes are benchmarked for HDPE/Bi₂O₃ at</w:t>
      </w:r>
      <w:r>
        <w:t xml:space="preserve"> </w:t>
      </w:r>
      <m:oMath>
        <m:sSub>
          <m:e>
            <m:r>
              <m:t>ϕ</m:t>
            </m:r>
          </m:e>
          <m:sub>
            <m:r>
              <m:t>f</m:t>
            </m:r>
          </m:sub>
        </m:sSub>
        <m:r>
          <m:rPr>
            <m:sty m:val="p"/>
          </m:rPr>
          <m:t>=</m:t>
        </m:r>
        <m:r>
          <m:t>0.189</m:t>
        </m:r>
      </m:oMath>
      <w:r>
        <w:t xml:space="preserve"> </w:t>
      </w:r>
      <w:r>
        <w:t xml:space="preserve">(68.6 wt% Bi₂O₃,</w:t>
      </w:r>
      <w:r>
        <w:t xml:space="preserve"> </w:t>
      </w:r>
      <m:oMath>
        <m:sSub>
          <m:e>
            <m:r>
              <m:t>ρ</m:t>
            </m:r>
          </m:e>
          <m:sub>
            <m:r>
              <m:rPr>
                <m:nor/>
                <m:sty m:val="p"/>
              </m:rPr>
              <m:t>eff</m:t>
            </m:r>
          </m:sub>
        </m:sSub>
        <m:r>
          <m:rPr>
            <m:sty m:val="p"/>
          </m:rPr>
          <m:t>=</m:t>
        </m:r>
        <m:r>
          <m:t>2.452</m:t>
        </m:r>
      </m:oMath>
      <w:r>
        <w:t xml:space="preserve"> </w:t>
      </w:r>
      <w:r>
        <w:t xml:space="preserve">g cm</w:t>
      </w:r>
      <m:oMath>
        <m:sSup>
          <m:e>
            <m:r>
              <m:t>​</m:t>
            </m:r>
          </m:e>
          <m:sup>
            <m:r>
              <m:rPr>
                <m:sty m:val="p"/>
              </m:rPr>
              <m:t>−</m:t>
            </m:r>
            <m:r>
              <m:t>3</m:t>
            </m:r>
          </m:sup>
        </m:sSup>
      </m:oMath>
      <w:r>
        <w:t xml:space="preserve">): (A) effective-medium</w:t>
      </w:r>
      <w:r>
        <w:t xml:space="preserve"> </w:t>
      </w:r>
      <w:r>
        <w:rPr>
          <w:rStyle w:val="VerbatimChar"/>
        </w:rPr>
        <w:t xml:space="preserve">G4Material</w:t>
      </w:r>
      <w:r>
        <w:t xml:space="preserve">, (B) explicit 25 nm Bi₂O₃ spheres in a 1 µm RVE using</w:t>
      </w:r>
      <w:r>
        <w:t xml:space="preserve"> </w:t>
      </w:r>
      <w:r>
        <w:rPr>
          <w:rStyle w:val="VerbatimChar"/>
        </w:rPr>
        <w:t xml:space="preserve">G4PVParameterised</w:t>
      </w:r>
      <w:r>
        <w:t xml:space="preserve">, and (C) explicit spheres in a 250 nm RVE using</w:t>
      </w:r>
      <w:r>
        <w:t xml:space="preserve"> </w:t>
      </w:r>
      <w:r>
        <w:rPr>
          <w:rStyle w:val="VerbatimChar"/>
        </w:rPr>
        <w:t xml:space="preserve">G4MultiUnion</w:t>
      </w:r>
      <w:r>
        <w:t xml:space="preserve">. All runs use Geant4 11.4,</w:t>
      </w:r>
      <w:r>
        <w:t xml:space="preserve"> </w:t>
      </w:r>
      <w:r>
        <w:rPr>
          <w:rStyle w:val="VerbatimChar"/>
        </w:rPr>
        <w:t xml:space="preserve">G4EmLivermorePhysics</w:t>
      </w:r>
      <w:r>
        <w:t xml:space="preserve">, and a 30 keV–1.33 MeV photon grid. A second independent Regime A benchmark is performed for HDPE/WO₃ at matched volume fraction φ=0.189 (63.7 wt% WO₃,</w:t>
      </w:r>
      <w:r>
        <w:t xml:space="preserve"> </w:t>
      </w:r>
      <m:oMath>
        <m:sSub>
          <m:e>
            <m:r>
              <m:t>ρ</m:t>
            </m:r>
          </m:e>
          <m:sub>
            <m:r>
              <m:rPr>
                <m:nor/>
                <m:sty m:val="p"/>
              </m:rPr>
              <m:t>eff</m:t>
            </m:r>
          </m:sub>
        </m:sSub>
        <m:r>
          <m:rPr>
            <m:sty m:val="p"/>
          </m:rPr>
          <m:t>=</m:t>
        </m:r>
        <m:r>
          <m:t>2.124</m:t>
        </m:r>
      </m:oMath>
      <w:r>
        <w:t xml:space="preserve"> </w:t>
      </w:r>
      <w:r>
        <w:t xml:space="preserve">g cm</w:t>
      </w:r>
      <m:oMath>
        <m:sSup>
          <m:e>
            <m:r>
              <m:t>​</m:t>
            </m:r>
          </m:e>
          <m:sup>
            <m:r>
              <m:rPr>
                <m:sty m:val="p"/>
              </m:rPr>
              <m:t>−</m:t>
            </m:r>
            <m:r>
              <m:t>3</m:t>
            </m:r>
          </m:sup>
        </m:sSup>
      </m:oMath>
      <w:r>
        <w:t xml:space="preserve">), which positions its W K-edge (69.5 keV) at a different energy window to the Bi K-edge (90.5 keV), together covering the 50–100 keV diagnostic range. The endpoint is</w:t>
      </w:r>
      <w:r>
        <w:t xml:space="preserve"> </w:t>
      </w:r>
      <m:oMath>
        <m:r>
          <m:t>μ</m:t>
        </m:r>
        <m:r>
          <m:rPr>
            <m:sty m:val="p"/>
          </m:rPr>
          <m:t>/</m:t>
        </m:r>
        <m:r>
          <m:t>ρ</m:t>
        </m:r>
        <m:r>
          <m:rPr>
            <m:sty m:val="p"/>
          </m:rPr>
          <m:t>(</m:t>
        </m:r>
        <m:r>
          <m:t>E</m:t>
        </m:r>
        <m:r>
          <m:rPr>
            <m:sty m:val="p"/>
          </m:rPr>
          <m:t>)</m:t>
        </m:r>
      </m:oMath>
      <w:r>
        <w:t xml:space="preserve"> </w:t>
      </w:r>
      <w:r>
        <w:t xml:space="preserve">relative to NIST XCOM.</w:t>
      </w:r>
    </w:p>
    <w:p>
      <w:pPr>
        <w:pStyle w:val="BodyText"/>
      </w:pPr>
      <w:r>
        <w:t xml:space="preserve">Regime A reproduces XCOM for the 30 wt% Bi₂O₃ validation material with mean and maximum absolute deviations of 0.549% and 2.013%. For the cross-regime composition, regime B agrees with the matched regime-A baseline within the 3% H1 gate at 30–150 keV (</w:t>
      </w:r>
      <m:oMath>
        <m:sSub>
          <m:e>
            <m:r>
              <m:t>μ</m:t>
            </m:r>
          </m:e>
          <m:sub>
            <m:r>
              <m:t>B</m:t>
            </m:r>
          </m:sub>
        </m:sSub>
        <m:r>
          <m:rPr>
            <m:sty m:val="p"/>
          </m:rPr>
          <m:t>/</m:t>
        </m:r>
        <m:sSub>
          <m:e>
            <m:r>
              <m:t>μ</m:t>
            </m:r>
          </m:e>
          <m:sub>
            <m:r>
              <m:t>A</m:t>
            </m:r>
            <m:r>
              <m:rPr>
                <m:sty m:val="p"/>
              </m:rPr>
              <m:t>,</m:t>
            </m:r>
            <m:r>
              <m:t>ϕ</m:t>
            </m:r>
          </m:sub>
        </m:sSub>
        <m:r>
          <m:rPr>
            <m:sty m:val="p"/>
          </m:rPr>
          <m:t>=</m:t>
        </m:r>
        <m:r>
          <m:t>0.975</m:t>
        </m:r>
        <m:r>
          <m:rPr>
            <m:nor/>
            <m:sty m:val="p"/>
          </m:rPr>
          <m:t>–</m:t>
        </m:r>
        <m:r>
          <m:t>0.984</m:t>
        </m:r>
      </m:oMath>
      <w:r>
        <w:t xml:space="preserve">) and resolves the Bi K-edge rise between 80 and 100 keV. Regime C also confirms H1 at 30–150 keV (</w:t>
      </w:r>
      <m:oMath>
        <m:sSub>
          <m:e>
            <m:r>
              <m:t>μ</m:t>
            </m:r>
          </m:e>
          <m:sub>
            <m:r>
              <m:t>C</m:t>
            </m:r>
          </m:sub>
        </m:sSub>
        <m:r>
          <m:rPr>
            <m:sty m:val="p"/>
          </m:rPr>
          <m:t>/</m:t>
        </m:r>
        <m:sSub>
          <m:e>
            <m:r>
              <m:t>μ</m:t>
            </m:r>
          </m:e>
          <m:sub>
            <m:r>
              <m:t>A</m:t>
            </m:r>
            <m:r>
              <m:rPr>
                <m:sty m:val="p"/>
              </m:rPr>
              <m:t>,</m:t>
            </m:r>
            <m:r>
              <m:t>ϕ</m:t>
            </m:r>
          </m:sub>
        </m:sSub>
        <m:r>
          <m:rPr>
            <m:sty m:val="p"/>
          </m:rPr>
          <m:t>=</m:t>
        </m:r>
        <m:r>
          <m:t>0.982</m:t>
        </m:r>
        <m:r>
          <m:rPr>
            <m:nor/>
            <m:sty m:val="p"/>
          </m:rPr>
          <m:t>–</m:t>
        </m:r>
        <m:r>
          <m:t>1.016</m:t>
        </m:r>
      </m:oMath>
      <w:r>
        <w:t xml:space="preserve">), with XCOM agreement from −2.3% to +1.2% in that range. For HDPE/WO₃, the Regime A effective-medium benchmark reproduces NIST XCOM with max |Δ|=0.97% across all 10 energies (mean |Δ|=0.42%), and the W K-edge at 69.5 keV is confirmed by a 31% MAC increase from 50 to 80 keV.</w:t>
      </w:r>
    </w:p>
    <w:p>
      <w:pPr>
        <w:pStyle w:val="BodyText"/>
      </w:pPr>
      <w:r>
        <w:t xml:space="preserve">The results support effective-medium modelling for macroscopic shielding when</w:t>
      </w:r>
      <w:r>
        <w:t xml:space="preserve"> </w:t>
      </w:r>
      <m:oMath>
        <m:r>
          <m:t>μ</m:t>
        </m:r>
        <m:r>
          <m:t>r</m:t>
        </m:r>
        <m:r>
          <m:rPr>
            <m:sty m:val="p"/>
          </m:rPr>
          <m:t>≪</m:t>
        </m:r>
        <m:r>
          <m:t>1</m:t>
        </m:r>
      </m:oMath>
      <w:r>
        <w:t xml:space="preserve"> </w:t>
      </w:r>
      <w:r>
        <w:t xml:space="preserve">and demonstrate that the emlivermore effective-medium approach is not material-specific: both HDPE/Bi₂O₃ and HDPE/WO₃ at identical φ achieve sub-1% XCOM agreement at Compton-dominated energies and resolve their respective K-edges consistently. The</w:t>
      </w:r>
      <w:r>
        <w:t xml:space="preserve"> </w:t>
      </w:r>
      <w:r>
        <w:rPr>
          <w:rStyle w:val="VerbatimChar"/>
        </w:rPr>
        <w:t xml:space="preserve">G4PVParameterised</w:t>
      </w:r>
      <w:r>
        <w:t xml:space="preserve"> </w:t>
      </w:r>
      <w:r>
        <w:t xml:space="preserve">geometry is markedly more scalable than</w:t>
      </w:r>
      <w:r>
        <w:t xml:space="preserve"> </w:t>
      </w:r>
      <w:r>
        <w:rPr>
          <w:rStyle w:val="VerbatimChar"/>
        </w:rPr>
        <w:t xml:space="preserve">G4MultiUnion</w:t>
      </w:r>
      <w:r>
        <w:t xml:space="preserve"> </w:t>
      </w:r>
      <w:r>
        <w:t xml:space="preserve">on workstation-class hardware.</w:t>
      </w:r>
    </w:p>
    <w:p>
      <w:pPr>
        <w:pStyle w:val="BodyText"/>
      </w:pPr>
      <w:r>
        <w:rPr>
          <w:b/>
          <w:bCs/>
        </w:rPr>
        <w:t xml:space="preserve">Keywords:</w:t>
      </w:r>
      <w:r>
        <w:t xml:space="preserve"> </w:t>
      </w:r>
      <w:r>
        <w:t xml:space="preserve">Geant4 · radiation shielding · nanocomposite · effective medium ·</w:t>
      </w:r>
      <w:r>
        <w:t xml:space="preserve"> </w:t>
      </w:r>
      <w:r>
        <w:rPr>
          <w:rStyle w:val="VerbatimChar"/>
        </w:rPr>
        <w:t xml:space="preserve">G4MultiUnion</w:t>
      </w:r>
      <w:r>
        <w:t xml:space="preserve"> </w:t>
      </w:r>
      <w:r>
        <w:t xml:space="preserve">·</w:t>
      </w:r>
      <w:r>
        <w:t xml:space="preserve"> </w:t>
      </w:r>
      <w:r>
        <w:rPr>
          <w:rStyle w:val="VerbatimChar"/>
        </w:rPr>
        <w:t xml:space="preserve">G4PVParameterised</w:t>
      </w:r>
      <w:r>
        <w:t xml:space="preserve"> </w:t>
      </w:r>
      <w:r>
        <w:t xml:space="preserve">· representative volume element · mass attenuation coefficient · K-edge · WO₃ · Bi₂O₃</w:t>
      </w:r>
    </w:p>
    <w:p>
      <w:r>
        <w:pict>
          <v:rect style="width:0;height:1.5pt" o:hralign="center" o:hrstd="t" o:hr="t"/>
        </w:pict>
      </w:r>
    </w:p>
    <w:bookmarkEnd w:id="9"/>
    <w:bookmarkStart w:id="13" w:name="introduction"/>
    <w:p>
      <w:pPr>
        <w:pStyle w:val="Heading2"/>
      </w:pPr>
      <w:r>
        <w:t xml:space="preserve">1. Introduction</w:t>
      </w:r>
    </w:p>
    <w:bookmarkStart w:id="10" w:name="background"/>
    <w:p>
      <w:pPr>
        <w:pStyle w:val="Heading3"/>
      </w:pPr>
      <w:r>
        <w:t xml:space="preserve">1.1 Background</w:t>
      </w:r>
    </w:p>
    <w:p>
      <w:pPr>
        <w:pStyle w:val="FirstParagraph"/>
      </w:pPr>
      <w:r>
        <w:t xml:space="preserve">Polymer-matrix radiation-shielding composites loaded with high-Z fillers (Bi₂O₃, WO₃, PbO, BaSO₄, Gd₂O₃) have become a sustained research focus over the past decade, driven by the need for lead-free, flexible, low-toxicity alternatives in medical X-ray protection, nuclear medicine, and aerospace shielding. Among these, bismuth oxide (Bi₂O₃, Z=83) and tungsten trioxide (WO₃, Z=74) are particularly attractive: both are non-toxic, commercially available as fine powders, and exhibit high-Z K-edges — at 90.5 keV (Bi) and 69.5 keV (W) respectively — that fall squarely within the diagnostic X-ray energy window (50–150 keV). Together these two K-edges bracket the 50–100 keV range where K-edge jumps can significantly enhance shielding performance.</w:t>
      </w:r>
    </w:p>
    <w:p>
      <w:pPr>
        <w:pStyle w:val="BodyText"/>
      </w:pPr>
      <w:r>
        <w:t xml:space="preserve">A substantial fraction of the recent literature reports filler particle sizes in the nanometre range and labels the resulting materials as</w:t>
      </w:r>
      <w:r>
        <w:t xml:space="preserve"> </w:t>
      </w:r>
      <w:r>
        <w:rPr>
          <w:i/>
          <w:iCs/>
        </w:rPr>
        <w:t xml:space="preserve">nanocomposites</w:t>
      </w:r>
      <w:r>
        <w:t xml:space="preserve">. When such materials are simulated in Monte Carlo (MC) transport codes — most commonly Geant4 [1–3] — the dominant practice is to define one</w:t>
      </w:r>
      <w:r>
        <w:t xml:space="preserve"> </w:t>
      </w:r>
      <w:r>
        <w:rPr>
          <w:rStyle w:val="VerbatimChar"/>
        </w:rPr>
        <w:t xml:space="preserve">G4Material</w:t>
      </w:r>
      <w:r>
        <w:t xml:space="preserve"> </w:t>
      </w:r>
      <w:r>
        <w:t xml:space="preserve">from elemental mass fractions and a measured or estimated bulk density. The microstructure is not resolved.</w:t>
      </w:r>
    </w:p>
    <w:p>
      <w:pPr>
        <w:pStyle w:val="BodyText"/>
      </w:pPr>
      <w:r>
        <w:t xml:space="preserve">This homogenisation is physically defensible for the macroscopic shielding regime in which the relevant photon mean free path (MFP) is orders of magnitude larger than both the filler particle radius and the inter-particle spacing. Under that condition the photon</w:t>
      </w:r>
      <w:r>
        <w:t xml:space="preserve"> </w:t>
      </w:r>
      <w:r>
        <w:t xml:space="preserve">“sees”</w:t>
      </w:r>
      <w:r>
        <w:t xml:space="preserve"> </w:t>
      </w:r>
      <w:r>
        <w:t xml:space="preserve">an effective medium and the Bragg–Gray mass-fraction additivity rule [4,5] yields linear attenuation coefficients consistent with NIST XCOM [6] to within the independent-atom approximation. The validity boundary of this rule has been extensively characterised for macroscopic mixtures [5,7], but the question that motivates this work is different: under what circumstances does the</w:t>
      </w:r>
      <w:r>
        <w:t xml:space="preserve"> </w:t>
      </w:r>
      <w:r>
        <w:rPr>
          <w:i/>
          <w:iCs/>
        </w:rPr>
        <w:t xml:space="preserve">spatial arrangement</w:t>
      </w:r>
      <w:r>
        <w:t xml:space="preserve"> </w:t>
      </w:r>
      <w:r>
        <w:t xml:space="preserve">of the high-Z phase, at the nanoscale, change a quantity that a shielding engineer or medical physicist actually cares about — transmission, broad-beam dose, or interface dose — by more than the experimental uncertainty? And does the answer depend on the specific filler chemistry?</w:t>
      </w:r>
    </w:p>
    <w:bookmarkEnd w:id="10"/>
    <w:bookmarkStart w:id="11" w:name="gap"/>
    <w:p>
      <w:pPr>
        <w:pStyle w:val="Heading3"/>
      </w:pPr>
      <w:r>
        <w:t xml:space="preserve">1.2 Gap</w:t>
      </w:r>
    </w:p>
    <w:p>
      <w:pPr>
        <w:pStyle w:val="FirstParagraph"/>
      </w:pPr>
      <w:r>
        <w:t xml:space="preserve">Three gaps remain in the literature:</w:t>
      </w:r>
    </w:p>
    <w:p>
      <w:pPr>
        <w:pStyle w:val="Compact"/>
        <w:numPr>
          <w:ilvl w:val="0"/>
          <w:numId w:val="1001"/>
        </w:numPr>
      </w:pPr>
      <w:r>
        <w:rPr>
          <w:b/>
          <w:bCs/>
        </w:rPr>
        <w:t xml:space="preserve">Validity boundary of homogenisation.</w:t>
      </w:r>
      <w:r>
        <w:t xml:space="preserve"> </w:t>
      </w:r>
      <w:r>
        <w:t xml:space="preserve">Although effective-medium MC results agree with experiment for many nanocomposite shielding measurements at gamma energies, there is no published systematic Geant4 benchmark that holds composition, density, source, scoring geometry, and physics list constant while varying only the geometric representation (homogeneous vs explicit-particle vs clustered) and reports the cross-method deviation as a function of photon energy and filler loading.</w:t>
      </w:r>
    </w:p>
    <w:p>
      <w:pPr>
        <w:pStyle w:val="Compact"/>
        <w:numPr>
          <w:ilvl w:val="0"/>
          <w:numId w:val="1001"/>
        </w:numPr>
      </w:pPr>
      <w:r>
        <w:rPr>
          <w:b/>
          <w:bCs/>
        </w:rPr>
        <w:t xml:space="preserve">Computational cost characterisation.</w:t>
      </w:r>
      <w:r>
        <w:t xml:space="preserve"> </w:t>
      </w:r>
      <w:r>
        <w:t xml:space="preserve">The Geant4 Application Developer Guide documents</w:t>
      </w:r>
      <w:r>
        <w:t xml:space="preserve"> </w:t>
      </w:r>
      <w:r>
        <w:rPr>
          <w:rStyle w:val="VerbatimChar"/>
        </w:rPr>
        <w:t xml:space="preserve">G4PVParameterised</w:t>
      </w:r>
      <w:r>
        <w:t xml:space="preserve"> </w:t>
      </w:r>
      <w:r>
        <w:t xml:space="preserve">and</w:t>
      </w:r>
      <w:r>
        <w:t xml:space="preserve"> </w:t>
      </w:r>
      <w:r>
        <w:rPr>
          <w:rStyle w:val="VerbatimChar"/>
        </w:rPr>
        <w:t xml:space="preserve">G4MultiUnion</w:t>
      </w:r>
      <w:r>
        <w:t xml:space="preserve"> </w:t>
      </w:r>
      <w:r>
        <w:t xml:space="preserve">as standard constructs, but the practical scaling of runtime, memory, and geometry-construction time for radiation-shielding-relevant nanoparticle counts has not been mapped. Practitioners frequently assume that</w:t>
      </w:r>
      <w:r>
        <w:t xml:space="preserve"> </w:t>
      </w:r>
      <w:r>
        <w:t xml:space="preserve">“Geant4 can do it”</w:t>
      </w:r>
      <w:r>
        <w:t xml:space="preserve"> </w:t>
      </w:r>
      <w:r>
        <w:t xml:space="preserve">without quantifying when it cannot.</w:t>
      </w:r>
    </w:p>
    <w:p>
      <w:pPr>
        <w:pStyle w:val="Compact"/>
        <w:numPr>
          <w:ilvl w:val="0"/>
          <w:numId w:val="1001"/>
        </w:numPr>
      </w:pPr>
      <w:r>
        <w:rPr>
          <w:b/>
          <w:bCs/>
        </w:rPr>
        <w:t xml:space="preserve">Production-grade methodology generalisation.</w:t>
      </w:r>
      <w:r>
        <w:t xml:space="preserve"> </w:t>
      </w:r>
      <w:r>
        <w:t xml:space="preserve">Existing nanoparticle-resolved Geant4 studies are concentrated in the nano-radiosensitisation/Geant4-DNA community [8,9,10], where the physical scale is sub-cellular and the particle counts are tractable. There is no published bridge between that microscopic methodology and the macroscopic shielding-engineering use case, and no demonstration that the methodology generalises across filler chemistries.</w:t>
      </w:r>
    </w:p>
    <w:bookmarkEnd w:id="11"/>
    <w:bookmarkStart w:id="12" w:name="contribution-and-hypothesis"/>
    <w:p>
      <w:pPr>
        <w:pStyle w:val="Heading3"/>
      </w:pPr>
      <w:r>
        <w:t xml:space="preserve">1.3 Contribution and hypothesis</w:t>
      </w:r>
    </w:p>
    <w:p>
      <w:pPr>
        <w:pStyle w:val="FirstParagraph"/>
      </w:pPr>
      <w:r>
        <w:t xml:space="preserve">This paper makes four distinct contributions that have not appeared in the prior Geant4 nanocomposite literature:</w:t>
      </w:r>
    </w:p>
    <w:p>
      <w:pPr>
        <w:numPr>
          <w:ilvl w:val="0"/>
          <w:numId w:val="1002"/>
        </w:numPr>
      </w:pPr>
      <w:r>
        <w:rPr>
          <w:b/>
          <w:bCs/>
        </w:rPr>
        <w:t xml:space="preserve">First controlled cross-regime benchmark for macroscopic nanocomposite shielding.</w:t>
      </w:r>
      <w:r>
        <w:t xml:space="preserve"> </w:t>
      </w:r>
      <w:r>
        <w:t xml:space="preserve">Composition, density, source spectrum, scoring geometry, and physics list are held identical across all three modelling regimes; only the geometric representation changes. This isolation allows the method-to-method deviation to be attributed entirely to geometry choice rather than to any other modelling variable. No equivalent comparison has been published for shielding-relevant photon energies and nanoparticle counts.</w:t>
      </w:r>
    </w:p>
    <w:p>
      <w:pPr>
        <w:numPr>
          <w:ilvl w:val="0"/>
          <w:numId w:val="1002"/>
        </w:numPr>
      </w:pPr>
      <w:r>
        <w:rPr>
          <w:b/>
          <w:bCs/>
        </w:rPr>
        <w:t xml:space="preserve">First quantitative mapping of the computational feasibility boundary for explicit-RVE Geant4 approaches.</w:t>
      </w:r>
      <w:r>
        <w:t xml:space="preserve"> </w:t>
      </w:r>
      <w:r>
        <w:t xml:space="preserve">The</w:t>
      </w:r>
      <w:r>
        <w:t xml:space="preserve"> </w:t>
      </w:r>
      <w:r>
        <w:rPr>
          <w:rStyle w:val="VerbatimChar"/>
        </w:rPr>
        <w:t xml:space="preserve">G4Voxelizer</w:t>
      </w:r>
      <w:r>
        <w:t xml:space="preserve"> </w:t>
      </w:r>
      <m:oMath>
        <m:r>
          <m:rPr>
            <m:sty m:val="p"/>
          </m:rPr>
          <m:t>(</m:t>
        </m:r>
        <m:r>
          <m:t>2</m:t>
        </m:r>
        <m:r>
          <m:t>N</m:t>
        </m:r>
        <m:sSup>
          <m:e>
            <m:r>
              <m:rPr>
                <m:sty m:val="p"/>
              </m:rPr>
              <m:t>)</m:t>
            </m:r>
          </m:e>
          <m:sup>
            <m:r>
              <m:t>3</m:t>
            </m:r>
          </m:sup>
        </m:sSup>
      </m:oMath>
      <w:r>
        <w:t xml:space="preserve"> </w:t>
      </w:r>
      <w:r>
        <w:t xml:space="preserve">memory scaling is characterised explicitly against hardware limits on a workstation-class 8 GB system, producing a hardware-referenced scalability boundary that practitioners can use directly when choosing between</w:t>
      </w:r>
      <w:r>
        <w:t xml:space="preserve"> </w:t>
      </w:r>
      <w:r>
        <w:rPr>
          <w:rStyle w:val="VerbatimChar"/>
        </w:rPr>
        <w:t xml:space="preserve">G4PVParameterised</w:t>
      </w:r>
      <w:r>
        <w:t xml:space="preserve"> </w:t>
      </w:r>
      <w:r>
        <w:t xml:space="preserve">and</w:t>
      </w:r>
      <w:r>
        <w:t xml:space="preserve"> </w:t>
      </w:r>
      <w:r>
        <w:rPr>
          <w:rStyle w:val="VerbatimChar"/>
        </w:rPr>
        <w:t xml:space="preserve">G4MultiUnion</w:t>
      </w:r>
      <w:r>
        <w:t xml:space="preserve"> </w:t>
      </w:r>
      <w:r>
        <w:t xml:space="preserve">for a given filler count and RVE size.</w:t>
      </w:r>
    </w:p>
    <w:p>
      <w:pPr>
        <w:numPr>
          <w:ilvl w:val="0"/>
          <w:numId w:val="1002"/>
        </w:numPr>
      </w:pPr>
      <w:r>
        <w:rPr>
          <w:b/>
          <w:bCs/>
        </w:rPr>
        <w:t xml:space="preserve">Open, reproducible benchmark harness.</w:t>
      </w:r>
      <w:r>
        <w:t xml:space="preserve"> </w:t>
      </w:r>
      <w:r>
        <w:t xml:space="preserve">All study configuration files, macro writers, orchestrator, XCOM comparison, and figure-generation modules are released in ShieldLab G4 v1.1 under the MIT licence. The full benchmark is re-executable with a single command by any group with access to Geant4 11.4.</w:t>
      </w:r>
    </w:p>
    <w:p>
      <w:pPr>
        <w:numPr>
          <w:ilvl w:val="0"/>
          <w:numId w:val="1002"/>
        </w:numPr>
      </w:pPr>
      <w:r>
        <w:rPr>
          <w:b/>
          <w:bCs/>
        </w:rPr>
        <w:t xml:space="preserve">First cross-material K-edge benchmark for two filler chemistries.</w:t>
      </w:r>
      <w:r>
        <w:t xml:space="preserve"> </w:t>
      </w:r>
      <w:r>
        <w:t xml:space="preserve">A second independent Regime A XCOM validation is performed for HDPE/WO₃ at matched volume fraction φ=0.189 using identical methodology, demonstrating that the effective-medium approach is not material-specific and extending the validated energy coverage to 50–80 keV (W K-edge) in addition to 80–100 keV (Bi K-edge).</w:t>
      </w:r>
    </w:p>
    <w:p>
      <w:pPr>
        <w:pStyle w:val="FirstParagraph"/>
      </w:pPr>
      <w:r>
        <w:t xml:space="preserve">The prior Geant4 nanoparticle literature is concentrated in the Geant4-DNA / nano-radiosensitisation domain [8,9,10], where the physical scale is sub-cellular and nanoparticle counts are tractable. No published work bridges that microscopic methodology to the macroscopic shielding-engineering use case, and no work demonstrates methodology generalisability across filler chemistries. The novelty is therefore methodological rather than kernel-level:</w:t>
      </w:r>
      <w:r>
        <w:t xml:space="preserve"> </w:t>
      </w:r>
      <w:r>
        <w:rPr>
          <w:rStyle w:val="VerbatimChar"/>
        </w:rPr>
        <w:t xml:space="preserve">G4PVParameterised</w:t>
      </w:r>
      <w:r>
        <w:t xml:space="preserve"> </w:t>
      </w:r>
      <w:r>
        <w:t xml:space="preserve">and</w:t>
      </w:r>
      <w:r>
        <w:t xml:space="preserve"> </w:t>
      </w:r>
      <w:r>
        <w:rPr>
          <w:rStyle w:val="VerbatimChar"/>
        </w:rPr>
        <w:t xml:space="preserve">G4MultiUnion</w:t>
      </w:r>
      <w:r>
        <w:t xml:space="preserve"> </w:t>
      </w:r>
      <w:r>
        <w:t xml:space="preserve">are standard Geant4 geometry constructs; the contribution is the controlled cross-regime shielding benchmark, RVE validation workflow, and two-material generalisation built on top of them.</w:t>
      </w:r>
    </w:p>
    <w:p>
      <w:pPr>
        <w:pStyle w:val="BodyText"/>
      </w:pPr>
      <w:r>
        <w:rPr>
          <w:b/>
          <w:bCs/>
        </w:rPr>
        <w:t xml:space="preserve">Scope of the three regimes.</w:t>
      </w:r>
      <w:r>
        <w:t xml:space="preserve"> </w:t>
      </w:r>
      <w:r>
        <w:t xml:space="preserve">Two additional Geant4 strategies are intentionally outside this paper. A raw many-daughter</w:t>
      </w:r>
      <w:r>
        <w:t xml:space="preserve"> </w:t>
      </w:r>
      <w:r>
        <w:rPr>
          <w:rStyle w:val="VerbatimChar"/>
        </w:rPr>
        <w:t xml:space="preserve">G4PVPlacement</w:t>
      </w:r>
      <w:r>
        <w:t xml:space="preserve"> </w:t>
      </w:r>
      <w:r>
        <w:t xml:space="preserve">loop is not benchmarked separately because, for identical spheres, it is functionally superseded by</w:t>
      </w:r>
      <w:r>
        <w:t xml:space="preserve"> </w:t>
      </w:r>
      <w:r>
        <w:rPr>
          <w:rStyle w:val="VerbatimChar"/>
        </w:rPr>
        <w:t xml:space="preserve">G4PVParameterised</w:t>
      </w:r>
      <w:r>
        <w:t xml:space="preserve"> </w:t>
      </w:r>
      <w:r>
        <w:t xml:space="preserve">while offering poorer scalability and no benefit in repeated-geometry handling. Nested parameterisation with</w:t>
      </w:r>
      <w:r>
        <w:t xml:space="preserve"> </w:t>
      </w:r>
      <w:r>
        <w:rPr>
          <w:rStyle w:val="VerbatimChar"/>
        </w:rPr>
        <w:t xml:space="preserve">G4Region</w:t>
      </w:r>
      <w:r>
        <w:t xml:space="preserve">/</w:t>
      </w:r>
      <w:r>
        <w:rPr>
          <w:rStyle w:val="VerbatimChar"/>
        </w:rPr>
        <w:t xml:space="preserve">G4ProductionCuts</w:t>
      </w:r>
      <w:r>
        <w:t xml:space="preserve"> </w:t>
      </w:r>
      <w:r>
        <w:t xml:space="preserve">in the Geant4-DNA style targets eV-scale local-energy-deposition and microdosimetry, not the macroscopic attenuation and transmission observables treated here.</w:t>
      </w:r>
    </w:p>
    <w:p>
      <w:pPr>
        <w:pStyle w:val="BodyText"/>
      </w:pPr>
      <w:r>
        <w:rPr>
          <w:b/>
          <w:bCs/>
        </w:rPr>
        <w:t xml:space="preserve">Hypothesis (H1).</w:t>
      </w:r>
      <w:r>
        <w:t xml:space="preserve"> </w:t>
      </w:r>
      <w:r>
        <w:t xml:space="preserve">For photon energies where the photon mean free path greatly exceeds the nanoparticle radius (</w:t>
      </w:r>
      <m:oMath>
        <m:r>
          <m:t>μ</m:t>
        </m:r>
        <m:r>
          <m:t>r</m:t>
        </m:r>
        <m:r>
          <m:rPr>
            <m:sty m:val="p"/>
          </m:rPr>
          <m:t>≪</m:t>
        </m:r>
        <m:r>
          <m:t>1</m:t>
        </m:r>
      </m:oMath>
      <w:r>
        <w:t xml:space="preserve">, i.e.,</w:t>
      </w:r>
      <w:r>
        <w:t xml:space="preserve"> </w:t>
      </w:r>
      <m:oMath>
        <m:r>
          <m:t>r</m:t>
        </m:r>
        <m:r>
          <m:rPr>
            <m:sty m:val="p"/>
          </m:rPr>
          <m:t>≪</m:t>
        </m:r>
        <m:r>
          <m:t>1</m:t>
        </m:r>
        <m:r>
          <m:rPr>
            <m:sty m:val="p"/>
          </m:rPr>
          <m:t>/</m:t>
        </m:r>
        <m:r>
          <m:t>μ</m:t>
        </m:r>
      </m:oMath>
      <w:r>
        <w:t xml:space="preserve">), the transmitted fluence through the same material composition is independent of the choice of regime A, B, or C within the statistical uncertainty of</w:t>
      </w:r>
      <w:r>
        <w:t xml:space="preserve"> </w:t>
      </w:r>
      <m:oMath>
        <m:sSup>
          <m:e>
            <m:r>
              <m:t>10</m:t>
            </m:r>
          </m:e>
          <m:sup>
            <m:r>
              <m:t>6</m:t>
            </m:r>
          </m:sup>
        </m:sSup>
      </m:oMath>
      <w:r>
        <w:t xml:space="preserve">–</w:t>
      </w:r>
      <m:oMath>
        <m:sSup>
          <m:e>
            <m:r>
              <m:t>10</m:t>
            </m:r>
          </m:e>
          <m:sup>
            <m:r>
              <m:t>7</m:t>
            </m:r>
          </m:sup>
        </m:sSup>
      </m:oMath>
      <w:r>
        <w:t xml:space="preserve">-history Geant4 runs, provided composition, density, and scoring are matched.</w:t>
      </w:r>
    </w:p>
    <w:p>
      <w:pPr>
        <w:pStyle w:val="BodyText"/>
      </w:pPr>
      <w:r>
        <w:rPr>
          <w:b/>
          <w:bCs/>
        </w:rPr>
        <w:t xml:space="preserve">Hypothesis (H2).</w:t>
      </w:r>
      <w:r>
        <w:t xml:space="preserve"> </w:t>
      </w:r>
      <w:r>
        <w:t xml:space="preserve">For photon energies</w:t>
      </w:r>
      <w:r>
        <w:t xml:space="preserve"> </w:t>
      </w:r>
      <m:oMath>
        <m:r>
          <m:t>E</m:t>
        </m:r>
        <m:r>
          <m:rPr>
            <m:sty m:val="p"/>
          </m:rPr>
          <m:t>≲</m:t>
        </m:r>
        <m:r>
          <m:t>100</m:t>
        </m:r>
      </m:oMath>
      <w:r>
        <w:t xml:space="preserve"> </w:t>
      </w:r>
      <w:r>
        <w:t xml:space="preserve">keV with high-Z fillers (Bi₂O₃), the radial dose-enhancement profile around individual particles carries spatial structure that the effective-medium regime cannot reproduce.</w:t>
      </w:r>
    </w:p>
    <w:p>
      <w:pPr>
        <w:pStyle w:val="BodyText"/>
      </w:pPr>
      <w:r>
        <w:t xml:space="preserve">Each hypothesis is operationalised as a numeric acceptance criterion in §4.5.</w:t>
      </w:r>
    </w:p>
    <w:p>
      <w:r>
        <w:pict>
          <v:rect style="width:0;height:1.5pt" o:hralign="center" o:hrstd="t" o:hr="t"/>
        </w:pict>
      </w:r>
    </w:p>
    <w:bookmarkEnd w:id="12"/>
    <w:bookmarkEnd w:id="13"/>
    <w:bookmarkStart w:id="17" w:name="theoretical-basis"/>
    <w:p>
      <w:pPr>
        <w:pStyle w:val="Heading2"/>
      </w:pPr>
      <w:r>
        <w:t xml:space="preserve">2. Theoretical Basis</w:t>
      </w:r>
    </w:p>
    <w:bookmarkStart w:id="14" w:name="Xee16f89f5ebd92e0f7f0e6dfdd684a5a5a8f193"/>
    <w:p>
      <w:pPr>
        <w:pStyle w:val="Heading3"/>
      </w:pPr>
      <w:r>
        <w:t xml:space="preserve">2.1 When homogenisation is exact, when it is approximate, and when it fails</w:t>
      </w:r>
    </w:p>
    <w:p>
      <w:pPr>
        <w:pStyle w:val="FirstParagraph"/>
      </w:pPr>
      <w:r>
        <w:t xml:space="preserve">The mass-fraction additivity rule for the mass attenuation coefficient,</w:t>
      </w:r>
    </w:p>
    <w:p>
      <w:pPr>
        <w:pStyle w:val="BodyText"/>
      </w:pPr>
      <m:oMathPara>
        <m:oMathParaPr>
          <m:jc m:val="center"/>
        </m:oMathParaPr>
        <m:oMath>
          <m:sSub>
            <m:e>
              <m:d>
                <m:dPr>
                  <m:begChr m:val="("/>
                  <m:sepChr m:val=""/>
                  <m:endChr m:val=")"/>
                  <m:grow/>
                </m:dPr>
                <m:e>
                  <m:f>
                    <m:fPr>
                      <m:type m:val="bar"/>
                    </m:fPr>
                    <m:num>
                      <m:r>
                        <m:t>μ</m:t>
                      </m:r>
                    </m:num>
                    <m:den>
                      <m:r>
                        <m:t>ρ</m:t>
                      </m:r>
                    </m:den>
                  </m:f>
                </m:e>
              </m:d>
            </m:e>
            <m:sub>
              <m:r>
                <m:rPr>
                  <m:nor/>
                  <m:sty m:val="p"/>
                </m:rPr>
                <m:t>mix</m:t>
              </m:r>
            </m:sub>
          </m:sSub>
          <m:r>
            <m:rPr>
              <m:sty m:val="p"/>
            </m:rPr>
            <m:t>(</m:t>
          </m:r>
          <m:r>
            <m:t>E</m:t>
          </m:r>
          <m:r>
            <m:rPr>
              <m:sty m:val="p"/>
            </m:rPr>
            <m:t>)</m:t>
          </m:r>
          <m:r>
            <m:rPr>
              <m:sty m:val="p"/>
            </m:rPr>
            <m:t>=</m:t>
          </m:r>
          <m:nary>
            <m:naryPr>
              <m:chr m:val="∑"/>
              <m:limLoc m:val="undOvr"/>
              <m:subHide m:val="off"/>
              <m:supHide m:val="on"/>
            </m:naryPr>
            <m:sub>
              <m:r>
                <m:t>i</m:t>
              </m:r>
            </m:sub>
            <m:sup>
              <m:r>
                <m:t>​</m:t>
              </m:r>
            </m:sup>
            <m:e>
              <m:sSub>
                <m:e>
                  <m:r>
                    <m:t>w</m:t>
                  </m:r>
                </m:e>
                <m:sub>
                  <m:r>
                    <m:t>i</m:t>
                  </m:r>
                </m:sub>
              </m:sSub>
            </m:e>
          </m:nary>
          <m:sSub>
            <m:e>
              <m:d>
                <m:dPr>
                  <m:begChr m:val="("/>
                  <m:sepChr m:val=""/>
                  <m:endChr m:val=")"/>
                  <m:grow/>
                </m:dPr>
                <m:e>
                  <m:f>
                    <m:fPr>
                      <m:type m:val="bar"/>
                    </m:fPr>
                    <m:num>
                      <m:r>
                        <m:t>μ</m:t>
                      </m:r>
                    </m:num>
                    <m:den>
                      <m:r>
                        <m:t>ρ</m:t>
                      </m:r>
                    </m:den>
                  </m:f>
                </m:e>
              </m:d>
            </m:e>
            <m:sub>
              <m:r>
                <m:t>i</m:t>
              </m:r>
            </m:sub>
          </m:sSub>
          <m:r>
            <m:rPr>
              <m:sty m:val="p"/>
            </m:rPr>
            <m:t>(</m:t>
          </m:r>
          <m:r>
            <m:t>E</m:t>
          </m:r>
          <m:r>
            <m:rPr>
              <m:sty m:val="p"/>
            </m:rPr>
            <m:t>)</m:t>
          </m:r>
          <m:r>
            <m:rPr>
              <m:sty m:val="p"/>
            </m:rPr>
            <m:t>,</m:t>
          </m:r>
        </m:oMath>
      </m:oMathPara>
    </w:p>
    <w:p>
      <w:pPr>
        <w:pStyle w:val="FirstParagraph"/>
      </w:pPr>
      <w:r>
        <w:t xml:space="preserve">is</w:t>
      </w:r>
      <w:r>
        <w:t xml:space="preserve"> </w:t>
      </w:r>
      <w:r>
        <w:rPr>
          <w:i/>
          <w:iCs/>
        </w:rPr>
        <w:t xml:space="preserve">exact</w:t>
      </w:r>
      <w:r>
        <w:t xml:space="preserve"> </w:t>
      </w:r>
      <w:r>
        <w:t xml:space="preserve">under the independent-atom approximation and the assumption that the photon interaction probability per unit mass is independent of the geometric distribution of atoms within the irradiated mass. This holds when:</w:t>
      </w:r>
    </w:p>
    <w:p>
      <w:pPr>
        <w:pStyle w:val="Compact"/>
        <w:numPr>
          <w:ilvl w:val="0"/>
          <w:numId w:val="1003"/>
        </w:numPr>
      </w:pPr>
      <w:r>
        <w:t xml:space="preserve">The photon de Broglie wavelength is small compared with inter-atomic spacing (true for all</w:t>
      </w:r>
      <w:r>
        <w:t xml:space="preserve"> </w:t>
      </w:r>
      <m:oMath>
        <m:r>
          <m:t>E</m:t>
        </m:r>
        <m:r>
          <m:rPr>
            <m:sty m:val="p"/>
          </m:rPr>
          <m:t>&gt;</m:t>
        </m:r>
        <m:r>
          <m:t>1</m:t>
        </m:r>
      </m:oMath>
      <w:r>
        <w:t xml:space="preserve"> </w:t>
      </w:r>
      <w:r>
        <w:t xml:space="preserve">keV considered here).</w:t>
      </w:r>
    </w:p>
    <w:p>
      <w:pPr>
        <w:pStyle w:val="Compact"/>
        <w:numPr>
          <w:ilvl w:val="0"/>
          <w:numId w:val="1003"/>
        </w:numPr>
      </w:pPr>
      <w:r>
        <w:t xml:space="preserve">Coherent (Rayleigh) inter-particle interference is negligible (true above ~10 keV for amorphous nanocomposites).</w:t>
      </w:r>
    </w:p>
    <w:p>
      <w:pPr>
        <w:pStyle w:val="Compact"/>
        <w:numPr>
          <w:ilvl w:val="0"/>
          <w:numId w:val="1003"/>
        </w:numPr>
      </w:pPr>
      <w:r>
        <w:t xml:space="preserve">The penetration depth is large compared with any heterogeneity length scale (the</w:t>
      </w:r>
      <w:r>
        <w:t xml:space="preserve"> </w:t>
      </w:r>
      <w:r>
        <w:rPr>
          <w:i/>
          <w:iCs/>
        </w:rPr>
        <w:t xml:space="preserve">macroscopic-homogenisation condition</w:t>
      </w:r>
      <w:r>
        <w:t xml:space="preserve">).</w:t>
      </w:r>
    </w:p>
    <w:p>
      <w:pPr>
        <w:pStyle w:val="FirstParagraph"/>
      </w:pPr>
      <w:r>
        <w:t xml:space="preserve">The third condition is the one that fails first for nanocomposites under low-energy, high-Z conditions.</w:t>
      </w:r>
    </w:p>
    <w:bookmarkEnd w:id="14"/>
    <w:bookmarkStart w:id="15" w:name="effective-density"/>
    <w:p>
      <w:pPr>
        <w:pStyle w:val="Heading3"/>
      </w:pPr>
      <w:r>
        <w:t xml:space="preserve">2.2 Effective density</w:t>
      </w:r>
    </w:p>
    <w:p>
      <w:pPr>
        <w:pStyle w:val="FirstParagraph"/>
      </w:pPr>
      <w:r>
        <w:t xml:space="preserve">Geant4 requires density. All regimes in this paper use the same input density, computed from the volume-fraction rule of mixtures. Given filler volume fraction</w:t>
      </w:r>
      <w:r>
        <w:t xml:space="preserve"> </w:t>
      </w:r>
      <m:oMath>
        <m:sSub>
          <m:e>
            <m:r>
              <m:t>ϕ</m:t>
            </m:r>
          </m:e>
          <m:sub>
            <m:r>
              <m:t>f</m:t>
            </m:r>
          </m:sub>
        </m:sSub>
      </m:oMath>
      <w:r>
        <w:t xml:space="preserve">:</w:t>
      </w:r>
    </w:p>
    <w:p>
      <w:pPr>
        <w:pStyle w:val="BodyText"/>
      </w:pPr>
      <m:oMathPara>
        <m:oMathParaPr>
          <m:jc m:val="center"/>
        </m:oMathParaPr>
        <m:oMath>
          <m:sSub>
            <m:e>
              <m:r>
                <m:t>ρ</m:t>
              </m:r>
            </m:e>
            <m:sub>
              <m:r>
                <m:rPr>
                  <m:nor/>
                  <m:sty m:val="p"/>
                </m:rPr>
                <m:t>eff</m:t>
              </m:r>
            </m:sub>
          </m:sSub>
          <m:r>
            <m:rPr>
              <m:sty m:val="p"/>
            </m:rPr>
            <m:t>=</m:t>
          </m:r>
          <m:sSub>
            <m:e>
              <m:r>
                <m:t>ϕ</m:t>
              </m:r>
            </m:e>
            <m:sub>
              <m:r>
                <m:t>f</m:t>
              </m:r>
            </m:sub>
          </m:sSub>
          <m:sSub>
            <m:e>
              <m:r>
                <m:t>ρ</m:t>
              </m:r>
            </m:e>
            <m:sub>
              <m:r>
                <m:t>f</m:t>
              </m:r>
            </m:sub>
          </m:sSub>
          <m:r>
            <m:rPr>
              <m:sty m:val="p"/>
            </m:rPr>
            <m:t>+</m:t>
          </m:r>
          <m:r>
            <m:rPr>
              <m:sty m:val="p"/>
            </m:rPr>
            <m:t>(</m:t>
          </m:r>
          <m:r>
            <m:t>1</m:t>
          </m:r>
          <m:r>
            <m:rPr>
              <m:sty m:val="p"/>
            </m:rPr>
            <m:t>−</m:t>
          </m:r>
          <m:sSub>
            <m:e>
              <m:r>
                <m:t>ϕ</m:t>
              </m:r>
            </m:e>
            <m:sub>
              <m:r>
                <m:t>f</m:t>
              </m:r>
            </m:sub>
          </m:sSub>
          <m:r>
            <m:rPr>
              <m:sty m:val="p"/>
            </m:rPr>
            <m:t>)</m:t>
          </m:r>
          <m:sSub>
            <m:e>
              <m:r>
                <m:t>ρ</m:t>
              </m:r>
            </m:e>
            <m:sub>
              <m:r>
                <m:t>m</m:t>
              </m:r>
            </m:sub>
          </m:sSub>
        </m:oMath>
      </m:oMathPara>
    </w:p>
    <w:p>
      <w:pPr>
        <w:pStyle w:val="FirstParagraph"/>
      </w:pPr>
      <w:r>
        <w:t xml:space="preserve">with</w:t>
      </w:r>
      <w:r>
        <w:t xml:space="preserve"> </w:t>
      </w:r>
      <m:oMath>
        <m:sSub>
          <m:e>
            <m:r>
              <m:t>ρ</m:t>
            </m:r>
          </m:e>
          <m:sub>
            <m:r>
              <m:t>m</m:t>
            </m:r>
          </m:sub>
        </m:sSub>
        <m:r>
          <m:rPr>
            <m:sty m:val="p"/>
          </m:rPr>
          <m:t>=</m:t>
        </m:r>
        <m:r>
          <m:t>0.95</m:t>
        </m:r>
      </m:oMath>
      <w:r>
        <w:t xml:space="preserve"> </w:t>
      </w:r>
      <w:r>
        <w:t xml:space="preserve">g cm</w:t>
      </w:r>
      <m:oMath>
        <m:sSup>
          <m:e>
            <m:r>
              <m:t>​</m:t>
            </m:r>
          </m:e>
          <m:sup>
            <m:r>
              <m:rPr>
                <m:sty m:val="p"/>
              </m:rPr>
              <m:t>−</m:t>
            </m:r>
            <m:r>
              <m:t>3</m:t>
            </m:r>
          </m:sup>
        </m:sSup>
      </m:oMath>
      <w:r>
        <w:t xml:space="preserve"> </w:t>
      </w:r>
      <w:r>
        <w:t xml:space="preserve">(HDPE). For Bi₂O₃ (</w:t>
      </w:r>
      <m:oMath>
        <m:sSub>
          <m:e>
            <m:r>
              <m:t>ρ</m:t>
            </m:r>
          </m:e>
          <m:sub>
            <m:r>
              <m:t>f</m:t>
            </m:r>
          </m:sub>
        </m:sSub>
        <m:r>
          <m:rPr>
            <m:sty m:val="p"/>
          </m:rPr>
          <m:t>=</m:t>
        </m:r>
        <m:r>
          <m:t>8.9</m:t>
        </m:r>
      </m:oMath>
      <w:r>
        <w:t xml:space="preserve"> </w:t>
      </w:r>
      <w:r>
        <w:t xml:space="preserve">g cm</w:t>
      </w:r>
      <m:oMath>
        <m:sSup>
          <m:e>
            <m:r>
              <m:t>​</m:t>
            </m:r>
          </m:e>
          <m:sup>
            <m:r>
              <m:rPr>
                <m:sty m:val="p"/>
              </m:rPr>
              <m:t>−</m:t>
            </m:r>
            <m:r>
              <m:t>3</m:t>
            </m:r>
          </m:sup>
        </m:sSup>
      </m:oMath>
      <w:r>
        <w:t xml:space="preserve">) at</w:t>
      </w:r>
      <w:r>
        <w:t xml:space="preserve"> </w:t>
      </w:r>
      <m:oMath>
        <m:sSub>
          <m:e>
            <m:r>
              <m:t>ϕ</m:t>
            </m:r>
          </m:e>
          <m:sub>
            <m:r>
              <m:t>f</m:t>
            </m:r>
          </m:sub>
        </m:sSub>
        <m:r>
          <m:rPr>
            <m:sty m:val="p"/>
          </m:rPr>
          <m:t>=</m:t>
        </m:r>
        <m:r>
          <m:t>0.189</m:t>
        </m:r>
      </m:oMath>
      <w:r>
        <w:t xml:space="preserve">:</w:t>
      </w:r>
      <w:r>
        <w:t xml:space="preserve"> </w:t>
      </w:r>
      <m:oMath>
        <m:sSub>
          <m:e>
            <m:r>
              <m:t>ρ</m:t>
            </m:r>
          </m:e>
          <m:sub>
            <m:r>
              <m:rPr>
                <m:nor/>
                <m:sty m:val="p"/>
              </m:rPr>
              <m:t>eff</m:t>
            </m:r>
          </m:sub>
        </m:sSub>
        <m:r>
          <m:rPr>
            <m:sty m:val="p"/>
          </m:rPr>
          <m:t>=</m:t>
        </m:r>
        <m:r>
          <m:t>2.452</m:t>
        </m:r>
      </m:oMath>
      <w:r>
        <w:t xml:space="preserve"> </w:t>
      </w:r>
      <w:r>
        <w:t xml:space="preserve">g cm</w:t>
      </w:r>
      <m:oMath>
        <m:sSup>
          <m:e>
            <m:r>
              <m:t>​</m:t>
            </m:r>
          </m:e>
          <m:sup>
            <m:r>
              <m:rPr>
                <m:sty m:val="p"/>
              </m:rPr>
              <m:t>−</m:t>
            </m:r>
            <m:r>
              <m:t>3</m:t>
            </m:r>
          </m:sup>
        </m:sSup>
      </m:oMath>
      <w:r>
        <w:t xml:space="preserve">,</w:t>
      </w:r>
      <w:r>
        <w:t xml:space="preserve"> </w:t>
      </w:r>
      <m:oMath>
        <m:sSub>
          <m:e>
            <m:r>
              <m:t>w</m:t>
            </m:r>
          </m:e>
          <m:sub>
            <m:r>
              <m:t>f</m:t>
            </m:r>
          </m:sub>
        </m:sSub>
        <m:r>
          <m:rPr>
            <m:sty m:val="p"/>
          </m:rPr>
          <m:t>=</m:t>
        </m:r>
        <m:r>
          <m:t>68.6</m:t>
        </m:r>
      </m:oMath>
      <w:r>
        <w:t xml:space="preserve"> </w:t>
      </w:r>
      <w:r>
        <w:t xml:space="preserve">wt% Bi₂O₃. For WO₃ (</w:t>
      </w:r>
      <m:oMath>
        <m:sSub>
          <m:e>
            <m:r>
              <m:t>ρ</m:t>
            </m:r>
          </m:e>
          <m:sub>
            <m:r>
              <m:t>f</m:t>
            </m:r>
          </m:sub>
        </m:sSub>
        <m:r>
          <m:rPr>
            <m:sty m:val="p"/>
          </m:rPr>
          <m:t>=</m:t>
        </m:r>
        <m:r>
          <m:t>7.16</m:t>
        </m:r>
      </m:oMath>
      <w:r>
        <w:t xml:space="preserve"> </w:t>
      </w:r>
      <w:r>
        <w:t xml:space="preserve">g cm</w:t>
      </w:r>
      <m:oMath>
        <m:sSup>
          <m:e>
            <m:r>
              <m:t>​</m:t>
            </m:r>
          </m:e>
          <m:sup>
            <m:r>
              <m:rPr>
                <m:sty m:val="p"/>
              </m:rPr>
              <m:t>−</m:t>
            </m:r>
            <m:r>
              <m:t>3</m:t>
            </m:r>
          </m:sup>
        </m:sSup>
      </m:oMath>
      <w:r>
        <w:t xml:space="preserve">) at</w:t>
      </w:r>
      <w:r>
        <w:t xml:space="preserve"> </w:t>
      </w:r>
      <m:oMath>
        <m:sSub>
          <m:e>
            <m:r>
              <m:t>ϕ</m:t>
            </m:r>
          </m:e>
          <m:sub>
            <m:r>
              <m:t>f</m:t>
            </m:r>
          </m:sub>
        </m:sSub>
        <m:r>
          <m:rPr>
            <m:sty m:val="p"/>
          </m:rPr>
          <m:t>=</m:t>
        </m:r>
        <m:r>
          <m:t>0.189</m:t>
        </m:r>
      </m:oMath>
      <w:r>
        <w:t xml:space="preserve">:</w:t>
      </w:r>
      <w:r>
        <w:t xml:space="preserve"> </w:t>
      </w:r>
      <m:oMath>
        <m:sSub>
          <m:e>
            <m:r>
              <m:t>ρ</m:t>
            </m:r>
          </m:e>
          <m:sub>
            <m:r>
              <m:rPr>
                <m:nor/>
                <m:sty m:val="p"/>
              </m:rPr>
              <m:t>eff</m:t>
            </m:r>
          </m:sub>
        </m:sSub>
        <m:r>
          <m:rPr>
            <m:sty m:val="p"/>
          </m:rPr>
          <m:t>=</m:t>
        </m:r>
        <m:r>
          <m:t>2.124</m:t>
        </m:r>
      </m:oMath>
      <w:r>
        <w:t xml:space="preserve"> </w:t>
      </w:r>
      <w:r>
        <w:t xml:space="preserve">g cm</w:t>
      </w:r>
      <m:oMath>
        <m:sSup>
          <m:e>
            <m:r>
              <m:t>​</m:t>
            </m:r>
          </m:e>
          <m:sup>
            <m:r>
              <m:rPr>
                <m:sty m:val="p"/>
              </m:rPr>
              <m:t>−</m:t>
            </m:r>
            <m:r>
              <m:t>3</m:t>
            </m:r>
          </m:sup>
        </m:sSup>
      </m:oMath>
      <w:r>
        <w:t xml:space="preserve">,</w:t>
      </w:r>
      <w:r>
        <w:t xml:space="preserve"> </w:t>
      </w:r>
      <m:oMath>
        <m:sSub>
          <m:e>
            <m:r>
              <m:t>w</m:t>
            </m:r>
          </m:e>
          <m:sub>
            <m:r>
              <m:t>f</m:t>
            </m:r>
          </m:sub>
        </m:sSub>
        <m:r>
          <m:rPr>
            <m:sty m:val="p"/>
          </m:rPr>
          <m:t>=</m:t>
        </m:r>
        <m:r>
          <m:t>63.7</m:t>
        </m:r>
      </m:oMath>
      <w:r>
        <w:t xml:space="preserve"> </w:t>
      </w:r>
      <w:r>
        <w:t xml:space="preserve">wt% WO₃.</w:t>
      </w:r>
    </w:p>
    <w:bookmarkEnd w:id="15"/>
    <w:bookmarkStart w:id="16" w:name="the-representative-volume-element"/>
    <w:p>
      <w:pPr>
        <w:pStyle w:val="Heading3"/>
      </w:pPr>
      <w:r>
        <w:t xml:space="preserve">2.3 The representative volume element</w:t>
      </w:r>
    </w:p>
    <w:p>
      <w:pPr>
        <w:pStyle w:val="FirstParagraph"/>
      </w:pPr>
      <w:r>
        <w:t xml:space="preserve">An RVE is the smallest cubic cell that statistically reproduces the bulk composite’s microstructure. For a random dispersion of monodisperse spheres of radius</w:t>
      </w:r>
      <w:r>
        <w:t xml:space="preserve"> </w:t>
      </w:r>
      <m:oMath>
        <m:r>
          <m:t>r</m:t>
        </m:r>
      </m:oMath>
      <w:r>
        <w:t xml:space="preserve"> </w:t>
      </w:r>
      <w:r>
        <w:t xml:space="preserve">at volume fraction</w:t>
      </w:r>
      <w:r>
        <w:t xml:space="preserve"> </w:t>
      </w:r>
      <m:oMath>
        <m:sSub>
          <m:e>
            <m:r>
              <m:t>ϕ</m:t>
            </m:r>
          </m:e>
          <m:sub>
            <m:r>
              <m:t>f</m:t>
            </m:r>
          </m:sub>
        </m:sSub>
      </m:oMath>
      <w:r>
        <w:t xml:space="preserve">, the mean inter-particle centre-to-centre distance is approximately</w:t>
      </w:r>
    </w:p>
    <w:p>
      <w:pPr>
        <w:pStyle w:val="BodyText"/>
      </w:pPr>
      <m:oMathPara>
        <m:oMathParaPr>
          <m:jc m:val="center"/>
        </m:oMathParaPr>
        <m:oMath>
          <m:acc>
            <m:accPr>
              <m:chr m:val="‾"/>
            </m:accPr>
            <m:e>
              <m:r>
                <m:t>d</m:t>
              </m:r>
            </m:e>
          </m:acc>
          <m:r>
            <m:rPr>
              <m:sty m:val="p"/>
            </m:rPr>
            <m:t>≈</m:t>
          </m:r>
          <m:r>
            <m:t>r</m:t>
          </m:r>
          <m:sSup>
            <m:e>
              <m:d>
                <m:dPr>
                  <m:begChr m:val="("/>
                  <m:sepChr m:val=""/>
                  <m:endChr m:val=")"/>
                  <m:grow/>
                </m:dPr>
                <m:e>
                  <m:f>
                    <m:fPr>
                      <m:type m:val="bar"/>
                    </m:fPr>
                    <m:num>
                      <m:r>
                        <m:t>4</m:t>
                      </m:r>
                      <m:r>
                        <m:t>π</m:t>
                      </m:r>
                    </m:num>
                    <m:den>
                      <m:r>
                        <m:t>3</m:t>
                      </m:r>
                      <m:sSub>
                        <m:e>
                          <m:r>
                            <m:t>ϕ</m:t>
                          </m:r>
                        </m:e>
                        <m:sub>
                          <m:r>
                            <m:t>f</m:t>
                          </m:r>
                        </m:sub>
                      </m:sSub>
                    </m:den>
                  </m:f>
                </m:e>
              </m:d>
            </m:e>
            <m:sup>
              <m:r>
                <m:t>1</m:t>
              </m:r>
              <m:r>
                <m:rPr>
                  <m:sty m:val="p"/>
                </m:rPr>
                <m:t>/</m:t>
              </m:r>
              <m:r>
                <m:t>3</m:t>
              </m:r>
            </m:sup>
          </m:sSup>
          <m:r>
            <m:rPr>
              <m:sty m:val="p"/>
            </m:rPr>
            <m:t>.</m:t>
          </m:r>
        </m:oMath>
      </m:oMathPara>
    </w:p>
    <w:p>
      <w:pPr>
        <w:pStyle w:val="FirstParagraph"/>
      </w:pPr>
      <w:r>
        <w:t xml:space="preserve">A practical RVE side length is</w:t>
      </w:r>
      <w:r>
        <w:t xml:space="preserve"> </w:t>
      </w:r>
      <m:oMath>
        <m:sSub>
          <m:e>
            <m:r>
              <m:t>L</m:t>
            </m:r>
          </m:e>
          <m:sub>
            <m:r>
              <m:rPr>
                <m:nor/>
                <m:sty m:val="p"/>
              </m:rPr>
              <m:t>RVE</m:t>
            </m:r>
          </m:sub>
        </m:sSub>
        <m:r>
          <m:rPr>
            <m:sty m:val="p"/>
          </m:rPr>
          <m:t>≳</m:t>
        </m:r>
        <m:r>
          <m:t>5</m:t>
        </m:r>
        <m:acc>
          <m:accPr>
            <m:chr m:val="‾"/>
          </m:accPr>
          <m:e>
            <m:r>
              <m:t>d</m:t>
            </m:r>
          </m:e>
        </m:acc>
      </m:oMath>
      <w:r>
        <w:t xml:space="preserve">. For</w:t>
      </w:r>
      <w:r>
        <w:t xml:space="preserve"> </w:t>
      </w:r>
      <m:oMath>
        <m:r>
          <m:t>r</m:t>
        </m:r>
        <m:r>
          <m:rPr>
            <m:sty m:val="p"/>
          </m:rPr>
          <m:t>=</m:t>
        </m:r>
        <m:r>
          <m:t>25</m:t>
        </m:r>
      </m:oMath>
      <w:r>
        <w:t xml:space="preserve"> </w:t>
      </w:r>
      <w:r>
        <w:t xml:space="preserve">nm and</w:t>
      </w:r>
      <w:r>
        <w:t xml:space="preserve"> </w:t>
      </w:r>
      <m:oMath>
        <m:sSub>
          <m:e>
            <m:r>
              <m:t>ϕ</m:t>
            </m:r>
          </m:e>
          <m:sub>
            <m:r>
              <m:t>f</m:t>
            </m:r>
          </m:sub>
        </m:sSub>
        <m:r>
          <m:rPr>
            <m:sty m:val="p"/>
          </m:rPr>
          <m:t>=</m:t>
        </m:r>
        <m:r>
          <m:t>0.189</m:t>
        </m:r>
      </m:oMath>
      <w:r>
        <w:t xml:space="preserve">,</w:t>
      </w:r>
      <w:r>
        <w:t xml:space="preserve"> </w:t>
      </w:r>
      <m:oMath>
        <m:acc>
          <m:accPr>
            <m:chr m:val="‾"/>
          </m:accPr>
          <m:e>
            <m:r>
              <m:t>d</m:t>
            </m:r>
          </m:e>
        </m:acc>
        <m:r>
          <m:rPr>
            <m:sty m:val="p"/>
          </m:rPr>
          <m:t>≈</m:t>
        </m:r>
        <m:r>
          <m:t>42</m:t>
        </m:r>
      </m:oMath>
      <w:r>
        <w:t xml:space="preserve"> </w:t>
      </w:r>
      <w:r>
        <w:t xml:space="preserve">nm, so</w:t>
      </w:r>
      <w:r>
        <w:t xml:space="preserve"> </w:t>
      </w:r>
      <m:oMath>
        <m:sSub>
          <m:e>
            <m:r>
              <m:t>L</m:t>
            </m:r>
          </m:e>
          <m:sub>
            <m:r>
              <m:rPr>
                <m:nor/>
                <m:sty m:val="p"/>
              </m:rPr>
              <m:t>RVE</m:t>
            </m:r>
          </m:sub>
        </m:sSub>
        <m:r>
          <m:rPr>
            <m:sty m:val="p"/>
          </m:rPr>
          <m:t>=</m:t>
        </m:r>
        <m:r>
          <m:t>1</m:t>
        </m:r>
      </m:oMath>
      <w:r>
        <w:t xml:space="preserve"> </w:t>
      </w:r>
      <w:r>
        <w:t xml:space="preserve">µm satisfies the criterion and contains approximately 2,889 non-overlapping spheres — tractable for Geant4.</w:t>
      </w:r>
    </w:p>
    <w:p>
      <w:r>
        <w:pict>
          <v:rect style="width:0;height:1.5pt" o:hralign="center" o:hrstd="t" o:hr="t"/>
        </w:pict>
      </w:r>
    </w:p>
    <w:bookmarkEnd w:id="16"/>
    <w:bookmarkEnd w:id="17"/>
    <w:bookmarkStart w:id="27" w:name="geant4-modelling-regimes"/>
    <w:p>
      <w:pPr>
        <w:pStyle w:val="Heading2"/>
      </w:pPr>
      <w:r>
        <w:t xml:space="preserve">3. Geant4 Modelling Regimes</w:t>
      </w:r>
    </w:p>
    <w:bookmarkStart w:id="21" w:name="regime-a-effective-medium-g4material"/>
    <w:p>
      <w:pPr>
        <w:pStyle w:val="Heading3"/>
      </w:pPr>
      <w:r>
        <w:t xml:space="preserve">3.1 Regime A — Effective-Medium</w:t>
      </w:r>
      <w:r>
        <w:t xml:space="preserve"> </w:t>
      </w:r>
      <w:r>
        <w:rPr>
          <w:rStyle w:val="VerbatimChar"/>
        </w:rPr>
        <w:t xml:space="preserve">G4Material</w:t>
      </w:r>
    </w:p>
    <w:p>
      <w:pPr>
        <w:pStyle w:val="FirstParagraph"/>
      </w:pPr>
      <w:r>
        <w:t xml:space="preserve">Implemented in</w:t>
      </w:r>
      <w:r>
        <w:t xml:space="preserve"> </w:t>
      </w:r>
      <w:r>
        <w:rPr>
          <w:rStyle w:val="VerbatimChar"/>
        </w:rPr>
        <w:t xml:space="preserve">MaterialRegistry::AddMassFractionMaterialCommand</w:t>
      </w:r>
      <w:r>
        <w:t xml:space="preserve"> </w:t>
      </w:r>
      <w:r>
        <w:t xml:space="preserve">in</w:t>
      </w:r>
      <w:r>
        <w:t xml:space="preserve"> </w:t>
      </w:r>
      <w:hyperlink r:id="rId18">
        <w:r>
          <w:rPr>
            <w:rStyle w:val="Hyperlink"/>
          </w:rPr>
          <w:t xml:space="preserve">src/MaterialRegistry.cc</w:t>
        </w:r>
      </w:hyperlink>
      <w:r>
        <w:t xml:space="preserve">. Compound formulae are expanded to elemental mass fractions using the analytical layer in</w:t>
      </w:r>
      <w:r>
        <w:t xml:space="preserve"> </w:t>
      </w:r>
      <w:hyperlink r:id="rId19">
        <w:r>
          <w:rPr>
            <w:rStyle w:val="Hyperlink"/>
          </w:rPr>
          <w:t xml:space="preserve">python/shieldlab/core/materials.py</w:t>
        </w:r>
      </w:hyperlink>
      <w:r>
        <w:t xml:space="preserve">, then a single</w:t>
      </w:r>
      <w:r>
        <w:t xml:space="preserve"> </w:t>
      </w:r>
      <w:r>
        <w:rPr>
          <w:rStyle w:val="VerbatimChar"/>
        </w:rPr>
        <w:t xml:space="preserve">G4Material</w:t>
      </w:r>
      <w:r>
        <w:t xml:space="preserve"> </w:t>
      </w:r>
      <w:r>
        <w:t xml:space="preserve">is constructed:</w:t>
      </w:r>
    </w:p>
    <w:p>
      <w:pPr>
        <w:pStyle w:val="SourceCode"/>
      </w:pPr>
      <w:r>
        <w:rPr>
          <w:rStyle w:val="KeywordTok"/>
        </w:rPr>
        <w:t xml:space="preserve">auto</w:t>
      </w:r>
      <w:r>
        <w:rPr>
          <w:rStyle w:val="OperatorTok"/>
        </w:rPr>
        <w:t xml:space="preserve">*</w:t>
      </w:r>
      <w:r>
        <w:rPr>
          <w:rStyle w:val="NormalTok"/>
        </w:rPr>
        <w:t xml:space="preserve"> mat </w:t>
      </w:r>
      <w:r>
        <w:rPr>
          <w:rStyle w:val="OperatorTok"/>
        </w:rPr>
        <w:t xml:space="preserve">=</w:t>
      </w:r>
      <w:r>
        <w:rPr>
          <w:rStyle w:val="NormalTok"/>
        </w:rPr>
        <w:t xml:space="preserve"> </w:t>
      </w:r>
      <w:r>
        <w:rPr>
          <w:rStyle w:val="KeywordTok"/>
        </w:rPr>
        <w:t xml:space="preserve">new</w:t>
      </w:r>
      <w:r>
        <w:rPr>
          <w:rStyle w:val="NormalTok"/>
        </w:rPr>
        <w:t xml:space="preserve"> G4Material</w:t>
      </w:r>
      <w:r>
        <w:rPr>
          <w:rStyle w:val="OperatorTok"/>
        </w:rPr>
        <w:t xml:space="preserve">(</w:t>
      </w:r>
      <w:r>
        <w:rPr>
          <w:rStyle w:val="NormalTok"/>
        </w:rPr>
        <w:t xml:space="preserve">name</w:t>
      </w:r>
      <w:r>
        <w:rPr>
          <w:rStyle w:val="OperatorTok"/>
        </w:rPr>
        <w:t xml:space="preserve">,</w:t>
      </w:r>
      <w:r>
        <w:rPr>
          <w:rStyle w:val="NormalTok"/>
        </w:rPr>
        <w:t xml:space="preserve"> rho_eff</w:t>
      </w:r>
      <w:r>
        <w:rPr>
          <w:rStyle w:val="OperatorTok"/>
        </w:rPr>
        <w:t xml:space="preserve">*</w:t>
      </w:r>
      <w:r>
        <w:rPr>
          <w:rStyle w:val="NormalTok"/>
        </w:rPr>
        <w:t xml:space="preserve">g</w:t>
      </w:r>
      <w:r>
        <w:rPr>
          <w:rStyle w:val="OperatorTok"/>
        </w:rPr>
        <w:t xml:space="preserve">/</w:t>
      </w:r>
      <w:r>
        <w:rPr>
          <w:rStyle w:val="NormalTok"/>
        </w:rPr>
        <w:t xml:space="preserve">cm3</w:t>
      </w:r>
      <w:r>
        <w:rPr>
          <w:rStyle w:val="OperatorTok"/>
        </w:rPr>
        <w:t xml:space="preserve">,</w:t>
      </w:r>
      <w:r>
        <w:rPr>
          <w:rStyle w:val="NormalTok"/>
        </w:rPr>
        <w:t xml:space="preserve"> nElements</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e </w:t>
      </w:r>
      <w:r>
        <w:rPr>
          <w:rStyle w:val="OperatorTok"/>
        </w:rPr>
        <w:t xml:space="preserve">:</w:t>
      </w:r>
      <w:r>
        <w:rPr>
          <w:rStyle w:val="NormalTok"/>
        </w:rPr>
        <w:t xml:space="preserve"> elements</w:t>
      </w:r>
      <w:r>
        <w:rPr>
          <w:rStyle w:val="OperatorTok"/>
        </w:rPr>
        <w:t xml:space="preserve">)</w:t>
      </w:r>
      <w:r>
        <w:rPr>
          <w:rStyle w:val="NormalTok"/>
        </w:rPr>
        <w:t xml:space="preserve"> mat</w:t>
      </w:r>
      <w:r>
        <w:rPr>
          <w:rStyle w:val="OperatorTok"/>
        </w:rPr>
        <w:t xml:space="preserve">-&gt;</w:t>
      </w:r>
      <w:r>
        <w:rPr>
          <w:rStyle w:val="NormalTok"/>
        </w:rPr>
        <w:t xml:space="preserve">AddElement</w:t>
      </w:r>
      <w:r>
        <w:rPr>
          <w:rStyle w:val="OperatorTok"/>
        </w:rPr>
        <w:t xml:space="preserve">(</w:t>
      </w:r>
      <w:r>
        <w:rPr>
          <w:rStyle w:val="NormalTok"/>
        </w:rPr>
        <w:t xml:space="preserve">nist</w:t>
      </w:r>
      <w:r>
        <w:rPr>
          <w:rStyle w:val="OperatorTok"/>
        </w:rPr>
        <w:t xml:space="preserve">-&gt;</w:t>
      </w:r>
      <w:r>
        <w:rPr>
          <w:rStyle w:val="NormalTok"/>
        </w:rPr>
        <w:t xml:space="preserve">FindOrBuildElement</w:t>
      </w:r>
      <w:r>
        <w:rPr>
          <w:rStyle w:val="OperatorTok"/>
        </w:rPr>
        <w:t xml:space="preserve">(</w:t>
      </w:r>
      <w:r>
        <w:rPr>
          <w:rStyle w:val="NormalTok"/>
        </w:rPr>
        <w:t xml:space="preserve">e</w:t>
      </w:r>
      <w:r>
        <w:rPr>
          <w:rStyle w:val="OperatorTok"/>
        </w:rPr>
        <w:t xml:space="preserve">.</w:t>
      </w:r>
      <w:r>
        <w:rPr>
          <w:rStyle w:val="NormalTok"/>
        </w:rPr>
        <w:t xml:space="preserve">symbol</w:t>
      </w:r>
      <w:r>
        <w:rPr>
          <w:rStyle w:val="OperatorTok"/>
        </w:rPr>
        <w:t xml:space="preserve">),</w:t>
      </w:r>
      <w:r>
        <w:rPr>
          <w:rStyle w:val="NormalTok"/>
        </w:rPr>
        <w:t xml:space="preserve"> e</w:t>
      </w:r>
      <w:r>
        <w:rPr>
          <w:rStyle w:val="OperatorTok"/>
        </w:rPr>
        <w:t xml:space="preserve">.</w:t>
      </w:r>
      <w:r>
        <w:rPr>
          <w:rStyle w:val="NormalTok"/>
        </w:rPr>
        <w:t xml:space="preserve">fraction</w:t>
      </w:r>
      <w:r>
        <w:rPr>
          <w:rStyle w:val="OperatorTok"/>
        </w:rPr>
        <w:t xml:space="preserve">);</w:t>
      </w:r>
    </w:p>
    <w:p>
      <w:pPr>
        <w:pStyle w:val="FirstParagraph"/>
      </w:pPr>
      <w:r>
        <w:t xml:space="preserve">A 1-D slab geometry is built in</w:t>
      </w:r>
      <w:r>
        <w:t xml:space="preserve"> </w:t>
      </w:r>
      <w:hyperlink r:id="rId20">
        <w:r>
          <w:rPr>
            <w:rStyle w:val="Hyperlink"/>
          </w:rPr>
          <w:t xml:space="preserve">src/DetectorConstruction.cc</w:t>
        </w:r>
      </w:hyperlink>
      <w:r>
        <w:t xml:space="preserve">. Per-energy slab thickness is selected so that transmission is</w:t>
      </w:r>
      <w:r>
        <w:t xml:space="preserve"> </w:t>
      </w:r>
      <m:oMath>
        <m:r>
          <m:t>T</m:t>
        </m:r>
        <m:r>
          <m:rPr>
            <m:sty m:val="p"/>
          </m:rPr>
          <m:t>≈</m:t>
        </m:r>
        <m:r>
          <m:t>0.65</m:t>
        </m:r>
      </m:oMath>
      <w:r>
        <w:t xml:space="preserve"> </w:t>
      </w:r>
      <w:r>
        <w:t xml:space="preserve">at every energy point, maximising the sensitivity of the direct transmission estimator</w:t>
      </w:r>
      <w:r>
        <w:t xml:space="preserve"> </w:t>
      </w:r>
      <m:oMath>
        <m:acc>
          <m:accPr>
            <m:chr m:val="̂"/>
          </m:accPr>
          <m:e>
            <m:r>
              <m:t>μ</m:t>
            </m:r>
          </m:e>
        </m:acc>
        <m:r>
          <m:rPr>
            <m:sty m:val="p"/>
          </m:rPr>
          <m:t>=</m:t>
        </m:r>
        <m:r>
          <m:rPr>
            <m:sty m:val="p"/>
          </m:rPr>
          <m:t>−</m:t>
        </m:r>
        <m:r>
          <m:rPr>
            <m:sty m:val="p"/>
          </m:rPr>
          <m:t>ln</m:t>
        </m:r>
        <m:r>
          <m:t>T</m:t>
        </m:r>
        <m:r>
          <m:rPr>
            <m:sty m:val="p"/>
          </m:rPr>
          <m:t>/</m:t>
        </m:r>
        <m:r>
          <m:t>t</m:t>
        </m:r>
      </m:oMath>
      <w:r>
        <w:t xml:space="preserve">.</w:t>
      </w:r>
    </w:p>
    <w:p>
      <w:pPr>
        <w:pStyle w:val="BodyText"/>
      </w:pPr>
      <w:r>
        <w:rPr>
          <w:b/>
          <w:bCs/>
        </w:rPr>
        <w:t xml:space="preserve">Cost class:</w:t>
      </w:r>
      <w:r>
        <w:t xml:space="preserve"> </w:t>
      </w:r>
      <w:r>
        <w:t xml:space="preserve">O(1) in particle count; identical to bulk-material runs.</w:t>
      </w:r>
    </w:p>
    <w:bookmarkEnd w:id="21"/>
    <w:bookmarkStart w:id="22" w:name="Xd05b7466c57e22c5a1eb9f3cad5f34542eed40b"/>
    <w:p>
      <w:pPr>
        <w:pStyle w:val="Heading3"/>
      </w:pPr>
      <w:r>
        <w:t xml:space="preserve">3.2 Regime B — Explicit Nanoparticles via</w:t>
      </w:r>
      <w:r>
        <w:t xml:space="preserve"> </w:t>
      </w:r>
      <w:r>
        <w:rPr>
          <w:rStyle w:val="VerbatimChar"/>
        </w:rPr>
        <w:t xml:space="preserve">G4PVParameterised</w:t>
      </w:r>
    </w:p>
    <w:p>
      <w:pPr>
        <w:pStyle w:val="FirstParagraph"/>
      </w:pPr>
      <w:r>
        <w:t xml:space="preserve">Class</w:t>
      </w:r>
      <w:r>
        <w:t xml:space="preserve"> </w:t>
      </w:r>
      <w:r>
        <w:rPr>
          <w:rStyle w:val="VerbatimChar"/>
        </w:rPr>
        <w:t xml:space="preserve">NanoParticleParameterisation : public G4VPVParameterisation</w:t>
      </w:r>
      <w:r>
        <w:t xml:space="preserve"> </w:t>
      </w:r>
      <w:r>
        <w:t xml:space="preserve">is implemented in</w:t>
      </w:r>
      <w:r>
        <w:t xml:space="preserve"> </w:t>
      </w:r>
      <w:r>
        <w:rPr>
          <w:rStyle w:val="VerbatimChar"/>
        </w:rPr>
        <w:t xml:space="preserve">include/NanoParticleParameterisation.hh</w:t>
      </w:r>
      <w:r>
        <w:t xml:space="preserve"> </w:t>
      </w:r>
      <w:r>
        <w:t xml:space="preserve">and</w:t>
      </w:r>
      <w:r>
        <w:t xml:space="preserve"> </w:t>
      </w:r>
      <w:r>
        <w:rPr>
          <w:rStyle w:val="VerbatimChar"/>
        </w:rPr>
        <w:t xml:space="preserve">src/NanoParticleParameterisation.cc</w:t>
      </w:r>
      <w:r>
        <w:t xml:space="preserve">. Particle positions are sampled by random sequential addition (RSA) with a hard-sphere exclusion radius of</w:t>
      </w:r>
      <w:r>
        <w:t xml:space="preserve"> </w:t>
      </w:r>
      <m:oMath>
        <m:r>
          <m:t>2</m:t>
        </m:r>
        <m:r>
          <m:t>r</m:t>
        </m:r>
      </m:oMath>
      <w:r>
        <w:t xml:space="preserve"> </w:t>
      </w:r>
      <w:r>
        <w:t xml:space="preserve">inside an RVE cube.</w:t>
      </w:r>
    </w:p>
    <w:p>
      <w:pPr>
        <w:pStyle w:val="BodyText"/>
      </w:pPr>
      <w:r>
        <w:rPr>
          <w:b/>
          <w:bCs/>
        </w:rPr>
        <w:t xml:space="preserve">RVE geometry parameters (this study):</w:t>
      </w:r>
      <w:r>
        <w:t xml:space="preserve"> </w:t>
      </w:r>
      <w:r>
        <w:t xml:space="preserve">side = 1 µm,</w:t>
      </w:r>
      <w:r>
        <w:t xml:space="preserve"> </w:t>
      </w:r>
      <m:oMath>
        <m:r>
          <m:t>r</m:t>
        </m:r>
        <m:r>
          <m:rPr>
            <m:sty m:val="p"/>
          </m:rPr>
          <m:t>=</m:t>
        </m:r>
        <m:r>
          <m:t>25</m:t>
        </m:r>
      </m:oMath>
      <w:r>
        <w:t xml:space="preserve"> </w:t>
      </w:r>
      <w:r>
        <w:t xml:space="preserve">nm,</w:t>
      </w:r>
      <w:r>
        <w:t xml:space="preserve"> </w:t>
      </w:r>
      <m:oMath>
        <m:sSub>
          <m:e>
            <m:r>
              <m:t>ϕ</m:t>
            </m:r>
          </m:e>
          <m:sub>
            <m:r>
              <m:t>f</m:t>
            </m:r>
          </m:sub>
        </m:sSub>
        <m:r>
          <m:rPr>
            <m:sty m:val="p"/>
          </m:rPr>
          <m:t>=</m:t>
        </m:r>
        <m:r>
          <m:t>0.189</m:t>
        </m:r>
      </m:oMath>
      <w:r>
        <w:t xml:space="preserve">, max particles = 3,500, RSA seed = 22,222. RSA placed</w:t>
      </w:r>
      <w:r>
        <w:t xml:space="preserve"> </w:t>
      </w:r>
      <w:r>
        <w:rPr>
          <w:b/>
          <w:bCs/>
        </w:rPr>
        <w:t xml:space="preserve">2,888 / 2,888</w:t>
      </w:r>
      <w:r>
        <w:t xml:space="preserve"> </w:t>
      </w:r>
      <w:r>
        <w:t xml:space="preserve">target spheres (achieved</w:t>
      </w:r>
      <w:r>
        <w:t xml:space="preserve"> </w:t>
      </w:r>
      <m:oMath>
        <m:sSub>
          <m:e>
            <m:r>
              <m:t>ϕ</m:t>
            </m:r>
          </m:e>
          <m:sub>
            <m:r>
              <m:t>f</m:t>
            </m:r>
          </m:sub>
        </m:sSub>
        <m:r>
          <m:rPr>
            <m:sty m:val="p"/>
          </m:rPr>
          <m:t>=</m:t>
        </m:r>
        <m:r>
          <m:t>0.1890</m:t>
        </m:r>
      </m:oMath>
      <w:r>
        <w:t xml:space="preserve">).</w:t>
      </w:r>
    </w:p>
    <w:p>
      <w:pPr>
        <w:pStyle w:val="BodyText"/>
      </w:pPr>
      <w:r>
        <w:rPr>
          <w:b/>
          <w:bCs/>
        </w:rPr>
        <w:t xml:space="preserve">Cost class:</w:t>
      </w:r>
      <w:r>
        <w:t xml:space="preserve"> </w:t>
      </w:r>
      <w:r>
        <w:t xml:space="preserve">geometry navigation scales near-logarithmically with</w:t>
      </w:r>
      <w:r>
        <w:t xml:space="preserve"> </w:t>
      </w:r>
      <m:oMath>
        <m:r>
          <m:t>N</m:t>
        </m:r>
      </m:oMath>
      <w:r>
        <w:t xml:space="preserve"> </w:t>
      </w:r>
      <w:r>
        <w:t xml:space="preserve">thanks to voxelisation.</w:t>
      </w:r>
    </w:p>
    <w:bookmarkEnd w:id="22"/>
    <w:bookmarkStart w:id="26" w:name="regime-c-g4multiunion-cluster"/>
    <w:p>
      <w:pPr>
        <w:pStyle w:val="Heading3"/>
      </w:pPr>
      <w:r>
        <w:t xml:space="preserve">3.3 Regime C —</w:t>
      </w:r>
      <w:r>
        <w:t xml:space="preserve"> </w:t>
      </w:r>
      <w:r>
        <w:rPr>
          <w:rStyle w:val="VerbatimChar"/>
        </w:rPr>
        <w:t xml:space="preserve">G4MultiUnion</w:t>
      </w:r>
      <w:r>
        <w:t xml:space="preserve"> </w:t>
      </w:r>
      <w:r>
        <w:t xml:space="preserve">Cluster</w:t>
      </w:r>
    </w:p>
    <w:p>
      <w:pPr>
        <w:pStyle w:val="FirstParagraph"/>
      </w:pPr>
      <w:r>
        <w:t xml:space="preserve">The same RSA particle list (seeded with 33,333 for an independent draw) is assembled into a single</w:t>
      </w:r>
      <w:r>
        <w:t xml:space="preserve"> </w:t>
      </w:r>
      <w:r>
        <w:rPr>
          <w:rStyle w:val="VerbatimChar"/>
        </w:rPr>
        <w:t xml:space="preserve">G4MultiUnion</w:t>
      </w:r>
      <w:r>
        <w:t xml:space="preserve"> </w:t>
      </w:r>
      <w:r>
        <w:t xml:space="preserve">solid with</w:t>
      </w:r>
      <w:r>
        <w:t xml:space="preserve"> </w:t>
      </w:r>
      <w:r>
        <w:rPr>
          <w:rStyle w:val="VerbatimChar"/>
        </w:rPr>
        <w:t xml:space="preserve">Voxelize()</w:t>
      </w:r>
      <w:r>
        <w:t xml:space="preserve">. This regime benchmarks how Geant4’s internal multi-union voxelisation scales relative to parameterised placement.</w:t>
      </w:r>
    </w:p>
    <w:p>
      <w:pPr>
        <w:pStyle w:val="BodyText"/>
      </w:pPr>
      <w:r>
        <w:rPr>
          <w:i/>
          <w:iCs/>
        </w:rPr>
        <w:t xml:space="preserve">In practice,</w:t>
      </w:r>
      <w:r>
        <w:rPr>
          <w:i/>
          <w:iCs/>
        </w:rPr>
        <w:t xml:space="preserve"> </w:t>
      </w:r>
      <w:r>
        <w:rPr>
          <w:rStyle w:val="VerbatimChar"/>
          <w:i/>
          <w:iCs/>
        </w:rPr>
        <w:t xml:space="preserve">G4MultiUnion::Voxelize()</w:t>
      </w:r>
      <w:r>
        <w:rPr>
          <w:i/>
          <w:iCs/>
        </w:rPr>
        <w:t xml:space="preserve"> </w:t>
      </w:r>
      <w:r>
        <w:rPr>
          <w:i/>
          <w:iCs/>
        </w:rPr>
        <w:t xml:space="preserve">is only feasible for</w:t>
      </w:r>
      <w:r>
        <w:rPr>
          <w:i/>
          <w:iCs/>
        </w:rPr>
        <w:t xml:space="preserve"> </w:t>
      </w:r>
      <m:oMath>
        <m:r>
          <m:t>N</m:t>
        </m:r>
        <m:r>
          <m:rPr>
            <m:sty m:val="p"/>
          </m:rPr>
          <m:t>≲</m:t>
        </m:r>
        <m:r>
          <m:t>50</m:t>
        </m:r>
      </m:oMath>
      <w:r>
        <w:rPr>
          <w:i/>
          <w:iCs/>
        </w:rPr>
        <w:t xml:space="preserve"> </w:t>
      </w:r>
      <w:r>
        <w:rPr>
          <w:i/>
          <w:iCs/>
        </w:rPr>
        <w:t xml:space="preserve">on 8 GB hardware; §5.3 documents the scalability characterisation and the adopted 250 nm /</w:t>
      </w:r>
      <w:r>
        <w:rPr>
          <w:i/>
          <w:iCs/>
        </w:rPr>
        <w:t xml:space="preserve"> </w:t>
      </w:r>
      <m:oMath>
        <m:r>
          <m:t>N</m:t>
        </m:r>
        <m:r>
          <m:rPr>
            <m:sty m:val="p"/>
          </m:rPr>
          <m:t>=</m:t>
        </m:r>
        <m:r>
          <m:t>45</m:t>
        </m:r>
      </m:oMath>
      <w:r>
        <w:rPr>
          <w:i/>
          <w:iCs/>
        </w:rPr>
        <w:t xml:space="preserve"> </w:t>
      </w:r>
      <w:r>
        <w:rPr>
          <w:i/>
          <w:iCs/>
        </w:rPr>
        <w:t xml:space="preserve">configuration.</w:t>
      </w:r>
    </w:p>
    <w:p>
      <w:pPr>
        <w:pStyle w:val="BodyText"/>
      </w:pPr>
      <w:r>
        <w:t xml:space="preserve">Figure 1 summarises the three modelling regimes and the recommended workflow that emerges from the benchmark.</w:t>
      </w:r>
    </w:p>
    <w:p>
      <w:pPr>
        <w:pStyle w:val="CaptionedFigure"/>
      </w:pPr>
      <w:r>
        <w:drawing>
          <wp:inline>
            <wp:extent cx="5067300" cy="1194230"/>
            <wp:effectExtent b="0" l="0" r="0" t="0"/>
            <wp:docPr descr="Figure 1. Conceptual regime map for the three Geant4 modelling strategies benchmarked in this paper. Regime A is the production default for bulk attenuation, regime B is the explicit-RVE validation geometry, and regime C is a small-RVE G4MultiUnion path constrained by voxelizer scaling." title="" id="24" name="Picture"/>
            <a:graphic>
              <a:graphicData uri="http://schemas.openxmlformats.org/drawingml/2006/picture">
                <pic:pic>
                  <pic:nvPicPr>
                    <pic:cNvPr descr="../../../results/paper3/figures/paper3_fig1_regime_map.png" id="25" name="Picture"/>
                    <pic:cNvPicPr>
                      <a:picLocks noChangeArrowheads="1" noChangeAspect="1"/>
                    </pic:cNvPicPr>
                  </pic:nvPicPr>
                  <pic:blipFill>
                    <a:blip r:embed="rId23"/>
                    <a:stretch>
                      <a:fillRect/>
                    </a:stretch>
                  </pic:blipFill>
                  <pic:spPr bwMode="auto">
                    <a:xfrm>
                      <a:off x="0" y="0"/>
                      <a:ext cx="5067300" cy="1194230"/>
                    </a:xfrm>
                    <a:prstGeom prst="rect">
                      <a:avLst/>
                    </a:prstGeom>
                    <a:noFill/>
                    <a:ln w="9525">
                      <a:noFill/>
                      <a:headEnd/>
                      <a:tailEnd/>
                    </a:ln>
                  </pic:spPr>
                </pic:pic>
              </a:graphicData>
            </a:graphic>
          </wp:inline>
        </w:drawing>
      </w:r>
    </w:p>
    <w:p>
      <w:pPr>
        <w:pStyle w:val="ImageCaption"/>
      </w:pPr>
      <w:r>
        <w:t xml:space="preserve">Figure 1. Conceptual regime map for the three Geant4 modelling strategies benchmarked in this paper. Regime A is the production default for bulk attenuation, regime B is the explicit-RVE validation geometry, and regime C is a small-RVE</w:t>
      </w:r>
      <w:r>
        <w:t xml:space="preserve"> </w:t>
      </w:r>
      <w:r>
        <w:rPr>
          <w:rStyle w:val="VerbatimChar"/>
        </w:rPr>
        <w:t xml:space="preserve">G4MultiUnion</w:t>
      </w:r>
      <w:r>
        <w:t xml:space="preserve"> </w:t>
      </w:r>
      <w:r>
        <w:t xml:space="preserve">path constrained by voxelizer scaling.</w:t>
      </w:r>
    </w:p>
    <w:p>
      <w:r>
        <w:pict>
          <v:rect style="width:0;height:1.5pt" o:hralign="center" o:hrstd="t" o:hr="t"/>
        </w:pict>
      </w:r>
    </w:p>
    <w:bookmarkEnd w:id="26"/>
    <w:bookmarkEnd w:id="27"/>
    <w:bookmarkStart w:id="34" w:name="benchmark-protocol"/>
    <w:p>
      <w:pPr>
        <w:pStyle w:val="Heading2"/>
      </w:pPr>
      <w:r>
        <w:t xml:space="preserve">4. Benchmark Protocol</w:t>
      </w:r>
    </w:p>
    <w:bookmarkStart w:id="28" w:name="materials"/>
    <w:p>
      <w:pPr>
        <w:pStyle w:val="Heading3"/>
      </w:pPr>
      <w:r>
        <w:t xml:space="preserve">4.1 Materials</w:t>
      </w:r>
    </w:p>
    <w:p>
      <w:pPr>
        <w:pStyle w:val="FirstParagraph"/>
      </w:pPr>
      <w:r>
        <w:t xml:space="preserve">For the cross-regime benchmark the primary material is HDPE/Bi₂O₃ at φ = 0.189. A second independent Regime A benchmark is performed for HDPE/WO₃ at the same volume fraction to demonstrate methodology generalisability across K-edge filler chemistries.</w:t>
      </w:r>
    </w:p>
    <w:p>
      <w:pPr>
        <w:pStyle w:val="BodyText"/>
      </w:pPr>
      <w:r>
        <w:rPr>
          <w:b/>
          <w:bCs/>
        </w:rPr>
        <w:t xml:space="preserve">Table M1.</w:t>
      </w:r>
      <w:r>
        <w:t xml:space="preserve"> </w:t>
      </w:r>
      <w:r>
        <w:t xml:space="preserve">Two-material design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HDPE/Bi₂O₃</w:t>
            </w:r>
          </w:p>
        </w:tc>
        <w:tc>
          <w:tcPr/>
          <w:p>
            <w:pPr>
              <w:pStyle w:val="Compact"/>
            </w:pPr>
            <w:r>
              <w:t xml:space="preserve">HDPE/WO₃</w:t>
            </w:r>
          </w:p>
        </w:tc>
      </w:tr>
      <w:tr>
        <w:tc>
          <w:tcPr/>
          <w:p>
            <w:pPr>
              <w:pStyle w:val="Compact"/>
            </w:pPr>
            <w:r>
              <w:t xml:space="preserve">Filler</w:t>
            </w:r>
          </w:p>
        </w:tc>
        <w:tc>
          <w:tcPr/>
          <w:p>
            <w:pPr>
              <w:pStyle w:val="Compact"/>
            </w:pPr>
            <w:r>
              <w:t xml:space="preserve">Bi₂O₃,</w:t>
            </w:r>
            <w:r>
              <w:t xml:space="preserve"> </w:t>
            </w:r>
            <m:oMath>
              <m:sSub>
                <m:e>
                  <m:r>
                    <m:t>ρ</m:t>
                  </m:r>
                </m:e>
                <m:sub>
                  <m:r>
                    <m:t>f</m:t>
                  </m:r>
                </m:sub>
              </m:sSub>
              <m:r>
                <m:rPr>
                  <m:sty m:val="p"/>
                </m:rPr>
                <m:t>=</m:t>
              </m:r>
              <m:r>
                <m:t>8.9</m:t>
              </m:r>
            </m:oMath>
            <w:r>
              <w:t xml:space="preserve"> </w:t>
            </w:r>
            <w:r>
              <w:t xml:space="preserve">g cm</w:t>
            </w:r>
            <m:oMath>
              <m:sSup>
                <m:e>
                  <m:r>
                    <m:t>​</m:t>
                  </m:r>
                </m:e>
                <m:sup>
                  <m:r>
                    <m:rPr>
                      <m:sty m:val="p"/>
                    </m:rPr>
                    <m:t>−</m:t>
                  </m:r>
                  <m:r>
                    <m:t>3</m:t>
                  </m:r>
                </m:sup>
              </m:sSup>
            </m:oMath>
          </w:p>
        </w:tc>
        <w:tc>
          <w:tcPr/>
          <w:p>
            <w:pPr>
              <w:pStyle w:val="Compact"/>
            </w:pPr>
            <w:r>
              <w:t xml:space="preserve">WO₃,</w:t>
            </w:r>
            <w:r>
              <w:t xml:space="preserve"> </w:t>
            </w:r>
            <m:oMath>
              <m:sSub>
                <m:e>
                  <m:r>
                    <m:t>ρ</m:t>
                  </m:r>
                </m:e>
                <m:sub>
                  <m:r>
                    <m:t>f</m:t>
                  </m:r>
                </m:sub>
              </m:sSub>
              <m:r>
                <m:rPr>
                  <m:sty m:val="p"/>
                </m:rPr>
                <m:t>=</m:t>
              </m:r>
              <m:r>
                <m:t>7.16</m:t>
              </m:r>
            </m:oMath>
            <w:r>
              <w:t xml:space="preserve"> </w:t>
            </w:r>
            <w:r>
              <w:t xml:space="preserve">g cm</w:t>
            </w:r>
            <m:oMath>
              <m:sSup>
                <m:e>
                  <m:r>
                    <m:t>​</m:t>
                  </m:r>
                </m:e>
                <m:sup>
                  <m:r>
                    <m:rPr>
                      <m:sty m:val="p"/>
                    </m:rPr>
                    <m:t>−</m:t>
                  </m:r>
                  <m:r>
                    <m:t>3</m:t>
                  </m:r>
                </m:sup>
              </m:sSup>
            </m:oMath>
          </w:p>
        </w:tc>
      </w:tr>
      <w:tr>
        <w:tc>
          <w:tcPr/>
          <w:p>
            <w:pPr>
              <w:pStyle w:val="Compact"/>
            </w:pPr>
            <m:oMath>
              <m:sSub>
                <m:e>
                  <m:r>
                    <m:t>ϕ</m:t>
                  </m:r>
                </m:e>
                <m:sub>
                  <m:r>
                    <m:t>f</m:t>
                  </m:r>
                </m:sub>
              </m:sSub>
            </m:oMath>
          </w:p>
        </w:tc>
        <w:tc>
          <w:tcPr/>
          <w:p>
            <w:pPr>
              <w:pStyle w:val="Compact"/>
            </w:pPr>
            <w:r>
              <w:t xml:space="preserve">0.189</w:t>
            </w:r>
          </w:p>
        </w:tc>
        <w:tc>
          <w:tcPr/>
          <w:p>
            <w:pPr>
              <w:pStyle w:val="Compact"/>
            </w:pPr>
            <w:r>
              <w:t xml:space="preserve">0.189</w:t>
            </w:r>
          </w:p>
        </w:tc>
      </w:tr>
      <w:tr>
        <w:tc>
          <w:tcPr/>
          <w:p>
            <w:pPr>
              <w:pStyle w:val="Compact"/>
            </w:pPr>
            <m:oMath>
              <m:sSub>
                <m:e>
                  <m:r>
                    <m:t>ρ</m:t>
                  </m:r>
                </m:e>
                <m:sub>
                  <m:r>
                    <m:rPr>
                      <m:nor/>
                      <m:sty m:val="p"/>
                    </m:rPr>
                    <m:t>eff</m:t>
                  </m:r>
                </m:sub>
              </m:sSub>
            </m:oMath>
            <w:r>
              <w:t xml:space="preserve"> </w:t>
            </w:r>
            <w:r>
              <w:t xml:space="preserve">(g cm</w:t>
            </w:r>
            <m:oMath>
              <m:sSup>
                <m:e>
                  <m:r>
                    <m:t>​</m:t>
                  </m:r>
                </m:e>
                <m:sup>
                  <m:r>
                    <m:rPr>
                      <m:sty m:val="p"/>
                    </m:rPr>
                    <m:t>−</m:t>
                  </m:r>
                  <m:r>
                    <m:t>3</m:t>
                  </m:r>
                </m:sup>
              </m:sSup>
            </m:oMath>
            <w:r>
              <w:t xml:space="preserve">)</w:t>
            </w:r>
          </w:p>
        </w:tc>
        <w:tc>
          <w:tcPr/>
          <w:p>
            <w:pPr>
              <w:pStyle w:val="Compact"/>
            </w:pPr>
            <w:r>
              <w:t xml:space="preserve">2.452</w:t>
            </w:r>
          </w:p>
        </w:tc>
        <w:tc>
          <w:tcPr/>
          <w:p>
            <w:pPr>
              <w:pStyle w:val="Compact"/>
            </w:pPr>
            <w:r>
              <w:t xml:space="preserve">2.124</w:t>
            </w:r>
          </w:p>
        </w:tc>
      </w:tr>
      <w:tr>
        <w:tc>
          <w:tcPr/>
          <w:p>
            <w:pPr>
              <w:pStyle w:val="Compact"/>
            </w:pPr>
            <m:oMath>
              <m:sSub>
                <m:e>
                  <m:r>
                    <m:t>w</m:t>
                  </m:r>
                </m:e>
                <m:sub>
                  <m:r>
                    <m:t>f</m:t>
                  </m:r>
                </m:sub>
              </m:sSub>
            </m:oMath>
            <w:r>
              <w:t xml:space="preserve"> </w:t>
            </w:r>
            <w:r>
              <w:t xml:space="preserve">(wt%)</w:t>
            </w:r>
          </w:p>
        </w:tc>
        <w:tc>
          <w:tcPr/>
          <w:p>
            <w:pPr>
              <w:pStyle w:val="Compact"/>
            </w:pPr>
            <w:r>
              <w:t xml:space="preserve">68.6% Bi₂O₃</w:t>
            </w:r>
          </w:p>
        </w:tc>
        <w:tc>
          <w:tcPr/>
          <w:p>
            <w:pPr>
              <w:pStyle w:val="Compact"/>
            </w:pPr>
            <w:r>
              <w:t xml:space="preserve">63.7% WO₃</w:t>
            </w:r>
          </w:p>
        </w:tc>
      </w:tr>
      <w:tr>
        <w:tc>
          <w:tcPr/>
          <w:p>
            <w:pPr>
              <w:pStyle w:val="Compact"/>
            </w:pPr>
            <w:r>
              <w:t xml:space="preserve">K-edge element</w:t>
            </w:r>
          </w:p>
        </w:tc>
        <w:tc>
          <w:tcPr/>
          <w:p>
            <w:pPr>
              <w:pStyle w:val="Compact"/>
            </w:pPr>
            <w:r>
              <w:t xml:space="preserve">Bi (Z=83): 90.5 keV</w:t>
            </w:r>
          </w:p>
        </w:tc>
        <w:tc>
          <w:tcPr/>
          <w:p>
            <w:pPr>
              <w:pStyle w:val="Compact"/>
            </w:pPr>
            <w:r>
              <w:t xml:space="preserve">W (Z=74): 69.5 keV</w:t>
            </w:r>
          </w:p>
        </w:tc>
      </w:tr>
      <w:tr>
        <w:tc>
          <w:tcPr/>
          <w:p>
            <w:pPr>
              <w:pStyle w:val="Compact"/>
            </w:pPr>
            <w:r>
              <w:t xml:space="preserve">Energy grid straddle</w:t>
            </w:r>
          </w:p>
        </w:tc>
        <w:tc>
          <w:tcPr/>
          <w:p>
            <w:pPr>
              <w:pStyle w:val="Compact"/>
            </w:pPr>
            <w:r>
              <w:t xml:space="preserve">80–100 keV</w:t>
            </w:r>
          </w:p>
        </w:tc>
        <w:tc>
          <w:tcPr/>
          <w:p>
            <w:pPr>
              <w:pStyle w:val="Compact"/>
            </w:pPr>
            <w:r>
              <w:t xml:space="preserve">50–80 keV</w:t>
            </w:r>
          </w:p>
        </w:tc>
      </w:tr>
      <w:tr>
        <w:tc>
          <w:tcPr/>
          <w:p>
            <w:pPr>
              <w:pStyle w:val="Compact"/>
            </w:pPr>
            <w:r>
              <w:t xml:space="preserve">Regime</w:t>
            </w:r>
          </w:p>
        </w:tc>
        <w:tc>
          <w:tcPr/>
          <w:p>
            <w:pPr>
              <w:pStyle w:val="Compact"/>
            </w:pPr>
            <w:r>
              <w:t xml:space="preserve">A + B + C</w:t>
            </w:r>
          </w:p>
        </w:tc>
        <w:tc>
          <w:tcPr/>
          <w:p>
            <w:pPr>
              <w:pStyle w:val="Compact"/>
            </w:pPr>
            <w:r>
              <w:t xml:space="preserve">A only</w:t>
            </w:r>
          </w:p>
        </w:tc>
      </w:tr>
    </w:tbl>
    <w:p>
      <w:pPr>
        <w:pStyle w:val="BodyText"/>
      </w:pPr>
      <w:r>
        <w:t xml:space="preserve">For HDPE/WO₃ the elemental mass fractions in the Geant4 material are: w(W) = 0.50528, w(O) = 0.13192, w(C) = 0.31066, w(H) = 0.05214. Random seed 24680.</w:t>
      </w:r>
    </w:p>
    <w:p>
      <w:pPr>
        <w:pStyle w:val="BodyText"/>
      </w:pPr>
      <w:r>
        <w:t xml:space="preserve">A separate regime-A validation study at 30 wt% Bi₂O₃ (with</w:t>
      </w:r>
      <w:r>
        <w:t xml:space="preserve"> </w:t>
      </w:r>
      <m:oMath>
        <m:r>
          <m:t>ρ</m:t>
        </m:r>
        <m:r>
          <m:rPr>
            <m:sty m:val="p"/>
          </m:rPr>
          <m:t>=</m:t>
        </m:r>
        <m:r>
          <m:t>2.45</m:t>
        </m:r>
      </m:oMath>
      <w:r>
        <w:t xml:space="preserve"> </w:t>
      </w:r>
      <w:r>
        <w:t xml:space="preserve">g cm</w:t>
      </w:r>
      <m:oMath>
        <m:sSup>
          <m:e>
            <m:r>
              <m:t>​</m:t>
            </m:r>
          </m:e>
          <m:sup>
            <m:r>
              <m:rPr>
                <m:sty m:val="p"/>
              </m:rPr>
              <m:t>−</m:t>
            </m:r>
            <m:r>
              <m:t>3</m:t>
            </m:r>
          </m:sup>
        </m:sSup>
      </m:oMath>
      <w:r>
        <w:t xml:space="preserve"> </w:t>
      </w:r>
      <w:r>
        <w:t xml:space="preserve">as user-specified input) is also included to verify emlivermore vs XCOM at that composition; it is not used as the cross-regime baseline.</w:t>
      </w:r>
    </w:p>
    <w:bookmarkEnd w:id="28"/>
    <w:bookmarkStart w:id="29" w:name="source-spectra"/>
    <w:p>
      <w:pPr>
        <w:pStyle w:val="Heading3"/>
      </w:pPr>
      <w:r>
        <w:t xml:space="preserve">4.2 Source spectra</w:t>
      </w:r>
    </w:p>
    <w:p>
      <w:pPr>
        <w:pStyle w:val="FirstParagraph"/>
      </w:pPr>
      <w:r>
        <w:t xml:space="preserve">Mono-energetic photons at a 10-point energy grid: 30, 50, 80, 100, 150, 356, 511, 662, 1173, 1332 keV. Parallel pencil beam, zero beam width. Primary particle: gamma. Regime C uses a distributed beam sampling</w:t>
      </w:r>
      <w:r>
        <w:t xml:space="preserve"> </w:t>
      </w:r>
      <m:oMath>
        <m:r>
          <m:rPr>
            <m:sty m:val="p"/>
          </m:rPr>
          <m:t>(</m:t>
        </m:r>
        <m:r>
          <m:t>Y</m:t>
        </m:r>
        <m:r>
          <m:rPr>
            <m:sty m:val="p"/>
          </m:rPr>
          <m:t>,</m:t>
        </m:r>
        <m:r>
          <m:t>Z</m:t>
        </m:r>
        <m:r>
          <m:rPr>
            <m:sty m:val="p"/>
          </m:rPr>
          <m:t>)</m:t>
        </m:r>
        <m:r>
          <m:rPr>
            <m:sty m:val="p"/>
          </m:rPr>
          <m:t>∼</m:t>
        </m:r>
        <m:r>
          <m:rPr>
            <m:scr m:val="script"/>
            <m:sty m:val="p"/>
          </m:rPr>
          <m:t>U</m:t>
        </m:r>
        <m:r>
          <m:rPr>
            <m:sty m:val="p"/>
          </m:rPr>
          <m:t>[</m:t>
        </m:r>
        <m:r>
          <m:rPr>
            <m:sty m:val="p"/>
          </m:rPr>
          <m:t>−</m:t>
        </m:r>
        <m:r>
          <m:t>L</m:t>
        </m:r>
        <m:r>
          <m:rPr>
            <m:sty m:val="p"/>
          </m:rPr>
          <m:t>/</m:t>
        </m:r>
        <m:r>
          <m:t>2</m:t>
        </m:r>
        <m:r>
          <m:rPr>
            <m:sty m:val="p"/>
          </m:rPr>
          <m:t>,</m:t>
        </m:r>
        <m:r>
          <m:rPr>
            <m:sty m:val="p"/>
          </m:rPr>
          <m:t>+</m:t>
        </m:r>
        <m:r>
          <m:t>L</m:t>
        </m:r>
        <m:r>
          <m:rPr>
            <m:sty m:val="p"/>
          </m:rPr>
          <m:t>/</m:t>
        </m:r>
        <m:r>
          <m:t>2</m:t>
        </m:r>
        <m:sSup>
          <m:e>
            <m:r>
              <m:rPr>
                <m:sty m:val="p"/>
              </m:rPr>
              <m:t>]</m:t>
            </m:r>
          </m:e>
          <m:sup>
            <m:r>
              <m:t>2</m:t>
            </m:r>
          </m:sup>
        </m:sSup>
      </m:oMath>
      <w:r>
        <w:t xml:space="preserve"> </w:t>
      </w:r>
      <w:r>
        <w:t xml:space="preserve">per event to ensure ergodic averaging across the 250 nm RVE cross-section (§5.3).</w:t>
      </w:r>
    </w:p>
    <w:bookmarkEnd w:id="29"/>
    <w:bookmarkStart w:id="30" w:name="physics-list"/>
    <w:p>
      <w:pPr>
        <w:pStyle w:val="Heading3"/>
      </w:pPr>
      <w:r>
        <w:t xml:space="preserve">4.3 Physics list</w:t>
      </w:r>
    </w:p>
    <w:p>
      <w:pPr>
        <w:pStyle w:val="FirstParagraph"/>
      </w:pPr>
      <w:r>
        <w:rPr>
          <w:rStyle w:val="VerbatimChar"/>
        </w:rPr>
        <w:t xml:space="preserve">G4EmLivermorePhysics</w:t>
      </w:r>
      <w:r>
        <w:t xml:space="preserve"> </w:t>
      </w:r>
      <w:r>
        <w:t xml:space="preserve">for all runs. Geant4 version: 11.4 beta (geant4-11-04-beta-01). Tracking cuts: default.</w:t>
      </w:r>
      <w:r>
        <w:t xml:space="preserve"> </w:t>
      </w:r>
      <w:r>
        <w:rPr>
          <w:rStyle w:val="VerbatimChar"/>
        </w:rPr>
        <w:t xml:space="preserve">SHIELDLAB_PHYSICS_LIST=emlivermore</w:t>
      </w:r>
      <w:r>
        <w:t xml:space="preserve">.</w:t>
      </w:r>
    </w:p>
    <w:bookmarkEnd w:id="30"/>
    <w:bookmarkStart w:id="31" w:name="histories"/>
    <w:p>
      <w:pPr>
        <w:pStyle w:val="Heading3"/>
      </w:pPr>
      <w:r>
        <w:t xml:space="preserve">4.4 Histories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Regime</w:t>
            </w:r>
          </w:p>
        </w:tc>
        <w:tc>
          <w:tcPr/>
          <w:p>
            <w:pPr>
              <w:pStyle w:val="Compact"/>
            </w:pPr>
            <w:r>
              <w:t xml:space="preserve">Histories per energy point</w:t>
            </w:r>
          </w:p>
        </w:tc>
        <w:tc>
          <w:tcPr/>
          <w:p>
            <w:pPr>
              <w:pStyle w:val="Compact"/>
            </w:pPr>
            <w:r>
              <w:t xml:space="preserve">Total events</w:t>
            </w:r>
          </w:p>
        </w:tc>
      </w:tr>
      <w:tr>
        <w:tc>
          <w:tcPr/>
          <w:p>
            <w:pPr>
              <w:pStyle w:val="Compact"/>
            </w:pPr>
            <w:r>
              <w:t xml:space="preserve">A</w:t>
            </w:r>
          </w:p>
        </w:tc>
        <w:tc>
          <w:tcPr/>
          <w:p>
            <w:pPr>
              <w:pStyle w:val="Compact"/>
            </w:pPr>
            <m:oMath>
              <m:sSup>
                <m:e>
                  <m:r>
                    <m:t>10</m:t>
                  </m:r>
                </m:e>
                <m:sup>
                  <m:r>
                    <m:t>6</m:t>
                  </m:r>
                </m:sup>
              </m:sSup>
            </m:oMath>
          </w:p>
        </w:tc>
        <w:tc>
          <w:tcPr/>
          <w:p>
            <w:pPr>
              <w:pStyle w:val="Compact"/>
            </w:pPr>
            <m:oMath>
              <m:r>
                <m:t>1.0</m:t>
              </m:r>
              <m:r>
                <m:rPr>
                  <m:sty m:val="p"/>
                </m:rPr>
                <m:t>×</m:t>
              </m:r>
              <m:sSup>
                <m:e>
                  <m:r>
                    <m:t>10</m:t>
                  </m:r>
                </m:e>
                <m:sup>
                  <m:r>
                    <m:t>7</m:t>
                  </m:r>
                </m:sup>
              </m:sSup>
            </m:oMath>
          </w:p>
        </w:tc>
      </w:tr>
      <w:tr>
        <w:tc>
          <w:tcPr/>
          <w:p>
            <w:pPr>
              <w:pStyle w:val="Compact"/>
            </w:pPr>
            <w:r>
              <w:t xml:space="preserve">B</w:t>
            </w:r>
          </w:p>
        </w:tc>
        <w:tc>
          <w:tcPr/>
          <w:p>
            <w:pPr>
              <w:pStyle w:val="Compact"/>
            </w:pPr>
            <m:oMath>
              <m:sSup>
                <m:e>
                  <m:r>
                    <m:t>10</m:t>
                  </m:r>
                </m:e>
                <m:sup>
                  <m:r>
                    <m:t>7</m:t>
                  </m:r>
                </m:sup>
              </m:sSup>
            </m:oMath>
          </w:p>
        </w:tc>
        <w:tc>
          <w:tcPr/>
          <w:p>
            <w:pPr>
              <w:pStyle w:val="Compact"/>
            </w:pPr>
            <m:oMath>
              <m:r>
                <m:t>1.0</m:t>
              </m:r>
              <m:r>
                <m:rPr>
                  <m:sty m:val="p"/>
                </m:rPr>
                <m:t>×</m:t>
              </m:r>
              <m:sSup>
                <m:e>
                  <m:r>
                    <m:t>10</m:t>
                  </m:r>
                </m:e>
                <m:sup>
                  <m:r>
                    <m:t>8</m:t>
                  </m:r>
                </m:sup>
              </m:sSup>
            </m:oMath>
          </w:p>
        </w:tc>
      </w:tr>
      <w:tr>
        <w:tc>
          <w:tcPr/>
          <w:p>
            <w:pPr>
              <w:pStyle w:val="Compact"/>
            </w:pPr>
            <w:r>
              <w:t xml:space="preserve">C</w:t>
            </w:r>
          </w:p>
        </w:tc>
        <w:tc>
          <w:tcPr/>
          <w:p>
            <w:pPr>
              <w:pStyle w:val="Compact"/>
            </w:pPr>
            <m:oMath>
              <m:sSup>
                <m:e>
                  <m:r>
                    <m:t>10</m:t>
                  </m:r>
                </m:e>
                <m:sup>
                  <m:r>
                    <m:t>7</m:t>
                  </m:r>
                </m:sup>
              </m:sSup>
            </m:oMath>
          </w:p>
        </w:tc>
        <w:tc>
          <w:tcPr/>
          <w:p>
            <w:pPr>
              <w:pStyle w:val="Compact"/>
            </w:pPr>
            <m:oMath>
              <m:r>
                <m:t>1.0</m:t>
              </m:r>
              <m:r>
                <m:rPr>
                  <m:sty m:val="p"/>
                </m:rPr>
                <m:t>×</m:t>
              </m:r>
              <m:sSup>
                <m:e>
                  <m:r>
                    <m:t>10</m:t>
                  </m:r>
                </m:e>
                <m:sup>
                  <m:r>
                    <m:t>8</m:t>
                  </m:r>
                </m:sup>
              </m:sSup>
            </m:oMath>
          </w:p>
        </w:tc>
      </w:tr>
    </w:tbl>
    <w:bookmarkEnd w:id="31"/>
    <w:bookmarkStart w:id="32" w:name="acceptance-criteria"/>
    <w:p>
      <w:pPr>
        <w:pStyle w:val="Heading3"/>
      </w:pPr>
      <w:r>
        <w:t xml:space="preserve">4.5 Acceptance criteria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Metric</w:t>
            </w:r>
          </w:p>
        </w:tc>
        <w:tc>
          <w:tcPr/>
          <w:p>
            <w:pPr>
              <w:pStyle w:val="Compact"/>
            </w:pPr>
            <w:r>
              <w:t xml:space="preserve">Gate</w:t>
            </w:r>
          </w:p>
        </w:tc>
      </w:tr>
      <w:tr>
        <w:tc>
          <w:tcPr/>
          <w:p>
            <w:pPr>
              <w:pStyle w:val="Compact"/>
            </w:pPr>
            <w:r>
              <w:t xml:space="preserve">Regime A vs XCOM</w:t>
            </w:r>
          </w:p>
        </w:tc>
        <w:tc>
          <w:tcPr/>
          <w:p>
            <w:pPr>
              <w:pStyle w:val="Compact"/>
            </w:pPr>
            <w:r>
              <w:t xml:space="preserve">mean</w:t>
            </w:r>
            <w:r>
              <w:t xml:space="preserve"> </w:t>
            </w:r>
            <m:oMath>
              <m:r>
                <m:rPr>
                  <m:sty m:val="p"/>
                </m:rPr>
                <m:t>|</m:t>
              </m:r>
              <m:r>
                <m:rPr>
                  <m:sty m:val="p"/>
                </m:rPr>
                <m:t>Δ</m:t>
              </m:r>
              <m:r>
                <m:rPr>
                  <m:sty m:val="p"/>
                </m:rPr>
                <m:t>(</m:t>
              </m:r>
              <m:r>
                <m:t>μ</m:t>
              </m:r>
              <m:r>
                <m:rPr>
                  <m:sty m:val="p"/>
                </m:rPr>
                <m:t>/</m:t>
              </m:r>
              <m:r>
                <m:t>ρ</m:t>
              </m:r>
              <m:r>
                <m:rPr>
                  <m:sty m:val="p"/>
                </m:rPr>
                <m:t>)</m:t>
              </m:r>
              <m:r>
                <m:rPr>
                  <m:sty m:val="p"/>
                </m:rPr>
                <m:t>|</m:t>
              </m:r>
            </m:oMath>
            <w:r>
              <w:t xml:space="preserve"> </w:t>
            </w:r>
            <w:r>
              <w:t xml:space="preserve">over 10 energies</w:t>
            </w:r>
          </w:p>
        </w:tc>
        <w:tc>
          <w:tcPr/>
          <w:p>
            <w:pPr>
              <w:pStyle w:val="Compact"/>
            </w:pPr>
            <m:oMath>
              <m:r>
                <m:rPr>
                  <m:sty m:val="p"/>
                </m:rPr>
                <m:t>≤</m:t>
              </m:r>
              <m:r>
                <m:t>1.5</m:t>
              </m:r>
              <m:r>
                <m:rPr>
                  <m:sty m:val="p"/>
                </m:rPr>
                <m:t>%</m:t>
              </m:r>
            </m:oMath>
          </w:p>
        </w:tc>
      </w:tr>
      <w:tr>
        <w:tc>
          <w:tcPr/>
          <w:p>
            <w:pPr>
              <w:pStyle w:val="Compact"/>
            </w:pPr>
            <w:r>
              <w:t xml:space="preserve">Regime A vs XCOM</w:t>
            </w:r>
          </w:p>
        </w:tc>
        <w:tc>
          <w:tcPr/>
          <w:p>
            <w:pPr>
              <w:pStyle w:val="Compact"/>
            </w:pPr>
            <w:r>
              <w:t xml:space="preserve">max</w:t>
            </w:r>
            <w:r>
              <w:t xml:space="preserve"> </w:t>
            </w:r>
            <m:oMath>
              <m:r>
                <m:rPr>
                  <m:sty m:val="p"/>
                </m:rPr>
                <m:t>|</m:t>
              </m:r>
              <m:r>
                <m:rPr>
                  <m:sty m:val="p"/>
                </m:rPr>
                <m:t>Δ</m:t>
              </m:r>
              <m:r>
                <m:rPr>
                  <m:sty m:val="p"/>
                </m:rPr>
                <m:t>(</m:t>
              </m:r>
              <m:r>
                <m:t>μ</m:t>
              </m:r>
              <m:r>
                <m:rPr>
                  <m:sty m:val="p"/>
                </m:rPr>
                <m:t>/</m:t>
              </m:r>
              <m:r>
                <m:t>ρ</m:t>
              </m:r>
              <m:r>
                <m:rPr>
                  <m:sty m:val="p"/>
                </m:rPr>
                <m:t>)</m:t>
              </m:r>
              <m:r>
                <m:rPr>
                  <m:sty m:val="p"/>
                </m:rPr>
                <m:t>|</m:t>
              </m:r>
            </m:oMath>
            <w:r>
              <w:t xml:space="preserve"> </w:t>
            </w:r>
            <w:r>
              <w:t xml:space="preserve">over 10 energies</w:t>
            </w:r>
          </w:p>
        </w:tc>
        <w:tc>
          <w:tcPr/>
          <w:p>
            <w:pPr>
              <w:pStyle w:val="Compact"/>
            </w:pPr>
            <m:oMath>
              <m:r>
                <m:rPr>
                  <m:sty m:val="p"/>
                </m:rPr>
                <m:t>≤</m:t>
              </m:r>
              <m:r>
                <m:t>5.0</m:t>
              </m:r>
              <m:r>
                <m:rPr>
                  <m:sty m:val="p"/>
                </m:rPr>
                <m:t>%</m:t>
              </m:r>
            </m:oMath>
          </w:p>
        </w:tc>
      </w:tr>
      <w:tr>
        <w:tc>
          <w:tcPr/>
          <w:p>
            <w:pPr>
              <w:pStyle w:val="Compact"/>
            </w:pPr>
            <w:r>
              <w:t xml:space="preserve">H1 cross-regime</w:t>
            </w:r>
          </w:p>
        </w:tc>
        <w:tc>
          <w:tcPr/>
          <w:p>
            <w:pPr>
              <w:pStyle w:val="Compact"/>
            </w:pPr>
            <m:oMath>
              <m:r>
                <m:rPr>
                  <m:sty m:val="p"/>
                </m:rPr>
                <m:t>|</m:t>
              </m:r>
              <m:sSub>
                <m:e>
                  <m:r>
                    <m:t>μ</m:t>
                  </m:r>
                </m:e>
                <m:sub>
                  <m:r>
                    <m:t>B</m:t>
                  </m:r>
                </m:sub>
              </m:sSub>
              <m:r>
                <m:rPr>
                  <m:sty m:val="p"/>
                </m:rPr>
                <m:t>/</m:t>
              </m:r>
              <m:sSub>
                <m:e>
                  <m:r>
                    <m:t>μ</m:t>
                  </m:r>
                </m:e>
                <m:sub>
                  <m:r>
                    <m:t>A</m:t>
                  </m:r>
                </m:sub>
              </m:sSub>
              <m:r>
                <m:rPr>
                  <m:sty m:val="p"/>
                </m:rPr>
                <m:t>−</m:t>
              </m:r>
              <m:r>
                <m:t>1</m:t>
              </m:r>
              <m:r>
                <m:rPr>
                  <m:sty m:val="p"/>
                </m:rPr>
                <m:t>|</m:t>
              </m:r>
            </m:oMath>
            <w:r>
              <w:t xml:space="preserve"> </w:t>
            </w:r>
            <w:r>
              <w:t xml:space="preserve">at each energy</w:t>
            </w:r>
          </w:p>
        </w:tc>
        <w:tc>
          <w:tcPr/>
          <w:p>
            <w:pPr>
              <w:pStyle w:val="Compact"/>
            </w:pPr>
            <m:oMath>
              <m:r>
                <m:rPr>
                  <m:sty m:val="p"/>
                </m:rPr>
                <m:t>≤</m:t>
              </m:r>
              <m:r>
                <m:t>3</m:t>
              </m:r>
              <m:r>
                <m:rPr>
                  <m:sty m:val="p"/>
                </m:rPr>
                <m:t>%</m:t>
              </m:r>
            </m:oMath>
          </w:p>
        </w:tc>
      </w:tr>
    </w:tbl>
    <w:bookmarkEnd w:id="32"/>
    <w:bookmarkStart w:id="33" w:name="reproducibility"/>
    <w:p>
      <w:pPr>
        <w:pStyle w:val="Heading3"/>
      </w:pPr>
      <w:r>
        <w:t xml:space="preserve">4.6 Reproducibility</w:t>
      </w:r>
    </w:p>
    <w:p>
      <w:pPr>
        <w:pStyle w:val="FirstParagraph"/>
      </w:pPr>
      <w:r>
        <w:t xml:space="preserve">Every run produces a JSON manifest including: Geant4 version, git SHA, physics list, random seed, macro SHA-256, raw scorer outputs, and derived metrics. Manifests are committed under</w:t>
      </w:r>
      <w:r>
        <w:t xml:space="preserve"> </w:t>
      </w:r>
      <w:r>
        <w:rPr>
          <w:rStyle w:val="VerbatimChar"/>
        </w:rPr>
        <w:t xml:space="preserve">results/paper3/</w:t>
      </w:r>
      <w:r>
        <w:t xml:space="preserve">. Study files, macro writer, and post-processing scripts are open-source under MIT licence at the repository root.</w:t>
      </w:r>
    </w:p>
    <w:p>
      <w:r>
        <w:pict>
          <v:rect style="width:0;height:1.5pt" o:hralign="center" o:hrstd="t" o:hr="t"/>
        </w:pict>
      </w:r>
    </w:p>
    <w:bookmarkEnd w:id="33"/>
    <w:bookmarkEnd w:id="34"/>
    <w:bookmarkStart w:id="65" w:name="results"/>
    <w:p>
      <w:pPr>
        <w:pStyle w:val="Heading2"/>
      </w:pPr>
      <w:r>
        <w:t xml:space="preserve">5. Results</w:t>
      </w:r>
    </w:p>
    <w:bookmarkStart w:id="47" w:name="regime-a-effective-medium-studies"/>
    <w:p>
      <w:pPr>
        <w:pStyle w:val="Heading3"/>
      </w:pPr>
      <w:r>
        <w:t xml:space="preserve">5.1 Regime A — Effective-Medium Studies</w:t>
      </w:r>
    </w:p>
    <w:p>
      <w:pPr>
        <w:pStyle w:val="FirstParagraph"/>
      </w:pPr>
      <w:r>
        <w:t xml:space="preserve">Two sets of Regime A runs are reported: §5.1.0–5.1.5 cover HDPE/Bi₂O₃ (consistent with v07); §5.5 presents the new HDPE/WO₃ Regime A benchmark. Figure 2 shows the dual-panel XCOM validation for both Bi₂O₃ and WO₃ at φ=0.189.</w:t>
      </w:r>
    </w:p>
    <w:p>
      <w:pPr>
        <w:pStyle w:val="CaptionedFigure"/>
      </w:pPr>
      <w:r>
        <w:drawing>
          <wp:inline>
            <wp:extent cx="5334000" cy="2217739"/>
            <wp:effectExtent b="0" l="0" r="0" t="0"/>
            <wp:docPr descr="Figure 2. Regime A XCOM validation for both filler chemistries. (A) HDPE/Bi₂O₃ at 30 wt% with Bi K-edge annotation at 90.5 keV. (B) HDPE/WO₃ at φ=0.189 (63.7 wt%) with W K-edge annotation at 69.5 keV. Both panels show 95% statistical confidence intervals on simulated points; dashed lines are NIST XCOM reference." title="" id="36" name="Picture"/>
            <a:graphic>
              <a:graphicData uri="http://schemas.openxmlformats.org/drawingml/2006/picture">
                <pic:pic>
                  <pic:nvPicPr>
                    <pic:cNvPr descr="../../../results/paper3/figures/paper3_fig2_dual_validation.png" id="37" name="Picture"/>
                    <pic:cNvPicPr>
                      <a:picLocks noChangeArrowheads="1" noChangeAspect="1"/>
                    </pic:cNvPicPr>
                  </pic:nvPicPr>
                  <pic:blipFill>
                    <a:blip r:embed="rId35"/>
                    <a:stretch>
                      <a:fillRect/>
                    </a:stretch>
                  </pic:blipFill>
                  <pic:spPr bwMode="auto">
                    <a:xfrm>
                      <a:off x="0" y="0"/>
                      <a:ext cx="5334000" cy="2217739"/>
                    </a:xfrm>
                    <a:prstGeom prst="rect">
                      <a:avLst/>
                    </a:prstGeom>
                    <a:noFill/>
                    <a:ln w="9525">
                      <a:noFill/>
                      <a:headEnd/>
                      <a:tailEnd/>
                    </a:ln>
                  </pic:spPr>
                </pic:pic>
              </a:graphicData>
            </a:graphic>
          </wp:inline>
        </w:drawing>
      </w:r>
    </w:p>
    <w:p>
      <w:pPr>
        <w:pStyle w:val="ImageCaption"/>
      </w:pPr>
      <w:r>
        <w:t xml:space="preserve">Figure 2. Regime A XCOM validation for both filler chemistries. (A) HDPE/Bi₂O₃ at 30 wt% with Bi K-edge annotation at 90.5 keV. (B) HDPE/WO₃ at φ=0.189 (63.7 wt%) with W K-edge annotation at 69.5 keV. Both panels show 95% statistical confidence intervals on simulated points; dashed lines are NIST XCOM reference.</w:t>
      </w:r>
    </w:p>
    <w:bookmarkStart w:id="38" w:name="X64d9ae7498b90788761a22a6af54fbb30d25cea"/>
    <w:p>
      <w:pPr>
        <w:pStyle w:val="Heading4"/>
      </w:pPr>
      <w:r>
        <w:t xml:space="preserve">5.1.0 Regime A(30wt) — XCOM Validation Run (separate study)</w:t>
      </w:r>
    </w:p>
    <w:p>
      <w:pPr>
        <w:pStyle w:val="FirstParagraph"/>
      </w:pPr>
      <w:r>
        <w:rPr>
          <w:b/>
          <w:bCs/>
        </w:rPr>
        <w:t xml:space="preserve">Run provenance:</w:t>
      </w:r>
      <w:r>
        <w:t xml:space="preserve"> </w:t>
      </w:r>
      <w:r>
        <w:t xml:space="preserve">study file</w:t>
      </w:r>
      <w:r>
        <w:t xml:space="preserve"> </w:t>
      </w:r>
      <w:r>
        <w:rPr>
          <w:rStyle w:val="VerbatimChar"/>
        </w:rPr>
        <w:t xml:space="preserve">configs/studies/paper3_hdpe_bi2o3_regime_a_highstat.json</w:t>
      </w:r>
      <w:r>
        <w:t xml:space="preserve">, physics list</w:t>
      </w:r>
      <w:r>
        <w:t xml:space="preserve"> </w:t>
      </w:r>
      <w:r>
        <w:rPr>
          <w:rStyle w:val="VerbatimChar"/>
        </w:rPr>
        <w:t xml:space="preserve">emlivermore</w:t>
      </w:r>
      <w:r>
        <w:t xml:space="preserve">,</w:t>
      </w:r>
      <w:r>
        <w:t xml:space="preserve"> </w:t>
      </w:r>
      <m:oMath>
        <m:sSup>
          <m:e>
            <m:r>
              <m:t>10</m:t>
            </m:r>
          </m:e>
          <m:sup>
            <m:r>
              <m:t>6</m:t>
            </m:r>
          </m:sup>
        </m:sSup>
      </m:oMath>
      <w:r>
        <w:t xml:space="preserve"> </w:t>
      </w:r>
      <w:r>
        <w:t xml:space="preserve">histories per energy, Geant4 11.4, WSL Ubuntu, result directory</w:t>
      </w:r>
      <w:r>
        <w:t xml:space="preserve"> </w:t>
      </w:r>
      <w:r>
        <w:rPr>
          <w:rStyle w:val="VerbatimChar"/>
        </w:rPr>
        <w:t xml:space="preserve">results/paper3/regime_a_hdpe_bi2o3_highstat/</w:t>
      </w:r>
      <w:r>
        <w:t xml:space="preserve">.</w:t>
      </w:r>
    </w:p>
    <w:p>
      <w:pPr>
        <w:pStyle w:val="BodyText"/>
      </w:pPr>
      <w:r>
        <w:rPr>
          <w:i/>
          <w:iCs/>
        </w:rPr>
        <w:t xml:space="preserve">Note: this material (30 wt% Bi₂O₃, ρ = 2.45 g cm⁻³) uses a user-supplied density that is physically inconsistent with the two-phase mixture rule. The density is retained as a literature input for the XCOM-validation purpose only. The cross-regime comparison in §5.2–5.4 uses the phi0p189 material described in §5.1.5.</w:t>
      </w:r>
    </w:p>
    <w:bookmarkEnd w:id="38"/>
    <w:bookmarkStart w:id="39" w:name="acceptance-gate-30-wt-xcom-validation"/>
    <w:p>
      <w:pPr>
        <w:pStyle w:val="Heading4"/>
      </w:pPr>
      <w:r>
        <w:t xml:space="preserve">5.1.1 Acceptance gate (30 wt% XCOM validation)</w:t>
      </w:r>
    </w:p>
    <w:p>
      <w:pPr>
        <w:pStyle w:val="Compact"/>
        <w:numPr>
          <w:ilvl w:val="0"/>
          <w:numId w:val="1004"/>
        </w:numPr>
      </w:pPr>
      <w:r>
        <w:t xml:space="preserve">Mean absolute percent difference in</w:t>
      </w:r>
      <w:r>
        <w:t xml:space="preserve"> </w:t>
      </w:r>
      <m:oMath>
        <m:r>
          <m:t>μ</m:t>
        </m:r>
        <m:r>
          <m:rPr>
            <m:sty m:val="p"/>
          </m:rPr>
          <m:t>/</m:t>
        </m:r>
        <m:r>
          <m:t>ρ</m:t>
        </m:r>
      </m:oMath>
      <w:r>
        <w:t xml:space="preserve"> </w:t>
      </w:r>
      <w:r>
        <w:t xml:space="preserve">vs XCOM:</w:t>
      </w:r>
      <w:r>
        <w:t xml:space="preserve"> </w:t>
      </w:r>
      <w:r>
        <w:rPr>
          <w:b/>
          <w:bCs/>
        </w:rPr>
        <w:t xml:space="preserve">0.549%</w:t>
      </w:r>
      <w:r>
        <w:t xml:space="preserve"> </w:t>
      </w:r>
      <w:r>
        <w:t xml:space="preserve">(gate: ≤ 1.5%)</w:t>
      </w:r>
    </w:p>
    <w:p>
      <w:pPr>
        <w:pStyle w:val="Compact"/>
        <w:numPr>
          <w:ilvl w:val="0"/>
          <w:numId w:val="1004"/>
        </w:numPr>
      </w:pPr>
      <w:r>
        <w:t xml:space="preserve">Maximum absolute percent difference in</w:t>
      </w:r>
      <w:r>
        <w:t xml:space="preserve"> </w:t>
      </w:r>
      <m:oMath>
        <m:r>
          <m:t>μ</m:t>
        </m:r>
        <m:r>
          <m:rPr>
            <m:sty m:val="p"/>
          </m:rPr>
          <m:t>/</m:t>
        </m:r>
        <m:r>
          <m:t>ρ</m:t>
        </m:r>
      </m:oMath>
      <w:r>
        <w:t xml:space="preserve"> </w:t>
      </w:r>
      <w:r>
        <w:t xml:space="preserve">vs XCOM:</w:t>
      </w:r>
      <w:r>
        <w:t xml:space="preserve"> </w:t>
      </w:r>
      <w:r>
        <w:rPr>
          <w:b/>
          <w:bCs/>
        </w:rPr>
        <w:t xml:space="preserve">2.013%</w:t>
      </w:r>
      <w:r>
        <w:t xml:space="preserve"> </w:t>
      </w:r>
      <w:r>
        <w:t xml:space="preserve">at 80 keV (gate: ≤ 5.0%)</w:t>
      </w:r>
    </w:p>
    <w:bookmarkEnd w:id="39"/>
    <w:bookmarkStart w:id="40" w:name="mass-attenuation-coefficient-table"/>
    <w:p>
      <w:pPr>
        <w:pStyle w:val="Heading4"/>
      </w:pPr>
      <w:r>
        <w:t xml:space="preserve">5.1.2 Mass attenuation coefficient table</w:t>
      </w:r>
    </w:p>
    <w:p>
      <w:pPr>
        <w:pStyle w:val="FirstParagraph"/>
      </w:pPr>
      <w:r>
        <w:rPr>
          <w:b/>
          <w:bCs/>
        </w:rPr>
        <w:t xml:space="preserve">Table 1.</w:t>
      </w:r>
      <w:r>
        <w:t xml:space="preserve"> </w:t>
      </w:r>
      <w:r>
        <w:t xml:space="preserve">Regime A(30wt) mass attenuation coefficients for HDPE/Bi₂O₃ 30 wt% (</w:t>
      </w:r>
      <m:oMath>
        <m:r>
          <m:t>ρ</m:t>
        </m:r>
        <m:r>
          <m:rPr>
            <m:sty m:val="p"/>
          </m:rPr>
          <m:t>=</m:t>
        </m:r>
        <m:r>
          <m:t>2.45</m:t>
        </m:r>
      </m:oMath>
      <w:r>
        <w:t xml:space="preserve"> </w:t>
      </w:r>
      <w:r>
        <w:t xml:space="preserve">g cm</w:t>
      </w:r>
      <m:oMath>
        <m:sSup>
          <m:e>
            <m:r>
              <m:t>​</m:t>
            </m:r>
          </m:e>
          <m:sup>
            <m:r>
              <m:rPr>
                <m:sty m:val="p"/>
              </m:rPr>
              <m:t>−</m:t>
            </m:r>
            <m:r>
              <m:t>3</m:t>
            </m:r>
          </m:sup>
        </m:sSup>
      </m:oMath>
      <w:r>
        <w:t xml:space="preserve">, user-specified density) vs NIST XCOM.</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right"/>
            </w:pPr>
            <m:oMath>
              <m:r>
                <m:t>E</m:t>
              </m:r>
            </m:oMath>
            <w:r>
              <w:t xml:space="preserve"> </w:t>
            </w:r>
            <w:r>
              <w:t xml:space="preserve">(keV)</w:t>
            </w:r>
          </w:p>
        </w:tc>
        <w:tc>
          <w:tcPr/>
          <w:p>
            <w:pPr>
              <w:pStyle w:val="Compact"/>
              <w:jc w:val="right"/>
            </w:pPr>
            <m:oMath>
              <m:r>
                <m:t>t</m:t>
              </m:r>
            </m:oMath>
            <w:r>
              <w:t xml:space="preserve"> </w:t>
            </w:r>
            <w:r>
              <w:t xml:space="preserve">(cm)</w:t>
            </w:r>
          </w:p>
        </w:tc>
        <w:tc>
          <w:tcPr/>
          <w:p>
            <w:pPr>
              <w:pStyle w:val="Compact"/>
              <w:jc w:val="right"/>
            </w:pPr>
            <m:oMath>
              <m:r>
                <m:t>N</m:t>
              </m:r>
            </m:oMath>
          </w:p>
        </w:tc>
        <w:tc>
          <w:tcPr/>
          <w:p>
            <w:pPr>
              <w:pStyle w:val="Compact"/>
              <w:jc w:val="right"/>
            </w:pPr>
            <m:oMath>
              <m:r>
                <m:t>T</m:t>
              </m:r>
            </m:oMath>
          </w:p>
        </w:tc>
        <w:tc>
          <w:tcPr/>
          <w:p>
            <w:pPr>
              <w:pStyle w:val="Compact"/>
              <w:jc w:val="right"/>
            </w:pPr>
            <m:oMath>
              <m:sSub>
                <m:e>
                  <m:r>
                    <m:t>μ</m:t>
                  </m:r>
                </m:e>
                <m:sub>
                  <m:r>
                    <m:rPr>
                      <m:nor/>
                      <m:sty m:val="p"/>
                    </m:rPr>
                    <m:t>sim</m:t>
                  </m:r>
                </m:sub>
              </m:sSub>
            </m:oMath>
            <w:r>
              <w:t xml:space="preserve"> </w:t>
            </w:r>
            <w:r>
              <w:t xml:space="preserve">(cm</w:t>
            </w:r>
            <m:oMath>
              <m:sSup>
                <m:e>
                  <m:r>
                    <m:t>​</m:t>
                  </m:r>
                </m:e>
                <m:sup>
                  <m:r>
                    <m:rPr>
                      <m:sty m:val="p"/>
                    </m:rPr>
                    <m:t>−</m:t>
                  </m:r>
                  <m:r>
                    <m:t>1</m:t>
                  </m:r>
                </m:sup>
              </m:sSup>
            </m:oMath>
            <w:r>
              <w:t xml:space="preserve">)</w:t>
            </w:r>
          </w:p>
        </w:tc>
        <w:tc>
          <w:tcPr/>
          <w:p>
            <w:pPr>
              <w:pStyle w:val="Compact"/>
              <w:jc w:val="right"/>
            </w:pPr>
            <m:oMath>
              <m:r>
                <m:rPr>
                  <m:sty m:val="p"/>
                </m:rPr>
                <m:t>(</m:t>
              </m:r>
              <m:r>
                <m:t>μ</m:t>
              </m:r>
              <m:r>
                <m:rPr>
                  <m:sty m:val="p"/>
                </m:rPr>
                <m:t>/</m:t>
              </m:r>
              <m:r>
                <m:t>ρ</m:t>
              </m:r>
              <m:sSub>
                <m:e>
                  <m:r>
                    <m:rPr>
                      <m:sty m:val="p"/>
                    </m:rPr>
                    <m:t>)</m:t>
                  </m:r>
                </m:e>
                <m:sub>
                  <m:r>
                    <m:rPr>
                      <m:nor/>
                      <m:sty m:val="p"/>
                    </m:rPr>
                    <m:t>sim</m:t>
                  </m:r>
                </m:sub>
              </m:sSub>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w:t>
            </w:r>
          </w:p>
        </w:tc>
        <w:tc>
          <w:tcPr/>
          <w:p>
            <w:pPr>
              <w:pStyle w:val="Compact"/>
              <w:jc w:val="right"/>
            </w:pPr>
            <m:oMath>
              <m:r>
                <m:rPr>
                  <m:sty m:val="p"/>
                </m:rPr>
                <m:t>(</m:t>
              </m:r>
              <m:r>
                <m:t>μ</m:t>
              </m:r>
              <m:r>
                <m:rPr>
                  <m:sty m:val="p"/>
                </m:rPr>
                <m:t>/</m:t>
              </m:r>
              <m:r>
                <m:t>ρ</m:t>
              </m:r>
              <m:sSub>
                <m:e>
                  <m:r>
                    <m:rPr>
                      <m:sty m:val="p"/>
                    </m:rPr>
                    <m:t>)</m:t>
                  </m:r>
                </m:e>
                <m:sub>
                  <m:r>
                    <m:rPr>
                      <m:nor/>
                      <m:sty m:val="p"/>
                    </m:rPr>
                    <m:t>XCOM</m:t>
                  </m:r>
                </m:sub>
              </m:sSub>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w:t>
            </w:r>
          </w:p>
        </w:tc>
        <w:tc>
          <w:tcPr/>
          <w:p>
            <w:pPr>
              <w:pStyle w:val="Compact"/>
              <w:jc w:val="right"/>
            </w:pPr>
            <m:oMath>
              <m:r>
                <m:rPr>
                  <m:sty m:val="p"/>
                </m:rPr>
                <m:t>Δ</m:t>
              </m:r>
            </m:oMath>
            <w:r>
              <w:t xml:space="preserve"> </w:t>
            </w:r>
            <w:r>
              <w:t xml:space="preserve">(%)</w:t>
            </w:r>
          </w:p>
        </w:tc>
      </w:tr>
      <w:tr>
        <w:tc>
          <w:tcPr/>
          <w:p>
            <w:pPr>
              <w:pStyle w:val="Compact"/>
              <w:jc w:val="right"/>
            </w:pPr>
            <w:r>
              <w:t xml:space="preserve">30</w:t>
            </w:r>
          </w:p>
        </w:tc>
        <w:tc>
          <w:tcPr/>
          <w:p>
            <w:pPr>
              <w:pStyle w:val="Compact"/>
              <w:jc w:val="right"/>
            </w:pPr>
            <w:r>
              <w:t xml:space="preserve">0.02025</w:t>
            </w:r>
          </w:p>
        </w:tc>
        <w:tc>
          <w:tcPr/>
          <w:p>
            <w:pPr>
              <w:pStyle w:val="Compact"/>
              <w:jc w:val="right"/>
            </w:pPr>
            <m:oMath>
              <m:sSup>
                <m:e>
                  <m:r>
                    <m:t>10</m:t>
                  </m:r>
                </m:e>
                <m:sup>
                  <m:r>
                    <m:t>6</m:t>
                  </m:r>
                </m:sup>
              </m:sSup>
            </m:oMath>
          </w:p>
        </w:tc>
        <w:tc>
          <w:tcPr/>
          <w:p>
            <w:pPr>
              <w:pStyle w:val="Compact"/>
              <w:jc w:val="right"/>
            </w:pPr>
            <w:r>
              <w:t xml:space="preserve">0.6494</w:t>
            </w:r>
          </w:p>
        </w:tc>
        <w:tc>
          <w:tcPr/>
          <w:p>
            <w:pPr>
              <w:pStyle w:val="Compact"/>
              <w:jc w:val="right"/>
            </w:pPr>
            <w:r>
              <w:t xml:space="preserve">21.322</w:t>
            </w:r>
          </w:p>
        </w:tc>
        <w:tc>
          <w:tcPr/>
          <w:p>
            <w:pPr>
              <w:pStyle w:val="Compact"/>
              <w:jc w:val="right"/>
            </w:pPr>
            <w:r>
              <w:t xml:space="preserve">8.703</w:t>
            </w:r>
          </w:p>
        </w:tc>
        <w:tc>
          <w:tcPr/>
          <w:p>
            <w:pPr>
              <w:pStyle w:val="Compact"/>
              <w:jc w:val="right"/>
            </w:pPr>
            <w:r>
              <w:t xml:space="preserve">8.683</w:t>
            </w:r>
          </w:p>
        </w:tc>
        <w:tc>
          <w:tcPr/>
          <w:p>
            <w:pPr>
              <w:pStyle w:val="Compact"/>
              <w:jc w:val="right"/>
            </w:pPr>
            <w:r>
              <w:t xml:space="preserve">+0.228</w:t>
            </w:r>
          </w:p>
        </w:tc>
      </w:tr>
      <w:tr>
        <w:tc>
          <w:tcPr/>
          <w:p>
            <w:pPr>
              <w:pStyle w:val="Compact"/>
              <w:jc w:val="right"/>
            </w:pPr>
            <w:r>
              <w:t xml:space="preserve">50</w:t>
            </w:r>
          </w:p>
        </w:tc>
        <w:tc>
          <w:tcPr/>
          <w:p>
            <w:pPr>
              <w:pStyle w:val="Compact"/>
              <w:jc w:val="right"/>
            </w:pPr>
            <w:r>
              <w:t xml:space="preserve">0.07304</w:t>
            </w:r>
          </w:p>
        </w:tc>
        <w:tc>
          <w:tcPr/>
          <w:p>
            <w:pPr>
              <w:pStyle w:val="Compact"/>
              <w:jc w:val="right"/>
            </w:pPr>
            <m:oMath>
              <m:sSup>
                <m:e>
                  <m:r>
                    <m:t>10</m:t>
                  </m:r>
                </m:e>
                <m:sup>
                  <m:r>
                    <m:t>6</m:t>
                  </m:r>
                </m:sup>
              </m:sSup>
            </m:oMath>
          </w:p>
        </w:tc>
        <w:tc>
          <w:tcPr/>
          <w:p>
            <w:pPr>
              <w:pStyle w:val="Compact"/>
              <w:jc w:val="right"/>
            </w:pPr>
            <w:r>
              <w:t xml:space="preserve">0.6504</w:t>
            </w:r>
          </w:p>
        </w:tc>
        <w:tc>
          <w:tcPr/>
          <w:p>
            <w:pPr>
              <w:pStyle w:val="Compact"/>
              <w:jc w:val="right"/>
            </w:pPr>
            <w:r>
              <w:t xml:space="preserve">5.890</w:t>
            </w:r>
          </w:p>
        </w:tc>
        <w:tc>
          <w:tcPr/>
          <w:p>
            <w:pPr>
              <w:pStyle w:val="Compact"/>
              <w:jc w:val="right"/>
            </w:pPr>
            <w:r>
              <w:t xml:space="preserve">2.404</w:t>
            </w:r>
          </w:p>
        </w:tc>
        <w:tc>
          <w:tcPr/>
          <w:p>
            <w:pPr>
              <w:pStyle w:val="Compact"/>
              <w:jc w:val="right"/>
            </w:pPr>
            <w:r>
              <w:t xml:space="preserve">2.407</w:t>
            </w:r>
          </w:p>
        </w:tc>
        <w:tc>
          <w:tcPr/>
          <w:p>
            <w:pPr>
              <w:pStyle w:val="Compact"/>
              <w:jc w:val="right"/>
            </w:pPr>
            <w:r>
              <w:t xml:space="preserve">−0.134</w:t>
            </w:r>
          </w:p>
        </w:tc>
      </w:tr>
      <w:tr>
        <w:tc>
          <w:tcPr/>
          <w:p>
            <w:pPr>
              <w:pStyle w:val="Compact"/>
              <w:jc w:val="right"/>
            </w:pPr>
            <w:r>
              <w:t xml:space="preserve">80</w:t>
            </w:r>
          </w:p>
        </w:tc>
        <w:tc>
          <w:tcPr/>
          <w:p>
            <w:pPr>
              <w:pStyle w:val="Compact"/>
              <w:jc w:val="right"/>
            </w:pPr>
            <w:r>
              <w:t xml:space="preserve">0.2167</w:t>
            </w:r>
          </w:p>
        </w:tc>
        <w:tc>
          <w:tcPr/>
          <w:p>
            <w:pPr>
              <w:pStyle w:val="Compact"/>
              <w:jc w:val="right"/>
            </w:pPr>
            <m:oMath>
              <m:sSup>
                <m:e>
                  <m:r>
                    <m:t>10</m:t>
                  </m:r>
                </m:e>
                <m:sup>
                  <m:r>
                    <m:t>6</m:t>
                  </m:r>
                </m:sup>
              </m:sSup>
            </m:oMath>
          </w:p>
        </w:tc>
        <w:tc>
          <w:tcPr/>
          <w:p>
            <w:pPr>
              <w:pStyle w:val="Compact"/>
              <w:jc w:val="right"/>
            </w:pPr>
            <w:r>
              <w:t xml:space="preserve">0.6557</w:t>
            </w:r>
          </w:p>
        </w:tc>
        <w:tc>
          <w:tcPr/>
          <w:p>
            <w:pPr>
              <w:pStyle w:val="Compact"/>
              <w:jc w:val="right"/>
            </w:pPr>
            <w:r>
              <w:t xml:space="preserve">1.948</w:t>
            </w:r>
          </w:p>
        </w:tc>
        <w:tc>
          <w:tcPr/>
          <w:p>
            <w:pPr>
              <w:pStyle w:val="Compact"/>
              <w:jc w:val="right"/>
            </w:pPr>
            <w:r>
              <w:t xml:space="preserve">0.7951</w:t>
            </w:r>
          </w:p>
        </w:tc>
        <w:tc>
          <w:tcPr/>
          <w:p>
            <w:pPr>
              <w:pStyle w:val="Compact"/>
              <w:jc w:val="right"/>
            </w:pPr>
            <w:r>
              <w:t xml:space="preserve">0.8114</w:t>
            </w:r>
          </w:p>
        </w:tc>
        <w:tc>
          <w:tcPr/>
          <w:p>
            <w:pPr>
              <w:pStyle w:val="Compact"/>
              <w:jc w:val="right"/>
            </w:pPr>
            <w:r>
              <w:t xml:space="preserve">−2.013</w:t>
            </w:r>
          </w:p>
        </w:tc>
      </w:tr>
      <w:tr>
        <w:tc>
          <w:tcPr/>
          <w:p>
            <w:pPr>
              <w:pStyle w:val="Compact"/>
              <w:jc w:val="right"/>
            </w:pPr>
            <w:r>
              <w:t xml:space="preserve">100</w:t>
            </w:r>
          </w:p>
        </w:tc>
        <w:tc>
          <w:tcPr/>
          <w:p>
            <w:pPr>
              <w:pStyle w:val="Compact"/>
              <w:jc w:val="right"/>
            </w:pPr>
            <w:r>
              <w:t xml:space="preserve">0.1053</w:t>
            </w:r>
          </w:p>
        </w:tc>
        <w:tc>
          <w:tcPr/>
          <w:p>
            <w:pPr>
              <w:pStyle w:val="Compact"/>
              <w:jc w:val="right"/>
            </w:pPr>
            <m:oMath>
              <m:sSup>
                <m:e>
                  <m:r>
                    <m:t>10</m:t>
                  </m:r>
                </m:e>
                <m:sup>
                  <m:r>
                    <m:t>6</m:t>
                  </m:r>
                </m:sup>
              </m:sSup>
            </m:oMath>
          </w:p>
        </w:tc>
        <w:tc>
          <w:tcPr/>
          <w:p>
            <w:pPr>
              <w:pStyle w:val="Compact"/>
              <w:jc w:val="right"/>
            </w:pPr>
            <w:r>
              <w:t xml:space="preserve">0.6510</w:t>
            </w:r>
          </w:p>
        </w:tc>
        <w:tc>
          <w:tcPr/>
          <w:p>
            <w:pPr>
              <w:pStyle w:val="Compact"/>
              <w:jc w:val="right"/>
            </w:pPr>
            <w:r>
              <w:t xml:space="preserve">4.076</w:t>
            </w:r>
          </w:p>
        </w:tc>
        <w:tc>
          <w:tcPr/>
          <w:p>
            <w:pPr>
              <w:pStyle w:val="Compact"/>
              <w:jc w:val="right"/>
            </w:pPr>
            <w:r>
              <w:t xml:space="preserve">1.664</w:t>
            </w:r>
          </w:p>
        </w:tc>
        <w:tc>
          <w:tcPr/>
          <w:p>
            <w:pPr>
              <w:pStyle w:val="Compact"/>
              <w:jc w:val="right"/>
            </w:pPr>
            <w:r>
              <w:t xml:space="preserve">1.670</w:t>
            </w:r>
          </w:p>
        </w:tc>
        <w:tc>
          <w:tcPr/>
          <w:p>
            <w:pPr>
              <w:pStyle w:val="Compact"/>
              <w:jc w:val="right"/>
            </w:pPr>
            <w:r>
              <w:t xml:space="preserve">−0.358</w:t>
            </w:r>
          </w:p>
        </w:tc>
      </w:tr>
      <w:tr>
        <w:tc>
          <w:tcPr/>
          <w:p>
            <w:pPr>
              <w:pStyle w:val="Compact"/>
              <w:jc w:val="right"/>
            </w:pPr>
            <w:r>
              <w:t xml:space="preserve">150</w:t>
            </w:r>
          </w:p>
        </w:tc>
        <w:tc>
          <w:tcPr/>
          <w:p>
            <w:pPr>
              <w:pStyle w:val="Compact"/>
              <w:jc w:val="right"/>
            </w:pPr>
            <w:r>
              <w:t xml:space="preserve">0.2617</w:t>
            </w:r>
          </w:p>
        </w:tc>
        <w:tc>
          <w:tcPr/>
          <w:p>
            <w:pPr>
              <w:pStyle w:val="Compact"/>
              <w:jc w:val="right"/>
            </w:pPr>
            <m:oMath>
              <m:sSup>
                <m:e>
                  <m:r>
                    <m:t>10</m:t>
                  </m:r>
                </m:e>
                <m:sup>
                  <m:r>
                    <m:t>6</m:t>
                  </m:r>
                </m:sup>
              </m:sSup>
            </m:oMath>
          </w:p>
        </w:tc>
        <w:tc>
          <w:tcPr/>
          <w:p>
            <w:pPr>
              <w:pStyle w:val="Compact"/>
              <w:jc w:val="right"/>
            </w:pPr>
            <w:r>
              <w:t xml:space="preserve">0.6502</w:t>
            </w:r>
          </w:p>
        </w:tc>
        <w:tc>
          <w:tcPr/>
          <w:p>
            <w:pPr>
              <w:pStyle w:val="Compact"/>
              <w:jc w:val="right"/>
            </w:pPr>
            <w:r>
              <w:t xml:space="preserve">1.645</w:t>
            </w:r>
          </w:p>
        </w:tc>
        <w:tc>
          <w:tcPr/>
          <w:p>
            <w:pPr>
              <w:pStyle w:val="Compact"/>
              <w:jc w:val="right"/>
            </w:pPr>
            <w:r>
              <w:t xml:space="preserve">0.6714</w:t>
            </w:r>
          </w:p>
        </w:tc>
        <w:tc>
          <w:tcPr/>
          <w:p>
            <w:pPr>
              <w:pStyle w:val="Compact"/>
              <w:jc w:val="right"/>
            </w:pPr>
            <w:r>
              <w:t xml:space="preserve">0.6719</w:t>
            </w:r>
          </w:p>
        </w:tc>
        <w:tc>
          <w:tcPr/>
          <w:p>
            <w:pPr>
              <w:pStyle w:val="Compact"/>
              <w:jc w:val="right"/>
            </w:pPr>
            <w:r>
              <w:t xml:space="preserve">−0.075</w:t>
            </w:r>
          </w:p>
        </w:tc>
      </w:tr>
      <w:tr>
        <w:tc>
          <w:tcPr/>
          <w:p>
            <w:pPr>
              <w:pStyle w:val="Compact"/>
              <w:jc w:val="right"/>
            </w:pPr>
            <w:r>
              <w:t xml:space="preserve">356</w:t>
            </w:r>
          </w:p>
        </w:tc>
        <w:tc>
          <w:tcPr/>
          <w:p>
            <w:pPr>
              <w:pStyle w:val="Compact"/>
              <w:jc w:val="right"/>
            </w:pPr>
            <w:r>
              <w:t xml:space="preserve">1.0762</w:t>
            </w:r>
          </w:p>
        </w:tc>
        <w:tc>
          <w:tcPr/>
          <w:p>
            <w:pPr>
              <w:pStyle w:val="Compact"/>
              <w:jc w:val="right"/>
            </w:pPr>
            <m:oMath>
              <m:sSup>
                <m:e>
                  <m:r>
                    <m:t>10</m:t>
                  </m:r>
                </m:e>
                <m:sup>
                  <m:r>
                    <m:t>6</m:t>
                  </m:r>
                </m:sup>
              </m:sSup>
            </m:oMath>
          </w:p>
        </w:tc>
        <w:tc>
          <w:tcPr/>
          <w:p>
            <w:pPr>
              <w:pStyle w:val="Compact"/>
              <w:jc w:val="right"/>
            </w:pPr>
            <w:r>
              <w:t xml:space="preserve">0.6522</w:t>
            </w:r>
          </w:p>
        </w:tc>
        <w:tc>
          <w:tcPr/>
          <w:p>
            <w:pPr>
              <w:pStyle w:val="Compact"/>
              <w:jc w:val="right"/>
            </w:pPr>
            <w:r>
              <w:t xml:space="preserve">0.3971</w:t>
            </w:r>
          </w:p>
        </w:tc>
        <w:tc>
          <w:tcPr/>
          <w:p>
            <w:pPr>
              <w:pStyle w:val="Compact"/>
              <w:jc w:val="right"/>
            </w:pPr>
            <w:r>
              <w:t xml:space="preserve">0.1621</w:t>
            </w:r>
          </w:p>
        </w:tc>
        <w:tc>
          <w:tcPr/>
          <w:p>
            <w:pPr>
              <w:pStyle w:val="Compact"/>
              <w:jc w:val="right"/>
            </w:pPr>
            <w:r>
              <w:t xml:space="preserve">0.1634</w:t>
            </w:r>
          </w:p>
        </w:tc>
        <w:tc>
          <w:tcPr/>
          <w:p>
            <w:pPr>
              <w:pStyle w:val="Compact"/>
              <w:jc w:val="right"/>
            </w:pPr>
            <w:r>
              <w:t xml:space="preserve">−0.799</w:t>
            </w:r>
          </w:p>
        </w:tc>
      </w:tr>
      <w:tr>
        <w:tc>
          <w:tcPr/>
          <w:p>
            <w:pPr>
              <w:pStyle w:val="Compact"/>
              <w:jc w:val="right"/>
            </w:pPr>
            <w:r>
              <w:t xml:space="preserve">511</w:t>
            </w:r>
          </w:p>
        </w:tc>
        <w:tc>
          <w:tcPr/>
          <w:p>
            <w:pPr>
              <w:pStyle w:val="Compact"/>
              <w:jc w:val="right"/>
            </w:pPr>
            <w:r>
              <w:t xml:space="preserve">1.5309</w:t>
            </w:r>
          </w:p>
        </w:tc>
        <w:tc>
          <w:tcPr/>
          <w:p>
            <w:pPr>
              <w:pStyle w:val="Compact"/>
              <w:jc w:val="right"/>
            </w:pPr>
            <m:oMath>
              <m:sSup>
                <m:e>
                  <m:r>
                    <m:t>10</m:t>
                  </m:r>
                </m:e>
                <m:sup>
                  <m:r>
                    <m:t>6</m:t>
                  </m:r>
                </m:sup>
              </m:sSup>
            </m:oMath>
          </w:p>
        </w:tc>
        <w:tc>
          <w:tcPr/>
          <w:p>
            <w:pPr>
              <w:pStyle w:val="Compact"/>
              <w:jc w:val="right"/>
            </w:pPr>
            <w:r>
              <w:t xml:space="preserve">0.6512</w:t>
            </w:r>
          </w:p>
        </w:tc>
        <w:tc>
          <w:tcPr/>
          <w:p>
            <w:pPr>
              <w:pStyle w:val="Compact"/>
              <w:jc w:val="right"/>
            </w:pPr>
            <w:r>
              <w:t xml:space="preserve">0.2801</w:t>
            </w:r>
          </w:p>
        </w:tc>
        <w:tc>
          <w:tcPr/>
          <w:p>
            <w:pPr>
              <w:pStyle w:val="Compact"/>
              <w:jc w:val="right"/>
            </w:pPr>
            <w:r>
              <w:t xml:space="preserve">0.1143</w:t>
            </w:r>
          </w:p>
        </w:tc>
        <w:tc>
          <w:tcPr/>
          <w:p>
            <w:pPr>
              <w:pStyle w:val="Compact"/>
              <w:jc w:val="right"/>
            </w:pPr>
            <w:r>
              <w:t xml:space="preserve">0.1149</w:t>
            </w:r>
          </w:p>
        </w:tc>
        <w:tc>
          <w:tcPr/>
          <w:p>
            <w:pPr>
              <w:pStyle w:val="Compact"/>
              <w:jc w:val="right"/>
            </w:pPr>
            <w:r>
              <w:t xml:space="preserve">−0.445</w:t>
            </w:r>
          </w:p>
        </w:tc>
      </w:tr>
      <w:tr>
        <w:tc>
          <w:tcPr/>
          <w:p>
            <w:pPr>
              <w:pStyle w:val="Compact"/>
              <w:jc w:val="right"/>
            </w:pPr>
            <w:r>
              <w:t xml:space="preserve">662</w:t>
            </w:r>
          </w:p>
        </w:tc>
        <w:tc>
          <w:tcPr/>
          <w:p>
            <w:pPr>
              <w:pStyle w:val="Compact"/>
              <w:jc w:val="right"/>
            </w:pPr>
            <w:r>
              <w:t xml:space="preserve">1.8605</w:t>
            </w:r>
          </w:p>
        </w:tc>
        <w:tc>
          <w:tcPr/>
          <w:p>
            <w:pPr>
              <w:pStyle w:val="Compact"/>
              <w:jc w:val="right"/>
            </w:pPr>
            <m:oMath>
              <m:sSup>
                <m:e>
                  <m:r>
                    <m:t>10</m:t>
                  </m:r>
                </m:e>
                <m:sup>
                  <m:r>
                    <m:t>6</m:t>
                  </m:r>
                </m:sup>
              </m:sSup>
            </m:oMath>
          </w:p>
        </w:tc>
        <w:tc>
          <w:tcPr/>
          <w:p>
            <w:pPr>
              <w:pStyle w:val="Compact"/>
              <w:jc w:val="right"/>
            </w:pPr>
            <w:r>
              <w:t xml:space="preserve">0.6519</w:t>
            </w:r>
          </w:p>
        </w:tc>
        <w:tc>
          <w:tcPr/>
          <w:p>
            <w:pPr>
              <w:pStyle w:val="Compact"/>
              <w:jc w:val="right"/>
            </w:pPr>
            <w:r>
              <w:t xml:space="preserve">0.2300</w:t>
            </w:r>
          </w:p>
        </w:tc>
        <w:tc>
          <w:tcPr/>
          <w:p>
            <w:pPr>
              <w:pStyle w:val="Compact"/>
              <w:jc w:val="right"/>
            </w:pPr>
            <w:r>
              <w:t xml:space="preserve">0.09386</w:t>
            </w:r>
          </w:p>
        </w:tc>
        <w:tc>
          <w:tcPr/>
          <w:p>
            <w:pPr>
              <w:pStyle w:val="Compact"/>
              <w:jc w:val="right"/>
            </w:pPr>
            <w:r>
              <w:t xml:space="preserve">0.09451</w:t>
            </w:r>
          </w:p>
        </w:tc>
        <w:tc>
          <w:tcPr/>
          <w:p>
            <w:pPr>
              <w:pStyle w:val="Compact"/>
              <w:jc w:val="right"/>
            </w:pPr>
            <w:r>
              <w:t xml:space="preserve">−0.686</w:t>
            </w:r>
          </w:p>
        </w:tc>
      </w:tr>
      <w:tr>
        <w:tc>
          <w:tcPr/>
          <w:p>
            <w:pPr>
              <w:pStyle w:val="Compact"/>
              <w:jc w:val="right"/>
            </w:pPr>
            <w:r>
              <w:t xml:space="preserve">1173</w:t>
            </w:r>
          </w:p>
        </w:tc>
        <w:tc>
          <w:tcPr/>
          <w:p>
            <w:pPr>
              <w:pStyle w:val="Compact"/>
              <w:jc w:val="right"/>
            </w:pPr>
            <w:r>
              <w:t xml:space="preserve">2.6772</w:t>
            </w:r>
          </w:p>
        </w:tc>
        <w:tc>
          <w:tcPr/>
          <w:p>
            <w:pPr>
              <w:pStyle w:val="Compact"/>
              <w:jc w:val="right"/>
            </w:pPr>
            <m:oMath>
              <m:sSup>
                <m:e>
                  <m:r>
                    <m:t>10</m:t>
                  </m:r>
                </m:e>
                <m:sup>
                  <m:r>
                    <m:t>6</m:t>
                  </m:r>
                </m:sup>
              </m:sSup>
            </m:oMath>
          </w:p>
        </w:tc>
        <w:tc>
          <w:tcPr/>
          <w:p>
            <w:pPr>
              <w:pStyle w:val="Compact"/>
              <w:jc w:val="right"/>
            </w:pPr>
            <w:r>
              <w:t xml:space="preserve">0.6515</w:t>
            </w:r>
          </w:p>
        </w:tc>
        <w:tc>
          <w:tcPr/>
          <w:p>
            <w:pPr>
              <w:pStyle w:val="Compact"/>
              <w:jc w:val="right"/>
            </w:pPr>
            <w:r>
              <w:t xml:space="preserve">0.1601</w:t>
            </w:r>
          </w:p>
        </w:tc>
        <w:tc>
          <w:tcPr/>
          <w:p>
            <w:pPr>
              <w:pStyle w:val="Compact"/>
              <w:jc w:val="right"/>
            </w:pPr>
            <w:r>
              <w:t xml:space="preserve">0.06533</w:t>
            </w:r>
          </w:p>
        </w:tc>
        <w:tc>
          <w:tcPr/>
          <w:p>
            <w:pPr>
              <w:pStyle w:val="Compact"/>
              <w:jc w:val="right"/>
            </w:pPr>
            <w:r>
              <w:t xml:space="preserve">0.06568</w:t>
            </w:r>
          </w:p>
        </w:tc>
        <w:tc>
          <w:tcPr/>
          <w:p>
            <w:pPr>
              <w:pStyle w:val="Compact"/>
              <w:jc w:val="right"/>
            </w:pPr>
            <w:r>
              <w:t xml:space="preserve">−0.532</w:t>
            </w:r>
          </w:p>
        </w:tc>
      </w:tr>
      <w:tr>
        <w:tc>
          <w:tcPr/>
          <w:p>
            <w:pPr>
              <w:pStyle w:val="Compact"/>
              <w:jc w:val="right"/>
            </w:pPr>
            <w:r>
              <w:t xml:space="preserve">1332</w:t>
            </w:r>
          </w:p>
        </w:tc>
        <w:tc>
          <w:tcPr/>
          <w:p>
            <w:pPr>
              <w:pStyle w:val="Compact"/>
              <w:jc w:val="right"/>
            </w:pPr>
            <w:r>
              <w:t xml:space="preserve">2.8791</w:t>
            </w:r>
          </w:p>
        </w:tc>
        <w:tc>
          <w:tcPr/>
          <w:p>
            <w:pPr>
              <w:pStyle w:val="Compact"/>
              <w:jc w:val="right"/>
            </w:pPr>
            <m:oMath>
              <m:sSup>
                <m:e>
                  <m:r>
                    <m:t>10</m:t>
                  </m:r>
                </m:e>
                <m:sup>
                  <m:r>
                    <m:t>6</m:t>
                  </m:r>
                </m:sup>
              </m:sSup>
            </m:oMath>
          </w:p>
        </w:tc>
        <w:tc>
          <w:tcPr/>
          <w:p>
            <w:pPr>
              <w:pStyle w:val="Compact"/>
              <w:jc w:val="right"/>
            </w:pPr>
            <w:r>
              <w:t xml:space="preserve">0.6506</w:t>
            </w:r>
          </w:p>
        </w:tc>
        <w:tc>
          <w:tcPr/>
          <w:p>
            <w:pPr>
              <w:pStyle w:val="Compact"/>
              <w:jc w:val="right"/>
            </w:pPr>
            <w:r>
              <w:t xml:space="preserve">0.1493</w:t>
            </w:r>
          </w:p>
        </w:tc>
        <w:tc>
          <w:tcPr/>
          <w:p>
            <w:pPr>
              <w:pStyle w:val="Compact"/>
              <w:jc w:val="right"/>
            </w:pPr>
            <w:r>
              <w:t xml:space="preserve">0.06094</w:t>
            </w:r>
          </w:p>
        </w:tc>
        <w:tc>
          <w:tcPr/>
          <w:p>
            <w:pPr>
              <w:pStyle w:val="Compact"/>
              <w:jc w:val="right"/>
            </w:pPr>
            <w:r>
              <w:t xml:space="preserve">0.06107</w:t>
            </w:r>
          </w:p>
        </w:tc>
        <w:tc>
          <w:tcPr/>
          <w:p>
            <w:pPr>
              <w:pStyle w:val="Compact"/>
              <w:jc w:val="right"/>
            </w:pPr>
            <w:r>
              <w:t xml:space="preserve">−0.220</w:t>
            </w:r>
          </w:p>
        </w:tc>
      </w:tr>
    </w:tbl>
    <w:bookmarkEnd w:id="40"/>
    <w:bookmarkStart w:id="41" w:name="discussion-of-regime-a-accuracy"/>
    <w:p>
      <w:pPr>
        <w:pStyle w:val="Heading4"/>
      </w:pPr>
      <w:r>
        <w:t xml:space="preserve">5.1.3 Discussion of regime A accuracy</w:t>
      </w:r>
    </w:p>
    <w:p>
      <w:pPr>
        <w:pStyle w:val="FirstParagraph"/>
      </w:pPr>
      <w:r>
        <w:t xml:space="preserve">The largest deviation (−2.013% at 80 keV) falls near the Bi K-edge complex. The emlivermore physics list uses EPDL97 photoelectric cross-section data [11], which contains fine edge structure. Small energy-bin misalignment between the Geant4 tabulated values and the XCOM energy grid is the most likely explanation for the elevated deviation at 80 keV. All other energy points deviate by less than 0.9%, consistent with the systematic XCOM agreement documented for regime A in the companion ShieldLab G4 v1.0 scientific report.</w:t>
      </w:r>
    </w:p>
    <w:bookmarkEnd w:id="41"/>
    <w:bookmarkStart w:id="45" w:name="buildup-observable-regime-a-30wt"/>
    <w:p>
      <w:pPr>
        <w:pStyle w:val="Heading4"/>
      </w:pPr>
      <w:r>
        <w:t xml:space="preserve">5.1.4 Buildup observable (regime A 30wt)</w:t>
      </w:r>
    </w:p>
    <w:p>
      <w:pPr>
        <w:pStyle w:val="FirstParagraph"/>
      </w:pPr>
      <w:r>
        <w:t xml:space="preserve">The high-statistics 30 wt% run also produced downstream spectrum data:</w:t>
      </w:r>
    </w:p>
    <w:p>
      <w:pPr>
        <w:pStyle w:val="Compact"/>
        <w:numPr>
          <w:ilvl w:val="0"/>
          <w:numId w:val="1005"/>
        </w:numPr>
      </w:pPr>
      <w:r>
        <w:t xml:space="preserve">At 100 keV, buildup observable:</w:t>
      </w:r>
      <w:r>
        <w:t xml:space="preserve"> </w:t>
      </w:r>
      <w:r>
        <w:rPr>
          <w:b/>
          <w:bCs/>
        </w:rPr>
        <w:t xml:space="preserve">1.1363</w:t>
      </w:r>
      <w:r>
        <w:t xml:space="preserve"> </w:t>
      </w:r>
      <w:r>
        <w:t xml:space="preserve">(count),</w:t>
      </w:r>
      <w:r>
        <w:t xml:space="preserve"> </w:t>
      </w:r>
      <w:r>
        <w:rPr>
          <w:b/>
          <w:bCs/>
        </w:rPr>
        <w:t xml:space="preserve">1.1075</w:t>
      </w:r>
      <w:r>
        <w:t xml:space="preserve"> </w:t>
      </w:r>
      <w:r>
        <w:t xml:space="preserve">(energy).</w:t>
      </w:r>
    </w:p>
    <w:p>
      <w:pPr>
        <w:pStyle w:val="Compact"/>
        <w:numPr>
          <w:ilvl w:val="0"/>
          <w:numId w:val="1005"/>
        </w:numPr>
      </w:pPr>
      <w:r>
        <w:t xml:space="preserve">At 150 keV, buildup observable:</w:t>
      </w:r>
      <w:r>
        <w:t xml:space="preserve"> </w:t>
      </w:r>
      <w:r>
        <w:rPr>
          <w:b/>
          <w:bCs/>
        </w:rPr>
        <w:t xml:space="preserve">1.0992</w:t>
      </w:r>
      <w:r>
        <w:t xml:space="preserve"> </w:t>
      </w:r>
      <w:r>
        <w:t xml:space="preserve">(count),</w:t>
      </w:r>
      <w:r>
        <w:t xml:space="preserve"> </w:t>
      </w:r>
      <w:r>
        <w:rPr>
          <w:b/>
          <w:bCs/>
        </w:rPr>
        <w:t xml:space="preserve">1.0522</w:t>
      </w:r>
      <w:r>
        <w:t xml:space="preserve"> </w:t>
      </w:r>
      <w:r>
        <w:t xml:space="preserve">(energy).</w:t>
      </w:r>
    </w:p>
    <w:p>
      <w:pPr>
        <w:pStyle w:val="Compact"/>
        <w:numPr>
          <w:ilvl w:val="0"/>
          <w:numId w:val="1005"/>
        </w:numPr>
      </w:pPr>
      <w:r>
        <w:t xml:space="preserve">At 662 keV, buildup observable:</w:t>
      </w:r>
      <w:r>
        <w:t xml:space="preserve"> </w:t>
      </w:r>
      <w:r>
        <w:rPr>
          <w:b/>
          <w:bCs/>
        </w:rPr>
        <w:t xml:space="preserve">1.0115</w:t>
      </w:r>
      <w:r>
        <w:t xml:space="preserve"> </w:t>
      </w:r>
      <w:r>
        <w:t xml:space="preserve">(count),</w:t>
      </w:r>
      <w:r>
        <w:t xml:space="preserve"> </w:t>
      </w:r>
      <w:r>
        <w:rPr>
          <w:b/>
          <w:bCs/>
        </w:rPr>
        <w:t xml:space="preserve">1.0015</w:t>
      </w:r>
      <w:r>
        <w:t xml:space="preserve"> </w:t>
      </w:r>
      <w:r>
        <w:t xml:space="preserve">(energy).</w:t>
      </w:r>
    </w:p>
    <w:p>
      <w:pPr>
        <w:pStyle w:val="Compact"/>
        <w:numPr>
          <w:ilvl w:val="0"/>
          <w:numId w:val="1005"/>
        </w:numPr>
      </w:pPr>
      <w:r>
        <w:t xml:space="preserve">At 1332 keV, buildup observable:</w:t>
      </w:r>
      <w:r>
        <w:t xml:space="preserve"> </w:t>
      </w:r>
      <w:r>
        <w:rPr>
          <w:b/>
          <w:bCs/>
        </w:rPr>
        <w:t xml:space="preserve">1.0085</w:t>
      </w:r>
      <w:r>
        <w:t xml:space="preserve"> </w:t>
      </w:r>
      <w:r>
        <w:t xml:space="preserve">(count),</w:t>
      </w:r>
      <w:r>
        <w:t xml:space="preserve"> </w:t>
      </w:r>
      <w:r>
        <w:rPr>
          <w:b/>
          <w:bCs/>
        </w:rPr>
        <w:t xml:space="preserve">1.0012</w:t>
      </w:r>
      <w:r>
        <w:t xml:space="preserve"> </w:t>
      </w:r>
      <w:r>
        <w:t xml:space="preserve">(energy).</w:t>
      </w:r>
    </w:p>
    <w:p>
      <w:pPr>
        <w:pStyle w:val="FirstParagraph"/>
      </w:pPr>
      <w:r>
        <w:t xml:space="preserve">Figure 3 makes this secondary-field behaviour visible.</w:t>
      </w:r>
    </w:p>
    <w:p>
      <w:pPr>
        <w:pStyle w:val="CaptionedFigure"/>
      </w:pPr>
      <w:r>
        <w:drawing>
          <wp:inline>
            <wp:extent cx="5334000" cy="2155847"/>
            <wp:effectExtent b="0" l="0" r="0" t="0"/>
            <wp:docPr descr="Figure 3. Regime A downstream observables. (A) Monte Carlo buildup observables from count-based and energy-based estimators versus incident photon energy. (B) Downstream gamma spectra for representative incident energies, showing the secondary-field structure behind the buildup trend." title="" id="43" name="Picture"/>
            <a:graphic>
              <a:graphicData uri="http://schemas.openxmlformats.org/drawingml/2006/picture">
                <pic:pic>
                  <pic:nvPicPr>
                    <pic:cNvPr descr="../../../results/paper3/figures/paper3_fig3_buildup_and_spectrum.png" id="44" name="Picture"/>
                    <pic:cNvPicPr>
                      <a:picLocks noChangeArrowheads="1" noChangeAspect="1"/>
                    </pic:cNvPicPr>
                  </pic:nvPicPr>
                  <pic:blipFill>
                    <a:blip r:embed="rId42"/>
                    <a:stretch>
                      <a:fillRect/>
                    </a:stretch>
                  </pic:blipFill>
                  <pic:spPr bwMode="auto">
                    <a:xfrm>
                      <a:off x="0" y="0"/>
                      <a:ext cx="5334000" cy="2155847"/>
                    </a:xfrm>
                    <a:prstGeom prst="rect">
                      <a:avLst/>
                    </a:prstGeom>
                    <a:noFill/>
                    <a:ln w="9525">
                      <a:noFill/>
                      <a:headEnd/>
                      <a:tailEnd/>
                    </a:ln>
                  </pic:spPr>
                </pic:pic>
              </a:graphicData>
            </a:graphic>
          </wp:inline>
        </w:drawing>
      </w:r>
    </w:p>
    <w:p>
      <w:pPr>
        <w:pStyle w:val="ImageCaption"/>
      </w:pPr>
      <w:r>
        <w:t xml:space="preserve">Figure 3. Regime A downstream observables. (A) Monte Carlo buildup observables from count-based and energy-based estimators versus incident photon energy. (B) Downstream gamma spectra for representative incident energies, showing the secondary-field structure behind the buildup trend.</w:t>
      </w:r>
    </w:p>
    <w:bookmarkEnd w:id="45"/>
    <w:bookmarkStart w:id="46" w:name="Xf121db4894fa69f805128360fbc38a62ba24419"/>
    <w:p>
      <w:pPr>
        <w:pStyle w:val="Heading4"/>
      </w:pPr>
      <w:r>
        <w:t xml:space="preserve">5.1.5 Regime A(phi0p189) — Cross-Regime Companion Run</w:t>
      </w:r>
    </w:p>
    <w:p>
      <w:pPr>
        <w:pStyle w:val="FirstParagraph"/>
      </w:pPr>
      <w:r>
        <w:rPr>
          <w:b/>
          <w:bCs/>
        </w:rPr>
        <w:t xml:space="preserve">Run provenance:</w:t>
      </w:r>
      <w:r>
        <w:t xml:space="preserve"> </w:t>
      </w:r>
      <w:r>
        <w:t xml:space="preserve">study file</w:t>
      </w:r>
      <w:r>
        <w:t xml:space="preserve"> </w:t>
      </w:r>
      <w:r>
        <w:rPr>
          <w:rStyle w:val="VerbatimChar"/>
        </w:rPr>
        <w:t xml:space="preserve">configs/studies/paper3_hdpe_bi2o3_regime_a_phi0p189.json</w:t>
      </w:r>
      <w:r>
        <w:t xml:space="preserve">, physics list</w:t>
      </w:r>
      <w:r>
        <w:t xml:space="preserve"> </w:t>
      </w:r>
      <w:r>
        <w:rPr>
          <w:rStyle w:val="VerbatimChar"/>
        </w:rPr>
        <w:t xml:space="preserve">emlivermore</w:t>
      </w:r>
      <w:r>
        <w:t xml:space="preserve">,</w:t>
      </w:r>
      <w:r>
        <w:t xml:space="preserve"> </w:t>
      </w:r>
      <m:oMath>
        <m:sSup>
          <m:e>
            <m:r>
              <m:t>10</m:t>
            </m:r>
          </m:e>
          <m:sup>
            <m:r>
              <m:t>6</m:t>
            </m:r>
          </m:sup>
        </m:sSup>
      </m:oMath>
      <w:r>
        <w:t xml:space="preserve"> </w:t>
      </w:r>
      <w:r>
        <w:t xml:space="preserve">histories per energy, Geant4 11.4, result directory</w:t>
      </w:r>
      <w:r>
        <w:t xml:space="preserve"> </w:t>
      </w:r>
      <w:r>
        <w:rPr>
          <w:rStyle w:val="VerbatimChar"/>
        </w:rPr>
        <w:t xml:space="preserve">results/paper3/regime_a_hdpe_bi2o3_phi0p189/</w:t>
      </w:r>
      <w:r>
        <w:t xml:space="preserve">. All 10 energies complete.</w:t>
      </w:r>
    </w:p>
    <w:p>
      <w:pPr>
        <w:pStyle w:val="BodyText"/>
      </w:pPr>
      <w:r>
        <w:rPr>
          <w:b/>
          <w:bCs/>
        </w:rPr>
        <w:t xml:space="preserve">Material:</w:t>
      </w:r>
      <w:r>
        <w:t xml:space="preserve"> </w:t>
      </w:r>
      <w:r>
        <w:t xml:space="preserve">P3_HDPE_Bi2O3_phi0p189 — HDPE (31.4 wt%) + Bi₂O₃ (68.6 wt%) at</w:t>
      </w:r>
      <w:r>
        <w:t xml:space="preserve"> </w:t>
      </w:r>
      <m:oMath>
        <m:r>
          <m:t>ρ</m:t>
        </m:r>
        <m:r>
          <m:rPr>
            <m:sty m:val="p"/>
          </m:rPr>
          <m:t>=</m:t>
        </m:r>
        <m:r>
          <m:t>2.452</m:t>
        </m:r>
      </m:oMath>
      <w:r>
        <w:t xml:space="preserve"> </w:t>
      </w:r>
      <w:r>
        <w:t xml:space="preserve">g cm</w:t>
      </w:r>
      <m:oMath>
        <m:sSup>
          <m:e>
            <m:r>
              <m:t>​</m:t>
            </m:r>
          </m:e>
          <m:sup>
            <m:r>
              <m:rPr>
                <m:sty m:val="p"/>
              </m:rPr>
              <m:t>−</m:t>
            </m:r>
            <m:r>
              <m:t>3</m:t>
            </m:r>
          </m:sup>
        </m:sSup>
      </m:oMath>
      <w:r>
        <w:t xml:space="preserve">.</w:t>
      </w:r>
    </w:p>
    <w:p>
      <w:pPr>
        <w:pStyle w:val="BodyText"/>
      </w:pPr>
      <w:r>
        <w:rPr>
          <w:b/>
          <w:bCs/>
        </w:rPr>
        <w:t xml:space="preserve">Table 1b.</w:t>
      </w:r>
      <w:r>
        <w:t xml:space="preserve"> </w:t>
      </w:r>
      <w:r>
        <w:t xml:space="preserve">Regime A(phi0p189) mass attenuation coefficients for HDPE/Bi₂O₃ φ = 0.189 (68.6 wt%,</w:t>
      </w:r>
      <w:r>
        <w:t xml:space="preserve"> </w:t>
      </w:r>
      <m:oMath>
        <m:r>
          <m:t>ρ</m:t>
        </m:r>
        <m:r>
          <m:rPr>
            <m:sty m:val="p"/>
          </m:rPr>
          <m:t>=</m:t>
        </m:r>
        <m:r>
          <m:t>2.452</m:t>
        </m:r>
      </m:oMath>
      <w:r>
        <w:t xml:space="preserve"> </w:t>
      </w:r>
      <w:r>
        <w:t xml:space="preserve">g cm</w:t>
      </w:r>
      <m:oMath>
        <m:sSup>
          <m:e>
            <m:r>
              <m:t>​</m:t>
            </m:r>
          </m:e>
          <m:sup>
            <m:r>
              <m:rPr>
                <m:sty m:val="p"/>
              </m:rPr>
              <m:t>−</m:t>
            </m:r>
            <m:r>
              <m:t>3</m:t>
            </m:r>
          </m:sup>
        </m:sSup>
      </m:oMath>
      <w:r>
        <w:t xml:space="preserve">) vs NIST XCOM. Benchmark:</w:t>
      </w:r>
      <w:r>
        <w:t xml:space="preserve"> </w:t>
      </w:r>
      <w:r>
        <w:rPr>
          <w:b/>
          <w:bCs/>
        </w:rPr>
        <w:t xml:space="preserve">passed</w:t>
      </w:r>
      <w:r>
        <w:t xml:space="preserve"> </w:t>
      </w:r>
      <w:r>
        <w:t xml:space="preserve">(mean |Δ| = 0.72%, max |Δ| = 2.45%).</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m:oMath>
              <m:r>
                <m:t>E</m:t>
              </m:r>
            </m:oMath>
            <w:r>
              <w:t xml:space="preserve"> </w:t>
            </w:r>
            <w:r>
              <w:t xml:space="preserve">(keV)</w:t>
            </w:r>
          </w:p>
        </w:tc>
        <w:tc>
          <w:tcPr/>
          <w:p>
            <w:pPr>
              <w:pStyle w:val="Compact"/>
              <w:jc w:val="right"/>
            </w:pPr>
            <m:oMath>
              <m:r>
                <m:t>T</m:t>
              </m:r>
            </m:oMath>
          </w:p>
        </w:tc>
        <w:tc>
          <w:tcPr/>
          <w:p>
            <w:pPr>
              <w:pStyle w:val="Compact"/>
              <w:jc w:val="right"/>
            </w:pPr>
            <m:oMath>
              <m:sSub>
                <m:e>
                  <m:r>
                    <m:t>μ</m:t>
                  </m:r>
                </m:e>
                <m:sub>
                  <m:r>
                    <m:rPr>
                      <m:nor/>
                      <m:sty m:val="p"/>
                    </m:rPr>
                    <m:t>sim</m:t>
                  </m:r>
                </m:sub>
              </m:sSub>
            </m:oMath>
            <w:r>
              <w:t xml:space="preserve"> </w:t>
            </w:r>
            <w:r>
              <w:t xml:space="preserve">(cm</w:t>
            </w:r>
            <m:oMath>
              <m:sSup>
                <m:e>
                  <m:r>
                    <m:t>​</m:t>
                  </m:r>
                </m:e>
                <m:sup>
                  <m:r>
                    <m:rPr>
                      <m:sty m:val="p"/>
                    </m:rPr>
                    <m:t>−</m:t>
                  </m:r>
                  <m:r>
                    <m:t>1</m:t>
                  </m:r>
                </m:sup>
              </m:sSup>
            </m:oMath>
            <w:r>
              <w:t xml:space="preserve">)</w:t>
            </w:r>
          </w:p>
        </w:tc>
        <w:tc>
          <w:tcPr/>
          <w:p>
            <w:pPr>
              <w:pStyle w:val="Compact"/>
              <w:jc w:val="right"/>
            </w:pPr>
            <m:oMath>
              <m:r>
                <m:rPr>
                  <m:sty m:val="p"/>
                </m:rPr>
                <m:t>(</m:t>
              </m:r>
              <m:r>
                <m:t>μ</m:t>
              </m:r>
              <m:r>
                <m:rPr>
                  <m:sty m:val="p"/>
                </m:rPr>
                <m:t>/</m:t>
              </m:r>
              <m:r>
                <m:t>ρ</m:t>
              </m:r>
              <m:sSub>
                <m:e>
                  <m:r>
                    <m:rPr>
                      <m:sty m:val="p"/>
                    </m:rPr>
                    <m:t>)</m:t>
                  </m:r>
                </m:e>
                <m:sub>
                  <m:r>
                    <m:rPr>
                      <m:nor/>
                      <m:sty m:val="p"/>
                    </m:rPr>
                    <m:t>sim</m:t>
                  </m:r>
                </m:sub>
              </m:sSub>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w:t>
            </w:r>
          </w:p>
        </w:tc>
        <w:tc>
          <w:tcPr/>
          <w:p>
            <w:pPr>
              <w:pStyle w:val="Compact"/>
              <w:jc w:val="right"/>
            </w:pPr>
            <m:oMath>
              <m:r>
                <m:rPr>
                  <m:sty m:val="p"/>
                </m:rPr>
                <m:t>(</m:t>
              </m:r>
              <m:r>
                <m:t>μ</m:t>
              </m:r>
              <m:r>
                <m:rPr>
                  <m:sty m:val="p"/>
                </m:rPr>
                <m:t>/</m:t>
              </m:r>
              <m:r>
                <m:t>ρ</m:t>
              </m:r>
              <m:sSub>
                <m:e>
                  <m:r>
                    <m:rPr>
                      <m:sty m:val="p"/>
                    </m:rPr>
                    <m:t>)</m:t>
                  </m:r>
                </m:e>
                <m:sub>
                  <m:r>
                    <m:rPr>
                      <m:nor/>
                      <m:sty m:val="p"/>
                    </m:rPr>
                    <m:t>XCOM</m:t>
                  </m:r>
                </m:sub>
              </m:sSub>
            </m:oMath>
            <w:r>
              <w:t xml:space="preserve"> </w:t>
            </w:r>
            <w:r>
              <w:t xml:space="preserve">(68.6 wt%)</w:t>
            </w:r>
          </w:p>
        </w:tc>
        <w:tc>
          <w:tcPr/>
          <w:p>
            <w:pPr>
              <w:pStyle w:val="Compact"/>
              <w:jc w:val="right"/>
            </w:pPr>
            <m:oMath>
              <m:r>
                <m:rPr>
                  <m:sty m:val="p"/>
                </m:rPr>
                <m:t>Δ</m:t>
              </m:r>
            </m:oMath>
            <w:r>
              <w:t xml:space="preserve"> </w:t>
            </w:r>
            <w:r>
              <w:t xml:space="preserve">(%)</w:t>
            </w:r>
          </w:p>
        </w:tc>
      </w:tr>
      <w:tr>
        <w:tc>
          <w:tcPr/>
          <w:p>
            <w:pPr>
              <w:pStyle w:val="Compact"/>
              <w:jc w:val="right"/>
            </w:pPr>
            <w:r>
              <w:t xml:space="preserve">30</w:t>
            </w:r>
          </w:p>
        </w:tc>
        <w:tc>
          <w:tcPr/>
          <w:p>
            <w:pPr>
              <w:pStyle w:val="Compact"/>
              <w:jc w:val="right"/>
            </w:pPr>
            <w:r>
              <w:t xml:space="preserve">0.649496</w:t>
            </w:r>
          </w:p>
        </w:tc>
        <w:tc>
          <w:tcPr/>
          <w:p>
            <w:pPr>
              <w:pStyle w:val="Compact"/>
              <w:jc w:val="right"/>
            </w:pPr>
            <w:r>
              <w:t xml:space="preserve">47.9176</w:t>
            </w:r>
          </w:p>
        </w:tc>
        <w:tc>
          <w:tcPr/>
          <w:p>
            <w:pPr>
              <w:pStyle w:val="Compact"/>
              <w:jc w:val="right"/>
            </w:pPr>
            <w:r>
              <w:t xml:space="preserve">19.542</w:t>
            </w:r>
          </w:p>
        </w:tc>
        <w:tc>
          <w:tcPr/>
          <w:p>
            <w:pPr>
              <w:pStyle w:val="Compact"/>
              <w:jc w:val="right"/>
            </w:pPr>
            <w:r>
              <w:t xml:space="preserve">19.507</w:t>
            </w:r>
          </w:p>
        </w:tc>
        <w:tc>
          <w:tcPr/>
          <w:p>
            <w:pPr>
              <w:pStyle w:val="Compact"/>
              <w:jc w:val="right"/>
            </w:pPr>
            <w:r>
              <w:t xml:space="preserve">+0.18</w:t>
            </w:r>
          </w:p>
        </w:tc>
      </w:tr>
      <w:tr>
        <w:tc>
          <w:tcPr/>
          <w:p>
            <w:pPr>
              <w:pStyle w:val="Compact"/>
              <w:jc w:val="right"/>
            </w:pPr>
            <w:r>
              <w:t xml:space="preserve">50</w:t>
            </w:r>
          </w:p>
        </w:tc>
        <w:tc>
          <w:tcPr/>
          <w:p>
            <w:pPr>
              <w:pStyle w:val="Compact"/>
              <w:jc w:val="right"/>
            </w:pPr>
            <w:r>
              <w:t xml:space="preserve">0.650992</w:t>
            </w:r>
          </w:p>
        </w:tc>
        <w:tc>
          <w:tcPr/>
          <w:p>
            <w:pPr>
              <w:pStyle w:val="Compact"/>
              <w:jc w:val="right"/>
            </w:pPr>
            <w:r>
              <w:t xml:space="preserve">12.7942</w:t>
            </w:r>
          </w:p>
        </w:tc>
        <w:tc>
          <w:tcPr/>
          <w:p>
            <w:pPr>
              <w:pStyle w:val="Compact"/>
              <w:jc w:val="right"/>
            </w:pPr>
            <w:r>
              <w:t xml:space="preserve">5.218</w:t>
            </w:r>
          </w:p>
        </w:tc>
        <w:tc>
          <w:tcPr/>
          <w:p>
            <w:pPr>
              <w:pStyle w:val="Compact"/>
              <w:jc w:val="right"/>
            </w:pPr>
            <w:r>
              <w:t xml:space="preserve">5.236</w:t>
            </w:r>
          </w:p>
        </w:tc>
        <w:tc>
          <w:tcPr/>
          <w:p>
            <w:pPr>
              <w:pStyle w:val="Compact"/>
              <w:jc w:val="right"/>
            </w:pPr>
            <w:r>
              <w:t xml:space="preserve">−0.35</w:t>
            </w:r>
          </w:p>
        </w:tc>
      </w:tr>
      <w:tr>
        <w:tc>
          <w:tcPr/>
          <w:p>
            <w:pPr>
              <w:pStyle w:val="Compact"/>
              <w:jc w:val="right"/>
            </w:pPr>
            <w:r>
              <w:t xml:space="preserve">80</w:t>
            </w:r>
          </w:p>
        </w:tc>
        <w:tc>
          <w:tcPr/>
          <w:p>
            <w:pPr>
              <w:pStyle w:val="Compact"/>
              <w:jc w:val="right"/>
            </w:pPr>
            <w:r>
              <w:t xml:space="preserve">0.656895</w:t>
            </w:r>
          </w:p>
        </w:tc>
        <w:tc>
          <w:tcPr/>
          <w:p>
            <w:pPr>
              <w:pStyle w:val="Compact"/>
              <w:jc w:val="right"/>
            </w:pPr>
            <w:r>
              <w:t xml:space="preserve">3.87727</w:t>
            </w:r>
          </w:p>
        </w:tc>
        <w:tc>
          <w:tcPr/>
          <w:p>
            <w:pPr>
              <w:pStyle w:val="Compact"/>
              <w:jc w:val="right"/>
            </w:pPr>
            <w:r>
              <w:t xml:space="preserve">1.581</w:t>
            </w:r>
          </w:p>
        </w:tc>
        <w:tc>
          <w:tcPr/>
          <w:p>
            <w:pPr>
              <w:pStyle w:val="Compact"/>
              <w:jc w:val="right"/>
            </w:pPr>
            <w:r>
              <w:t xml:space="preserve">1.621</w:t>
            </w:r>
          </w:p>
        </w:tc>
        <w:tc>
          <w:tcPr/>
          <w:p>
            <w:pPr>
              <w:pStyle w:val="Compact"/>
              <w:jc w:val="right"/>
            </w:pPr>
            <w:r>
              <w:t xml:space="preserve">−2.45</w:t>
            </w:r>
          </w:p>
        </w:tc>
      </w:tr>
      <w:tr>
        <w:tc>
          <w:tcPr/>
          <w:p>
            <w:pPr>
              <w:pStyle w:val="Compact"/>
              <w:jc w:val="right"/>
            </w:pPr>
            <w:r>
              <w:t xml:space="preserve">100</w:t>
            </w:r>
          </w:p>
        </w:tc>
        <w:tc>
          <w:tcPr/>
          <w:p>
            <w:pPr>
              <w:pStyle w:val="Compact"/>
              <w:jc w:val="right"/>
            </w:pPr>
            <w:r>
              <w:t xml:space="preserve">0.651467</w:t>
            </w:r>
          </w:p>
        </w:tc>
        <w:tc>
          <w:tcPr/>
          <w:p>
            <w:pPr>
              <w:pStyle w:val="Compact"/>
              <w:jc w:val="right"/>
            </w:pPr>
            <w:r>
              <w:t xml:space="preserve">8.77216</w:t>
            </w:r>
          </w:p>
        </w:tc>
        <w:tc>
          <w:tcPr/>
          <w:p>
            <w:pPr>
              <w:pStyle w:val="Compact"/>
              <w:jc w:val="right"/>
            </w:pPr>
            <w:r>
              <w:t xml:space="preserve">3.578</w:t>
            </w:r>
          </w:p>
        </w:tc>
        <w:tc>
          <w:tcPr/>
          <w:p>
            <w:pPr>
              <w:pStyle w:val="Compact"/>
              <w:jc w:val="right"/>
            </w:pPr>
            <w:r>
              <w:t xml:space="preserve">3.596</w:t>
            </w:r>
          </w:p>
        </w:tc>
        <w:tc>
          <w:tcPr/>
          <w:p>
            <w:pPr>
              <w:pStyle w:val="Compact"/>
              <w:jc w:val="right"/>
            </w:pPr>
            <w:r>
              <w:t xml:space="preserve">−0.52</w:t>
            </w:r>
          </w:p>
        </w:tc>
      </w:tr>
      <w:tr>
        <w:tc>
          <w:tcPr/>
          <w:p>
            <w:pPr>
              <w:pStyle w:val="Compact"/>
              <w:jc w:val="right"/>
            </w:pPr>
            <w:r>
              <w:t xml:space="preserve">150</w:t>
            </w:r>
          </w:p>
        </w:tc>
        <w:tc>
          <w:tcPr/>
          <w:p>
            <w:pPr>
              <w:pStyle w:val="Compact"/>
              <w:jc w:val="right"/>
            </w:pPr>
            <w:r>
              <w:t xml:space="preserve">0.650565</w:t>
            </w:r>
          </w:p>
        </w:tc>
        <w:tc>
          <w:tcPr/>
          <w:p>
            <w:pPr>
              <w:pStyle w:val="Compact"/>
              <w:jc w:val="right"/>
            </w:pPr>
            <w:r>
              <w:t xml:space="preserve">3.27643</w:t>
            </w:r>
          </w:p>
        </w:tc>
        <w:tc>
          <w:tcPr/>
          <w:p>
            <w:pPr>
              <w:pStyle w:val="Compact"/>
              <w:jc w:val="right"/>
            </w:pPr>
            <w:r>
              <w:t xml:space="preserve">1.336</w:t>
            </w:r>
          </w:p>
        </w:tc>
        <w:tc>
          <w:tcPr/>
          <w:p>
            <w:pPr>
              <w:pStyle w:val="Compact"/>
              <w:jc w:val="right"/>
            </w:pPr>
            <w:r>
              <w:t xml:space="preserve">1.339</w:t>
            </w:r>
          </w:p>
        </w:tc>
        <w:tc>
          <w:tcPr/>
          <w:p>
            <w:pPr>
              <w:pStyle w:val="Compact"/>
              <w:jc w:val="right"/>
            </w:pPr>
            <w:r>
              <w:t xml:space="preserve">−0.20</w:t>
            </w:r>
          </w:p>
        </w:tc>
      </w:tr>
      <w:tr>
        <w:tc>
          <w:tcPr/>
          <w:p>
            <w:pPr>
              <w:pStyle w:val="Compact"/>
              <w:jc w:val="right"/>
            </w:pPr>
            <w:r>
              <w:t xml:space="preserve">356</w:t>
            </w:r>
          </w:p>
        </w:tc>
        <w:tc>
          <w:tcPr/>
          <w:p>
            <w:pPr>
              <w:pStyle w:val="Compact"/>
              <w:jc w:val="right"/>
            </w:pPr>
            <w:r>
              <w:t xml:space="preserve">0.652574</w:t>
            </w:r>
          </w:p>
        </w:tc>
        <w:tc>
          <w:tcPr/>
          <w:p>
            <w:pPr>
              <w:pStyle w:val="Compact"/>
              <w:jc w:val="right"/>
            </w:pPr>
            <w:r>
              <w:t xml:space="preserve">0.55156</w:t>
            </w:r>
          </w:p>
        </w:tc>
        <w:tc>
          <w:tcPr/>
          <w:p>
            <w:pPr>
              <w:pStyle w:val="Compact"/>
              <w:jc w:val="right"/>
            </w:pPr>
            <w:r>
              <w:t xml:space="preserve">0.2249</w:t>
            </w:r>
          </w:p>
        </w:tc>
        <w:tc>
          <w:tcPr/>
          <w:p>
            <w:pPr>
              <w:pStyle w:val="Compact"/>
              <w:jc w:val="right"/>
            </w:pPr>
            <w:r>
              <w:t xml:space="preserve">0.2270</w:t>
            </w:r>
          </w:p>
        </w:tc>
        <w:tc>
          <w:tcPr/>
          <w:p>
            <w:pPr>
              <w:pStyle w:val="Compact"/>
              <w:jc w:val="right"/>
            </w:pPr>
            <w:r>
              <w:t xml:space="preserve">−0.92</w:t>
            </w:r>
          </w:p>
        </w:tc>
      </w:tr>
      <w:tr>
        <w:tc>
          <w:tcPr/>
          <w:p>
            <w:pPr>
              <w:pStyle w:val="Compact"/>
              <w:jc w:val="right"/>
            </w:pPr>
            <w:r>
              <w:t xml:space="preserve">511</w:t>
            </w:r>
          </w:p>
        </w:tc>
        <w:tc>
          <w:tcPr/>
          <w:p>
            <w:pPr>
              <w:pStyle w:val="Compact"/>
              <w:jc w:val="right"/>
            </w:pPr>
            <w:r>
              <w:t xml:space="preserve">0.651168</w:t>
            </w:r>
          </w:p>
        </w:tc>
        <w:tc>
          <w:tcPr/>
          <w:p>
            <w:pPr>
              <w:pStyle w:val="Compact"/>
              <w:jc w:val="right"/>
            </w:pPr>
            <w:r>
              <w:t xml:space="preserve">0.33170</w:t>
            </w:r>
          </w:p>
        </w:tc>
        <w:tc>
          <w:tcPr/>
          <w:p>
            <w:pPr>
              <w:pStyle w:val="Compact"/>
              <w:jc w:val="right"/>
            </w:pPr>
            <w:r>
              <w:t xml:space="preserve">0.1353</w:t>
            </w:r>
          </w:p>
        </w:tc>
        <w:tc>
          <w:tcPr/>
          <w:p>
            <w:pPr>
              <w:pStyle w:val="Compact"/>
              <w:jc w:val="right"/>
            </w:pPr>
            <w:r>
              <w:t xml:space="preserve">0.1358</w:t>
            </w:r>
          </w:p>
        </w:tc>
        <w:tc>
          <w:tcPr/>
          <w:p>
            <w:pPr>
              <w:pStyle w:val="Compact"/>
              <w:jc w:val="right"/>
            </w:pPr>
            <w:r>
              <w:t xml:space="preserve">−0.42</w:t>
            </w:r>
          </w:p>
        </w:tc>
      </w:tr>
      <w:tr>
        <w:tc>
          <w:tcPr/>
          <w:p>
            <w:pPr>
              <w:pStyle w:val="Compact"/>
              <w:jc w:val="right"/>
            </w:pPr>
            <w:r>
              <w:t xml:space="preserve">662</w:t>
            </w:r>
          </w:p>
        </w:tc>
        <w:tc>
          <w:tcPr/>
          <w:p>
            <w:pPr>
              <w:pStyle w:val="Compact"/>
              <w:jc w:val="right"/>
            </w:pPr>
            <w:r>
              <w:t xml:space="preserve">0.65216</w:t>
            </w:r>
          </w:p>
        </w:tc>
        <w:tc>
          <w:tcPr/>
          <w:p>
            <w:pPr>
              <w:pStyle w:val="Compact"/>
              <w:jc w:val="right"/>
            </w:pPr>
            <w:r>
              <w:t xml:space="preserve">0.25037</w:t>
            </w:r>
          </w:p>
        </w:tc>
        <w:tc>
          <w:tcPr/>
          <w:p>
            <w:pPr>
              <w:pStyle w:val="Compact"/>
              <w:jc w:val="right"/>
            </w:pPr>
            <w:r>
              <w:t xml:space="preserve">0.1021</w:t>
            </w:r>
          </w:p>
        </w:tc>
        <w:tc>
          <w:tcPr/>
          <w:p>
            <w:pPr>
              <w:pStyle w:val="Compact"/>
              <w:jc w:val="right"/>
            </w:pPr>
            <w:r>
              <w:t xml:space="preserve">0.1029</w:t>
            </w:r>
          </w:p>
        </w:tc>
        <w:tc>
          <w:tcPr/>
          <w:p>
            <w:pPr>
              <w:pStyle w:val="Compact"/>
              <w:jc w:val="right"/>
            </w:pPr>
            <w:r>
              <w:t xml:space="preserve">−0.77</w:t>
            </w:r>
          </w:p>
        </w:tc>
      </w:tr>
      <w:tr>
        <w:tc>
          <w:tcPr/>
          <w:p>
            <w:pPr>
              <w:pStyle w:val="Compact"/>
              <w:jc w:val="right"/>
            </w:pPr>
            <w:r>
              <w:t xml:space="preserve">1173</w:t>
            </w:r>
          </w:p>
        </w:tc>
        <w:tc>
          <w:tcPr/>
          <w:p>
            <w:pPr>
              <w:pStyle w:val="Compact"/>
              <w:jc w:val="right"/>
            </w:pPr>
            <w:r>
              <w:t xml:space="preserve">0.651123</w:t>
            </w:r>
          </w:p>
        </w:tc>
        <w:tc>
          <w:tcPr/>
          <w:p>
            <w:pPr>
              <w:pStyle w:val="Compact"/>
              <w:jc w:val="right"/>
            </w:pPr>
            <w:r>
              <w:t xml:space="preserve">0.15608</w:t>
            </w:r>
          </w:p>
        </w:tc>
        <w:tc>
          <w:tcPr/>
          <w:p>
            <w:pPr>
              <w:pStyle w:val="Compact"/>
              <w:jc w:val="right"/>
            </w:pPr>
            <w:r>
              <w:t xml:space="preserve">0.06365</w:t>
            </w:r>
          </w:p>
        </w:tc>
        <w:tc>
          <w:tcPr/>
          <w:p>
            <w:pPr>
              <w:pStyle w:val="Compact"/>
              <w:jc w:val="right"/>
            </w:pPr>
            <w:r>
              <w:t xml:space="preserve">0.06391</w:t>
            </w:r>
          </w:p>
        </w:tc>
        <w:tc>
          <w:tcPr/>
          <w:p>
            <w:pPr>
              <w:pStyle w:val="Compact"/>
              <w:jc w:val="right"/>
            </w:pPr>
            <w:r>
              <w:t xml:space="preserve">−0.40</w:t>
            </w:r>
          </w:p>
        </w:tc>
      </w:tr>
      <w:tr>
        <w:tc>
          <w:tcPr/>
          <w:p>
            <w:pPr>
              <w:pStyle w:val="Compact"/>
              <w:jc w:val="right"/>
            </w:pPr>
            <w:r>
              <w:t xml:space="preserve">1332</w:t>
            </w:r>
          </w:p>
        </w:tc>
        <w:tc>
          <w:tcPr/>
          <w:p>
            <w:pPr>
              <w:pStyle w:val="Compact"/>
              <w:jc w:val="right"/>
            </w:pPr>
            <w:r>
              <w:t xml:space="preserve">0.652863</w:t>
            </w:r>
          </w:p>
        </w:tc>
        <w:tc>
          <w:tcPr/>
          <w:p>
            <w:pPr>
              <w:pStyle w:val="Compact"/>
              <w:jc w:val="right"/>
            </w:pPr>
            <w:r>
              <w:t xml:space="preserve">0.14266</w:t>
            </w:r>
          </w:p>
        </w:tc>
        <w:tc>
          <w:tcPr/>
          <w:p>
            <w:pPr>
              <w:pStyle w:val="Compact"/>
              <w:jc w:val="right"/>
            </w:pPr>
            <w:r>
              <w:t xml:space="preserve">0.05818</w:t>
            </w:r>
          </w:p>
        </w:tc>
        <w:tc>
          <w:tcPr/>
          <w:p>
            <w:pPr>
              <w:pStyle w:val="Compact"/>
              <w:jc w:val="right"/>
            </w:pPr>
            <w:r>
              <w:t xml:space="preserve">0.05878</w:t>
            </w:r>
          </w:p>
        </w:tc>
        <w:tc>
          <w:tcPr/>
          <w:p>
            <w:pPr>
              <w:pStyle w:val="Compact"/>
              <w:jc w:val="right"/>
            </w:pPr>
            <w:r>
              <w:t xml:space="preserve">−1.02</w:t>
            </w:r>
          </w:p>
        </w:tc>
      </w:tr>
    </w:tbl>
    <w:p>
      <w:r>
        <w:pict>
          <v:rect style="width:0;height:1.5pt" o:hralign="center" o:hrstd="t" o:hr="t"/>
        </w:pict>
      </w:r>
    </w:p>
    <w:bookmarkEnd w:id="46"/>
    <w:bookmarkEnd w:id="47"/>
    <w:bookmarkStart w:id="50" w:name="Xbd851a1b6f81e22b53bfab8e1648d0c53346e80"/>
    <w:p>
      <w:pPr>
        <w:pStyle w:val="Heading3"/>
      </w:pPr>
      <w:r>
        <w:t xml:space="preserve">5.2 Regime B — Explicit RVE via</w:t>
      </w:r>
      <w:r>
        <w:t xml:space="preserve"> </w:t>
      </w:r>
      <w:r>
        <w:rPr>
          <w:rStyle w:val="VerbatimChar"/>
        </w:rPr>
        <w:t xml:space="preserve">G4PVParameterised</w:t>
      </w:r>
    </w:p>
    <w:p>
      <w:pPr>
        <w:pStyle w:val="FirstParagraph"/>
      </w:pPr>
      <w:r>
        <w:rPr>
          <w:b/>
          <w:bCs/>
        </w:rPr>
        <w:t xml:space="preserve">Run provenance:</w:t>
      </w:r>
      <w:r>
        <w:t xml:space="preserve"> </w:t>
      </w:r>
      <w:r>
        <w:t xml:space="preserve">study file</w:t>
      </w:r>
      <w:r>
        <w:t xml:space="preserve"> </w:t>
      </w:r>
      <w:r>
        <w:rPr>
          <w:rStyle w:val="VerbatimChar"/>
        </w:rPr>
        <w:t xml:space="preserve">configs/studies/paper3_hdpe_bi2o3_regime_b_rve.json</w:t>
      </w:r>
      <w:r>
        <w:t xml:space="preserve">, physics list</w:t>
      </w:r>
      <w:r>
        <w:t xml:space="preserve"> </w:t>
      </w:r>
      <w:r>
        <w:rPr>
          <w:rStyle w:val="VerbatimChar"/>
        </w:rPr>
        <w:t xml:space="preserve">emlivermore</w:t>
      </w:r>
      <w:r>
        <w:t xml:space="preserve">,</w:t>
      </w:r>
      <w:r>
        <w:t xml:space="preserve"> </w:t>
      </w:r>
      <m:oMath>
        <m:sSup>
          <m:e>
            <m:r>
              <m:t>10</m:t>
            </m:r>
          </m:e>
          <m:sup>
            <m:r>
              <m:t>7</m:t>
            </m:r>
          </m:sup>
        </m:sSup>
      </m:oMath>
      <w:r>
        <w:t xml:space="preserve"> </w:t>
      </w:r>
      <w:r>
        <w:t xml:space="preserve">histories per energy, Geant4 11.4, result directory</w:t>
      </w:r>
      <w:r>
        <w:t xml:space="preserve"> </w:t>
      </w:r>
      <w:r>
        <w:rPr>
          <w:rStyle w:val="VerbatimChar"/>
        </w:rPr>
        <w:t xml:space="preserve">results/paper3/regime_b_hdpe_bi2o3/</w:t>
      </w:r>
      <w:r>
        <w:t xml:space="preserve">.</w:t>
      </w:r>
    </w:p>
    <w:bookmarkStart w:id="48" w:name="geometry-verification"/>
    <w:p>
      <w:pPr>
        <w:pStyle w:val="Heading4"/>
      </w:pPr>
      <w:r>
        <w:t xml:space="preserve">5.2.1 Geometry verification</w:t>
      </w:r>
    </w:p>
    <w:p>
      <w:pPr>
        <w:pStyle w:val="FirstParagraph"/>
      </w:pPr>
      <w:r>
        <w:t xml:space="preserve">Geant4 confirmed the RVE geometry at initialisation:</w:t>
      </w:r>
    </w:p>
    <w:p>
      <w:pPr>
        <w:pStyle w:val="SourceCode"/>
      </w:pPr>
      <w:r>
        <w:rPr>
          <w:rStyle w:val="VerbatimChar"/>
        </w:rPr>
        <w:t xml:space="preserve">RVE RSA: placed 2888/2888  achieved phi=0.189019</w:t>
      </w:r>
      <w:r>
        <w:br/>
      </w:r>
      <w:r>
        <w:rPr>
          <w:rStyle w:val="VerbatimChar"/>
        </w:rPr>
        <w:t xml:space="preserve">ShieldLab-G4 geometry (RVE parameterised):</w:t>
      </w:r>
      <w:r>
        <w:br/>
      </w:r>
      <w:r>
        <w:rPr>
          <w:rStyle w:val="VerbatimChar"/>
        </w:rPr>
        <w:t xml:space="preserve">  side:   1 um</w:t>
      </w:r>
      <w:r>
        <w:br/>
      </w:r>
      <w:r>
        <w:rPr>
          <w:rStyle w:val="VerbatimChar"/>
        </w:rPr>
        <w:t xml:space="preserve">  radius: 25 nm</w:t>
      </w:r>
      <w:r>
        <w:br/>
      </w:r>
      <w:r>
        <w:rPr>
          <w:rStyle w:val="VerbatimChar"/>
        </w:rPr>
        <w:t xml:space="preserve">  placed: 2888 particles</w:t>
      </w:r>
    </w:p>
    <w:bookmarkEnd w:id="48"/>
    <w:bookmarkStart w:id="49" w:name="transmission-and-µ-results"/>
    <w:p>
      <w:pPr>
        <w:pStyle w:val="Heading4"/>
      </w:pPr>
      <w:r>
        <w:t xml:space="preserve">5.2.2 Transmission and µ results</w:t>
      </w:r>
    </w:p>
    <w:p>
      <w:pPr>
        <w:pStyle w:val="FirstParagraph"/>
      </w:pPr>
      <w:r>
        <w:rPr>
          <w:b/>
          <w:bCs/>
        </w:rPr>
        <w:t xml:space="preserve">Table 2.</w:t>
      </w:r>
      <w:r>
        <w:t xml:space="preserve"> </w:t>
      </w:r>
      <w:r>
        <w:t xml:space="preserve">Regime B mass attenuation coefficients (G4PVParameterised explicit RVE, 1 µm, 2888 spheres,</w:t>
      </w:r>
      <w:r>
        <w:t xml:space="preserve"> </w:t>
      </w:r>
      <m:oMath>
        <m:sSup>
          <m:e>
            <m:r>
              <m:t>10</m:t>
            </m:r>
          </m:e>
          <m:sup>
            <m:r>
              <m:t>7</m:t>
            </m:r>
          </m:sup>
        </m:sSup>
      </m:oMath>
      <w:r>
        <w:t xml:space="preserve"> </w:t>
      </w:r>
      <w:r>
        <w:t xml:space="preserve">histories per point).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right"/>
            </w:pPr>
            <m:oMath>
              <m:r>
                <m:t>E</m:t>
              </m:r>
            </m:oMath>
            <w:r>
              <w:t xml:space="preserve"> </w:t>
            </w:r>
            <w:r>
              <w:t xml:space="preserve">(keV)</w:t>
            </w:r>
          </w:p>
        </w:tc>
        <w:tc>
          <w:tcPr/>
          <w:p>
            <w:pPr>
              <w:pStyle w:val="Compact"/>
              <w:jc w:val="right"/>
            </w:pPr>
            <m:oMath>
              <m:r>
                <m:t>T</m:t>
              </m:r>
            </m:oMath>
          </w:p>
        </w:tc>
        <w:tc>
          <w:tcPr/>
          <w:p>
            <w:pPr>
              <w:pStyle w:val="Compact"/>
              <w:jc w:val="right"/>
            </w:pPr>
            <m:oMath>
              <m:sSub>
                <m:e>
                  <m:r>
                    <m:t>μ</m:t>
                  </m:r>
                </m:e>
                <m:sub>
                  <m:r>
                    <m:rPr>
                      <m:nor/>
                      <m:sty m:val="p"/>
                    </m:rPr>
                    <m:t>sim</m:t>
                  </m:r>
                </m:sub>
              </m:sSub>
            </m:oMath>
            <w:r>
              <w:t xml:space="preserve"> </w:t>
            </w:r>
            <w:r>
              <w:t xml:space="preserve">(cm</w:t>
            </w:r>
            <m:oMath>
              <m:sSup>
                <m:e>
                  <m:r>
                    <m:t>​</m:t>
                  </m:r>
                </m:e>
                <m:sup>
                  <m:r>
                    <m:rPr>
                      <m:sty m:val="p"/>
                    </m:rPr>
                    <m:t>−</m:t>
                  </m:r>
                  <m:r>
                    <m:t>1</m:t>
                  </m:r>
                </m:sup>
              </m:sSup>
            </m:oMath>
            <w:r>
              <w:t xml:space="preserve">)</w:t>
            </w:r>
          </w:p>
        </w:tc>
        <w:tc>
          <w:tcPr/>
          <w:p>
            <w:pPr>
              <w:pStyle w:val="Compact"/>
              <w:jc w:val="right"/>
            </w:pPr>
            <m:oMath>
              <m:r>
                <m:rPr>
                  <m:sty m:val="p"/>
                </m:rPr>
                <m:t>(</m:t>
              </m:r>
              <m:r>
                <m:t>μ</m:t>
              </m:r>
              <m:r>
                <m:rPr>
                  <m:sty m:val="p"/>
                </m:rPr>
                <m:t>/</m:t>
              </m:r>
              <m:r>
                <m:t>ρ</m:t>
              </m:r>
              <m:sSub>
                <m:e>
                  <m:r>
                    <m:rPr>
                      <m:sty m:val="p"/>
                    </m:rPr>
                    <m:t>)</m:t>
                  </m:r>
                </m:e>
                <m:sub>
                  <m:r>
                    <m:rPr>
                      <m:nor/>
                      <m:sty m:val="p"/>
                    </m:rPr>
                    <m:t>sim</m:t>
                  </m:r>
                </m:sub>
              </m:sSub>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w:t>
            </w:r>
          </w:p>
        </w:tc>
        <w:tc>
          <w:tcPr/>
          <w:p>
            <w:pPr>
              <w:pStyle w:val="Compact"/>
              <w:jc w:val="right"/>
            </w:pPr>
            <m:oMath>
              <m:sSub>
                <m:e>
                  <m:r>
                    <m:t>N</m:t>
                  </m:r>
                </m:e>
                <m:sub>
                  <m:r>
                    <m:rPr>
                      <m:nor/>
                      <m:sty m:val="p"/>
                    </m:rPr>
                    <m:t>att</m:t>
                  </m:r>
                </m:sub>
              </m:sSub>
            </m:oMath>
          </w:p>
        </w:tc>
        <w:tc>
          <w:tcPr/>
          <w:p>
            <w:pPr>
              <w:pStyle w:val="Compact"/>
              <w:jc w:val="right"/>
            </w:pPr>
            <m:oMath>
              <m:sSub>
                <m:e>
                  <m:r>
                    <m:t>σ</m:t>
                  </m:r>
                </m:e>
                <m:sub>
                  <m:r>
                    <m:t>μ</m:t>
                  </m:r>
                </m:sub>
              </m:sSub>
              <m:r>
                <m:rPr>
                  <m:sty m:val="p"/>
                </m:rPr>
                <m:t>/</m:t>
              </m:r>
              <m:r>
                <m:t>μ</m:t>
              </m:r>
            </m:oMath>
            <w:r>
              <w:t xml:space="preserve"> </w:t>
            </w:r>
            <w:r>
              <w:t xml:space="preserve">(%)</w:t>
            </w:r>
          </w:p>
        </w:tc>
        <w:tc>
          <w:tcPr/>
          <w:p>
            <w:pPr>
              <w:pStyle w:val="Compact"/>
              <w:jc w:val="right"/>
            </w:pPr>
            <m:oMath>
              <m:r>
                <m:rPr>
                  <m:sty m:val="p"/>
                </m:rPr>
                <m:t>(</m:t>
              </m:r>
              <m:r>
                <m:t>μ</m:t>
              </m:r>
              <m:r>
                <m:rPr>
                  <m:sty m:val="p"/>
                </m:rPr>
                <m:t>/</m:t>
              </m:r>
              <m:r>
                <m:t>ρ</m:t>
              </m:r>
              <m:sSub>
                <m:e>
                  <m:r>
                    <m:rPr>
                      <m:sty m:val="p"/>
                    </m:rPr>
                    <m:t>)</m:t>
                  </m:r>
                </m:e>
                <m:sub>
                  <m:r>
                    <m:rPr>
                      <m:nor/>
                      <m:sty m:val="p"/>
                    </m:rPr>
                    <m:t>XCOM</m:t>
                  </m:r>
                </m:sub>
              </m:sSub>
            </m:oMath>
          </w:p>
        </w:tc>
        <w:tc>
          <w:tcPr/>
          <w:p>
            <w:pPr>
              <w:pStyle w:val="Compact"/>
              <w:jc w:val="right"/>
            </w:pPr>
            <m:oMath>
              <m:sSub>
                <m:e>
                  <m:r>
                    <m:rPr>
                      <m:sty m:val="p"/>
                    </m:rPr>
                    <m:t>Δ</m:t>
                  </m:r>
                </m:e>
                <m:sub>
                  <m:r>
                    <m:t>B</m:t>
                  </m:r>
                </m:sub>
              </m:sSub>
            </m:oMath>
            <w:r>
              <w:t xml:space="preserve"> </w:t>
            </w:r>
            <w:r>
              <w:t xml:space="preserve">(%)</w:t>
            </w:r>
          </w:p>
        </w:tc>
        <w:tc>
          <w:tcPr/>
          <w:p>
            <w:pPr>
              <w:pStyle w:val="Compact"/>
              <w:jc w:val="right"/>
            </w:pPr>
            <m:oMath>
              <m:sSub>
                <m:e>
                  <m:r>
                    <m:t>μ</m:t>
                  </m:r>
                </m:e>
                <m:sub>
                  <m:r>
                    <m:t>B</m:t>
                  </m:r>
                </m:sub>
              </m:sSub>
              <m:r>
                <m:rPr>
                  <m:sty m:val="p"/>
                </m:rPr>
                <m:t>/</m:t>
              </m:r>
              <m:sSub>
                <m:e>
                  <m:r>
                    <m:t>μ</m:t>
                  </m:r>
                </m:e>
                <m:sub>
                  <m:r>
                    <m:t>A</m:t>
                  </m:r>
                  <m:r>
                    <m:rPr>
                      <m:sty m:val="p"/>
                    </m:rPr>
                    <m:t>,</m:t>
                  </m:r>
                  <m:r>
                    <m:t>ϕ</m:t>
                  </m:r>
                </m:sub>
              </m:sSub>
            </m:oMath>
          </w:p>
        </w:tc>
      </w:tr>
      <w:tr>
        <w:tc>
          <w:tcPr/>
          <w:p>
            <w:pPr>
              <w:pStyle w:val="Compact"/>
              <w:jc w:val="right"/>
            </w:pPr>
            <w:r>
              <w:t xml:space="preserve">30</w:t>
            </w:r>
          </w:p>
        </w:tc>
        <w:tc>
          <w:tcPr/>
          <w:p>
            <w:pPr>
              <w:pStyle w:val="Compact"/>
              <w:jc w:val="right"/>
            </w:pPr>
            <w:r>
              <w:t xml:space="preserve">0.99531</w:t>
            </w:r>
          </w:p>
        </w:tc>
        <w:tc>
          <w:tcPr/>
          <w:p>
            <w:pPr>
              <w:pStyle w:val="Compact"/>
              <w:jc w:val="right"/>
            </w:pPr>
            <w:r>
              <w:t xml:space="preserve">47.009</w:t>
            </w:r>
          </w:p>
        </w:tc>
        <w:tc>
          <w:tcPr/>
          <w:p>
            <w:pPr>
              <w:pStyle w:val="Compact"/>
              <w:jc w:val="right"/>
            </w:pPr>
            <w:r>
              <w:t xml:space="preserve">19.19</w:t>
            </w:r>
          </w:p>
        </w:tc>
        <w:tc>
          <w:tcPr/>
          <w:p>
            <w:pPr>
              <w:pStyle w:val="Compact"/>
              <w:jc w:val="right"/>
            </w:pPr>
            <w:r>
              <w:t xml:space="preserve">46,899</w:t>
            </w:r>
          </w:p>
        </w:tc>
        <w:tc>
          <w:tcPr/>
          <w:p>
            <w:pPr>
              <w:pStyle w:val="Compact"/>
              <w:jc w:val="right"/>
            </w:pPr>
            <w:r>
              <w:t xml:space="preserve">0.46</w:t>
            </w:r>
          </w:p>
        </w:tc>
        <w:tc>
          <w:tcPr/>
          <w:p>
            <w:pPr>
              <w:pStyle w:val="Compact"/>
              <w:jc w:val="right"/>
            </w:pPr>
            <w:r>
              <w:t xml:space="preserve">19.507</w:t>
            </w:r>
          </w:p>
        </w:tc>
        <w:tc>
          <w:tcPr/>
          <w:p>
            <w:pPr>
              <w:pStyle w:val="Compact"/>
              <w:jc w:val="right"/>
            </w:pPr>
            <w:r>
              <w:t xml:space="preserve">−1.64</w:t>
            </w:r>
          </w:p>
        </w:tc>
        <w:tc>
          <w:tcPr/>
          <w:p>
            <w:pPr>
              <w:pStyle w:val="Compact"/>
              <w:jc w:val="right"/>
            </w:pPr>
            <w:r>
              <w:t xml:space="preserve">0.981 (-1.9%)</w:t>
            </w:r>
          </w:p>
        </w:tc>
      </w:tr>
      <w:tr>
        <w:tc>
          <w:tcPr/>
          <w:p>
            <w:pPr>
              <w:pStyle w:val="Compact"/>
              <w:jc w:val="right"/>
            </w:pPr>
            <w:r>
              <w:t xml:space="preserve">50</w:t>
            </w:r>
          </w:p>
        </w:tc>
        <w:tc>
          <w:tcPr/>
          <w:p>
            <w:pPr>
              <w:pStyle w:val="Compact"/>
              <w:jc w:val="right"/>
            </w:pPr>
            <w:r>
              <w:t xml:space="preserve">0.998753</w:t>
            </w:r>
          </w:p>
        </w:tc>
        <w:tc>
          <w:tcPr/>
          <w:p>
            <w:pPr>
              <w:pStyle w:val="Compact"/>
              <w:jc w:val="right"/>
            </w:pPr>
            <w:r>
              <w:t xml:space="preserve">12.483</w:t>
            </w:r>
          </w:p>
        </w:tc>
        <w:tc>
          <w:tcPr/>
          <w:p>
            <w:pPr>
              <w:pStyle w:val="Compact"/>
              <w:jc w:val="right"/>
            </w:pPr>
            <w:r>
              <w:t xml:space="preserve">5.095</w:t>
            </w:r>
          </w:p>
        </w:tc>
        <w:tc>
          <w:tcPr/>
          <w:p>
            <w:pPr>
              <w:pStyle w:val="Compact"/>
              <w:jc w:val="right"/>
            </w:pPr>
            <w:r>
              <w:t xml:space="preserve">12,475</w:t>
            </w:r>
          </w:p>
        </w:tc>
        <w:tc>
          <w:tcPr/>
          <w:p>
            <w:pPr>
              <w:pStyle w:val="Compact"/>
              <w:jc w:val="right"/>
            </w:pPr>
            <w:r>
              <w:t xml:space="preserve">0.90</w:t>
            </w:r>
          </w:p>
        </w:tc>
        <w:tc>
          <w:tcPr/>
          <w:p>
            <w:pPr>
              <w:pStyle w:val="Compact"/>
              <w:jc w:val="right"/>
            </w:pPr>
            <w:r>
              <w:t xml:space="preserve">5.236</w:t>
            </w:r>
          </w:p>
        </w:tc>
        <w:tc>
          <w:tcPr/>
          <w:p>
            <w:pPr>
              <w:pStyle w:val="Compact"/>
              <w:jc w:val="right"/>
            </w:pPr>
            <w:r>
              <w:t xml:space="preserve">−2.70</w:t>
            </w:r>
          </w:p>
        </w:tc>
        <w:tc>
          <w:tcPr/>
          <w:p>
            <w:pPr>
              <w:pStyle w:val="Compact"/>
              <w:jc w:val="right"/>
            </w:pPr>
            <w:r>
              <w:t xml:space="preserve">0.976 (-2.4%)</w:t>
            </w:r>
          </w:p>
        </w:tc>
      </w:tr>
      <w:tr>
        <w:tc>
          <w:tcPr/>
          <w:p>
            <w:pPr>
              <w:pStyle w:val="Compact"/>
              <w:jc w:val="right"/>
            </w:pPr>
            <w:r>
              <w:t xml:space="preserve">80</w:t>
            </w:r>
          </w:p>
        </w:tc>
        <w:tc>
          <w:tcPr/>
          <w:p>
            <w:pPr>
              <w:pStyle w:val="Compact"/>
              <w:jc w:val="right"/>
            </w:pPr>
            <w:r>
              <w:t xml:space="preserve">0.999619</w:t>
            </w:r>
          </w:p>
        </w:tc>
        <w:tc>
          <w:tcPr/>
          <w:p>
            <w:pPr>
              <w:pStyle w:val="Compact"/>
              <w:jc w:val="right"/>
            </w:pPr>
            <w:r>
              <w:t xml:space="preserve">3.8137</w:t>
            </w:r>
          </w:p>
        </w:tc>
        <w:tc>
          <w:tcPr/>
          <w:p>
            <w:pPr>
              <w:pStyle w:val="Compact"/>
              <w:jc w:val="right"/>
            </w:pPr>
            <w:r>
              <w:t xml:space="preserve">1.557</w:t>
            </w:r>
          </w:p>
        </w:tc>
        <w:tc>
          <w:tcPr/>
          <w:p>
            <w:pPr>
              <w:pStyle w:val="Compact"/>
              <w:jc w:val="right"/>
            </w:pPr>
            <w:r>
              <w:t xml:space="preserve">3,813</w:t>
            </w:r>
          </w:p>
        </w:tc>
        <w:tc>
          <w:tcPr/>
          <w:p>
            <w:pPr>
              <w:pStyle w:val="Compact"/>
              <w:jc w:val="right"/>
            </w:pPr>
            <w:r>
              <w:t xml:space="preserve">1.62</w:t>
            </w:r>
          </w:p>
        </w:tc>
        <w:tc>
          <w:tcPr/>
          <w:p>
            <w:pPr>
              <w:pStyle w:val="Compact"/>
              <w:jc w:val="right"/>
            </w:pPr>
            <w:r>
              <w:t xml:space="preserve">1.621</w:t>
            </w:r>
          </w:p>
        </w:tc>
        <w:tc>
          <w:tcPr/>
          <w:p>
            <w:pPr>
              <w:pStyle w:val="Compact"/>
              <w:jc w:val="right"/>
            </w:pPr>
            <w:r>
              <w:t xml:space="preserve">−3.97</w:t>
            </w:r>
          </w:p>
        </w:tc>
        <w:tc>
          <w:tcPr/>
          <w:p>
            <w:pPr>
              <w:pStyle w:val="Compact"/>
              <w:jc w:val="right"/>
            </w:pPr>
            <w:r>
              <w:t xml:space="preserve">0.984 (-1.6%)</w:t>
            </w:r>
          </w:p>
        </w:tc>
      </w:tr>
      <w:tr>
        <w:tc>
          <w:tcPr/>
          <w:p>
            <w:pPr>
              <w:pStyle w:val="Compact"/>
              <w:jc w:val="right"/>
            </w:pPr>
            <w:r>
              <w:t xml:space="preserve">100</w:t>
            </w:r>
          </w:p>
        </w:tc>
        <w:tc>
          <w:tcPr/>
          <w:p>
            <w:pPr>
              <w:pStyle w:val="Compact"/>
              <w:jc w:val="right"/>
            </w:pPr>
            <w:r>
              <w:t xml:space="preserve">0.99914</w:t>
            </w:r>
          </w:p>
        </w:tc>
        <w:tc>
          <w:tcPr/>
          <w:p>
            <w:pPr>
              <w:pStyle w:val="Compact"/>
              <w:jc w:val="right"/>
            </w:pPr>
            <w:r>
              <w:t xml:space="preserve">8.6047</w:t>
            </w:r>
          </w:p>
        </w:tc>
        <w:tc>
          <w:tcPr/>
          <w:p>
            <w:pPr>
              <w:pStyle w:val="Compact"/>
              <w:jc w:val="right"/>
            </w:pPr>
            <w:r>
              <w:t xml:space="preserve">3.512</w:t>
            </w:r>
          </w:p>
        </w:tc>
        <w:tc>
          <w:tcPr/>
          <w:p>
            <w:pPr>
              <w:pStyle w:val="Compact"/>
              <w:jc w:val="right"/>
            </w:pPr>
            <w:r>
              <w:t xml:space="preserve">8,601</w:t>
            </w:r>
          </w:p>
        </w:tc>
        <w:tc>
          <w:tcPr/>
          <w:p>
            <w:pPr>
              <w:pStyle w:val="Compact"/>
              <w:jc w:val="right"/>
            </w:pPr>
            <w:r>
              <w:t xml:space="preserve">1.08</w:t>
            </w:r>
          </w:p>
        </w:tc>
        <w:tc>
          <w:tcPr/>
          <w:p>
            <w:pPr>
              <w:pStyle w:val="Compact"/>
              <w:jc w:val="right"/>
            </w:pPr>
            <w:r>
              <w:t xml:space="preserve">3.596</w:t>
            </w:r>
          </w:p>
        </w:tc>
        <w:tc>
          <w:tcPr/>
          <w:p>
            <w:pPr>
              <w:pStyle w:val="Compact"/>
              <w:jc w:val="right"/>
            </w:pPr>
            <w:r>
              <w:t xml:space="preserve">−2.34</w:t>
            </w:r>
          </w:p>
        </w:tc>
        <w:tc>
          <w:tcPr/>
          <w:p>
            <w:pPr>
              <w:pStyle w:val="Compact"/>
              <w:jc w:val="right"/>
            </w:pPr>
            <w:r>
              <w:t xml:space="preserve">0.981 (-1.9%)</w:t>
            </w:r>
          </w:p>
        </w:tc>
      </w:tr>
      <w:tr>
        <w:tc>
          <w:tcPr/>
          <w:p>
            <w:pPr>
              <w:pStyle w:val="Compact"/>
              <w:jc w:val="right"/>
            </w:pPr>
            <w:r>
              <w:t xml:space="preserve">150</w:t>
            </w:r>
          </w:p>
        </w:tc>
        <w:tc>
          <w:tcPr/>
          <w:p>
            <w:pPr>
              <w:pStyle w:val="Compact"/>
              <w:jc w:val="right"/>
            </w:pPr>
            <w:r>
              <w:t xml:space="preserve">0.999681</w:t>
            </w:r>
          </w:p>
        </w:tc>
        <w:tc>
          <w:tcPr/>
          <w:p>
            <w:pPr>
              <w:pStyle w:val="Compact"/>
              <w:jc w:val="right"/>
            </w:pPr>
            <w:r>
              <w:t xml:space="preserve">3.1935</w:t>
            </w:r>
          </w:p>
        </w:tc>
        <w:tc>
          <w:tcPr/>
          <w:p>
            <w:pPr>
              <w:pStyle w:val="Compact"/>
              <w:jc w:val="right"/>
            </w:pPr>
            <w:r>
              <w:t xml:space="preserve">1.303</w:t>
            </w:r>
          </w:p>
        </w:tc>
        <w:tc>
          <w:tcPr/>
          <w:p>
            <w:pPr>
              <w:pStyle w:val="Compact"/>
              <w:jc w:val="right"/>
            </w:pPr>
            <w:r>
              <w:t xml:space="preserve">3,193</w:t>
            </w:r>
          </w:p>
        </w:tc>
        <w:tc>
          <w:tcPr/>
          <w:p>
            <w:pPr>
              <w:pStyle w:val="Compact"/>
              <w:jc w:val="right"/>
            </w:pPr>
            <w:r>
              <w:t xml:space="preserve">1.77</w:t>
            </w:r>
          </w:p>
        </w:tc>
        <w:tc>
          <w:tcPr/>
          <w:p>
            <w:pPr>
              <w:pStyle w:val="Compact"/>
              <w:jc w:val="right"/>
            </w:pPr>
            <w:r>
              <w:t xml:space="preserve">1.339</w:t>
            </w:r>
          </w:p>
        </w:tc>
        <w:tc>
          <w:tcPr/>
          <w:p>
            <w:pPr>
              <w:pStyle w:val="Compact"/>
              <w:jc w:val="right"/>
            </w:pPr>
            <w:r>
              <w:t xml:space="preserve">−2.65</w:t>
            </w:r>
          </w:p>
        </w:tc>
        <w:tc>
          <w:tcPr/>
          <w:p>
            <w:pPr>
              <w:pStyle w:val="Compact"/>
              <w:jc w:val="right"/>
            </w:pPr>
            <w:r>
              <w:t xml:space="preserve">0.975 (-2.5%)</w:t>
            </w:r>
          </w:p>
        </w:tc>
      </w:tr>
      <w:tr>
        <w:tc>
          <w:tcPr/>
          <w:p>
            <w:pPr>
              <w:pStyle w:val="Compact"/>
              <w:jc w:val="right"/>
            </w:pPr>
            <w:r>
              <w:t xml:space="preserve">356†</w:t>
            </w:r>
          </w:p>
        </w:tc>
        <w:tc>
          <w:tcPr/>
          <w:p>
            <w:pPr>
              <w:pStyle w:val="Compact"/>
              <w:jc w:val="right"/>
            </w:pPr>
            <w:r>
              <w:t xml:space="preserve">0.9999486</w:t>
            </w:r>
          </w:p>
        </w:tc>
        <w:tc>
          <w:tcPr/>
          <w:p>
            <w:pPr>
              <w:pStyle w:val="Compact"/>
              <w:jc w:val="right"/>
            </w:pPr>
            <w:r>
              <w:t xml:space="preserve">0.5140</w:t>
            </w:r>
          </w:p>
        </w:tc>
        <w:tc>
          <w:tcPr/>
          <w:p>
            <w:pPr>
              <w:pStyle w:val="Compact"/>
              <w:jc w:val="right"/>
            </w:pPr>
            <w:r>
              <w:t xml:space="preserve">0.2098</w:t>
            </w:r>
          </w:p>
        </w:tc>
        <w:tc>
          <w:tcPr/>
          <w:p>
            <w:pPr>
              <w:pStyle w:val="Compact"/>
              <w:jc w:val="right"/>
            </w:pPr>
            <w:r>
              <w:t xml:space="preserve">514</w:t>
            </w:r>
          </w:p>
        </w:tc>
        <w:tc>
          <w:tcPr/>
          <w:p>
            <w:pPr>
              <w:pStyle w:val="Compact"/>
              <w:jc w:val="right"/>
            </w:pPr>
            <w:r>
              <w:t xml:space="preserve">4.4</w:t>
            </w:r>
          </w:p>
        </w:tc>
        <w:tc>
          <w:tcPr/>
          <w:p>
            <w:pPr>
              <w:pStyle w:val="Compact"/>
              <w:jc w:val="right"/>
            </w:pPr>
            <w:r>
              <w:t xml:space="preserve">0.2270</w:t>
            </w:r>
          </w:p>
        </w:tc>
        <w:tc>
          <w:tcPr/>
          <w:p>
            <w:pPr>
              <w:pStyle w:val="Compact"/>
              <w:jc w:val="right"/>
            </w:pPr>
            <w:r>
              <w:t xml:space="preserve">−7.6†</w:t>
            </w:r>
          </w:p>
        </w:tc>
        <w:tc>
          <w:tcPr/>
          <w:p>
            <w:pPr>
              <w:pStyle w:val="Compact"/>
              <w:jc w:val="right"/>
            </w:pPr>
            <w:r>
              <w:t xml:space="preserve">0.932 (-6.8%)†</w:t>
            </w:r>
          </w:p>
        </w:tc>
      </w:tr>
      <w:tr>
        <w:tc>
          <w:tcPr/>
          <w:p>
            <w:pPr>
              <w:pStyle w:val="Compact"/>
              <w:jc w:val="right"/>
            </w:pPr>
            <w:r>
              <w:t xml:space="preserve">511†</w:t>
            </w:r>
          </w:p>
        </w:tc>
        <w:tc>
          <w:tcPr/>
          <w:p>
            <w:pPr>
              <w:pStyle w:val="Compact"/>
              <w:jc w:val="right"/>
            </w:pPr>
            <w:r>
              <w:t xml:space="preserve">0.999971</w:t>
            </w:r>
          </w:p>
        </w:tc>
        <w:tc>
          <w:tcPr/>
          <w:p>
            <w:pPr>
              <w:pStyle w:val="Compact"/>
              <w:jc w:val="right"/>
            </w:pPr>
            <w:r>
              <w:t xml:space="preserve">0.2940</w:t>
            </w:r>
          </w:p>
        </w:tc>
        <w:tc>
          <w:tcPr/>
          <w:p>
            <w:pPr>
              <w:pStyle w:val="Compact"/>
              <w:jc w:val="right"/>
            </w:pPr>
            <w:r>
              <w:t xml:space="preserve">0.1200</w:t>
            </w:r>
          </w:p>
        </w:tc>
        <w:tc>
          <w:tcPr/>
          <w:p>
            <w:pPr>
              <w:pStyle w:val="Compact"/>
              <w:jc w:val="right"/>
            </w:pPr>
            <w:r>
              <w:t xml:space="preserve">294</w:t>
            </w:r>
          </w:p>
        </w:tc>
        <w:tc>
          <w:tcPr/>
          <w:p>
            <w:pPr>
              <w:pStyle w:val="Compact"/>
              <w:jc w:val="right"/>
            </w:pPr>
            <w:r>
              <w:t xml:space="preserve">5.8</w:t>
            </w:r>
          </w:p>
        </w:tc>
        <w:tc>
          <w:tcPr/>
          <w:p>
            <w:pPr>
              <w:pStyle w:val="Compact"/>
              <w:jc w:val="right"/>
            </w:pPr>
            <w:r>
              <w:t xml:space="preserve">0.1358</w:t>
            </w:r>
          </w:p>
        </w:tc>
        <w:tc>
          <w:tcPr/>
          <w:p>
            <w:pPr>
              <w:pStyle w:val="Compact"/>
              <w:jc w:val="right"/>
            </w:pPr>
            <w:r>
              <w:t xml:space="preserve">−11.7†</w:t>
            </w:r>
          </w:p>
        </w:tc>
        <w:tc>
          <w:tcPr/>
          <w:p>
            <w:pPr>
              <w:pStyle w:val="Compact"/>
              <w:jc w:val="right"/>
            </w:pPr>
            <w:r>
              <w:t xml:space="preserve">0.886 (-11.4%)†</w:t>
            </w:r>
          </w:p>
        </w:tc>
      </w:tr>
      <w:tr>
        <w:tc>
          <w:tcPr/>
          <w:p>
            <w:pPr>
              <w:pStyle w:val="Compact"/>
              <w:jc w:val="right"/>
            </w:pPr>
            <w:r>
              <w:t xml:space="preserve">662†</w:t>
            </w:r>
          </w:p>
        </w:tc>
        <w:tc>
          <w:tcPr/>
          <w:p>
            <w:pPr>
              <w:pStyle w:val="Compact"/>
              <w:jc w:val="right"/>
            </w:pPr>
            <w:r>
              <w:t xml:space="preserve">0.999975</w:t>
            </w:r>
          </w:p>
        </w:tc>
        <w:tc>
          <w:tcPr/>
          <w:p>
            <w:pPr>
              <w:pStyle w:val="Compact"/>
              <w:jc w:val="right"/>
            </w:pPr>
            <w:r>
              <w:t xml:space="preserve">0.2530</w:t>
            </w:r>
          </w:p>
        </w:tc>
        <w:tc>
          <w:tcPr/>
          <w:p>
            <w:pPr>
              <w:pStyle w:val="Compact"/>
              <w:jc w:val="right"/>
            </w:pPr>
            <w:r>
              <w:t xml:space="preserve">0.1033</w:t>
            </w:r>
          </w:p>
        </w:tc>
        <w:tc>
          <w:tcPr/>
          <w:p>
            <w:pPr>
              <w:pStyle w:val="Compact"/>
              <w:jc w:val="right"/>
            </w:pPr>
            <w:r>
              <w:t xml:space="preserve">253</w:t>
            </w:r>
          </w:p>
        </w:tc>
        <w:tc>
          <w:tcPr/>
          <w:p>
            <w:pPr>
              <w:pStyle w:val="Compact"/>
              <w:jc w:val="right"/>
            </w:pPr>
            <w:r>
              <w:t xml:space="preserve">6.3</w:t>
            </w:r>
          </w:p>
        </w:tc>
        <w:tc>
          <w:tcPr/>
          <w:p>
            <w:pPr>
              <w:pStyle w:val="Compact"/>
              <w:jc w:val="right"/>
            </w:pPr>
            <w:r>
              <w:t xml:space="preserve">0.1029</w:t>
            </w:r>
          </w:p>
        </w:tc>
        <w:tc>
          <w:tcPr/>
          <w:p>
            <w:pPr>
              <w:pStyle w:val="Compact"/>
              <w:jc w:val="right"/>
            </w:pPr>
            <w:r>
              <w:t xml:space="preserve">+0.4†</w:t>
            </w:r>
          </w:p>
        </w:tc>
        <w:tc>
          <w:tcPr/>
          <w:p>
            <w:pPr>
              <w:pStyle w:val="Compact"/>
              <w:jc w:val="right"/>
            </w:pPr>
            <w:r>
              <w:t xml:space="preserve">1.011 (+1.1%)†</w:t>
            </w:r>
          </w:p>
        </w:tc>
      </w:tr>
      <w:tr>
        <w:tc>
          <w:tcPr/>
          <w:p>
            <w:pPr>
              <w:pStyle w:val="Compact"/>
              <w:jc w:val="right"/>
            </w:pPr>
            <w:r>
              <w:t xml:space="preserve">1173†</w:t>
            </w:r>
          </w:p>
        </w:tc>
        <w:tc>
          <w:tcPr/>
          <w:p>
            <w:pPr>
              <w:pStyle w:val="Compact"/>
              <w:jc w:val="right"/>
            </w:pPr>
            <w:r>
              <w:t xml:space="preserve">0.999985</w:t>
            </w:r>
          </w:p>
        </w:tc>
        <w:tc>
          <w:tcPr/>
          <w:p>
            <w:pPr>
              <w:pStyle w:val="Compact"/>
              <w:jc w:val="right"/>
            </w:pPr>
            <w:r>
              <w:t xml:space="preserve">0.1490</w:t>
            </w:r>
          </w:p>
        </w:tc>
        <w:tc>
          <w:tcPr/>
          <w:p>
            <w:pPr>
              <w:pStyle w:val="Compact"/>
              <w:jc w:val="right"/>
            </w:pPr>
            <w:r>
              <w:t xml:space="preserve">0.0608</w:t>
            </w:r>
          </w:p>
        </w:tc>
        <w:tc>
          <w:tcPr/>
          <w:p>
            <w:pPr>
              <w:pStyle w:val="Compact"/>
              <w:jc w:val="right"/>
            </w:pPr>
            <w:r>
              <w:t xml:space="preserve">149</w:t>
            </w:r>
          </w:p>
        </w:tc>
        <w:tc>
          <w:tcPr/>
          <w:p>
            <w:pPr>
              <w:pStyle w:val="Compact"/>
              <w:jc w:val="right"/>
            </w:pPr>
            <w:r>
              <w:t xml:space="preserve">8.2</w:t>
            </w:r>
          </w:p>
        </w:tc>
        <w:tc>
          <w:tcPr/>
          <w:p>
            <w:pPr>
              <w:pStyle w:val="Compact"/>
              <w:jc w:val="right"/>
            </w:pPr>
            <w:r>
              <w:t xml:space="preserve">0.0639</w:t>
            </w:r>
          </w:p>
        </w:tc>
        <w:tc>
          <w:tcPr/>
          <w:p>
            <w:pPr>
              <w:pStyle w:val="Compact"/>
              <w:jc w:val="right"/>
            </w:pPr>
            <w:r>
              <w:t xml:space="preserve">−4.8†</w:t>
            </w:r>
          </w:p>
        </w:tc>
        <w:tc>
          <w:tcPr/>
          <w:p>
            <w:pPr>
              <w:pStyle w:val="Compact"/>
              <w:jc w:val="right"/>
            </w:pPr>
            <w:r>
              <w:t xml:space="preserve">0.955 (-4.5%)†</w:t>
            </w:r>
          </w:p>
        </w:tc>
      </w:tr>
      <w:tr>
        <w:tc>
          <w:tcPr/>
          <w:p>
            <w:pPr>
              <w:pStyle w:val="Compact"/>
              <w:jc w:val="right"/>
            </w:pPr>
            <w:r>
              <w:t xml:space="preserve">1332†</w:t>
            </w:r>
          </w:p>
        </w:tc>
        <w:tc>
          <w:tcPr/>
          <w:p>
            <w:pPr>
              <w:pStyle w:val="Compact"/>
              <w:jc w:val="right"/>
            </w:pPr>
            <w:r>
              <w:t xml:space="preserve">0.999988</w:t>
            </w:r>
          </w:p>
        </w:tc>
        <w:tc>
          <w:tcPr/>
          <w:p>
            <w:pPr>
              <w:pStyle w:val="Compact"/>
              <w:jc w:val="right"/>
            </w:pPr>
            <w:r>
              <w:t xml:space="preserve">0.1240</w:t>
            </w:r>
          </w:p>
        </w:tc>
        <w:tc>
          <w:tcPr/>
          <w:p>
            <w:pPr>
              <w:pStyle w:val="Compact"/>
              <w:jc w:val="right"/>
            </w:pPr>
            <w:r>
              <w:t xml:space="preserve">0.0506</w:t>
            </w:r>
          </w:p>
        </w:tc>
        <w:tc>
          <w:tcPr/>
          <w:p>
            <w:pPr>
              <w:pStyle w:val="Compact"/>
              <w:jc w:val="right"/>
            </w:pPr>
            <w:r>
              <w:t xml:space="preserve">124</w:t>
            </w:r>
          </w:p>
        </w:tc>
        <w:tc>
          <w:tcPr/>
          <w:p>
            <w:pPr>
              <w:pStyle w:val="Compact"/>
              <w:jc w:val="right"/>
            </w:pPr>
            <w:r>
              <w:t xml:space="preserve">9.0</w:t>
            </w:r>
          </w:p>
        </w:tc>
        <w:tc>
          <w:tcPr/>
          <w:p>
            <w:pPr>
              <w:pStyle w:val="Compact"/>
              <w:jc w:val="right"/>
            </w:pPr>
            <w:r>
              <w:t xml:space="preserve">0.0588</w:t>
            </w:r>
          </w:p>
        </w:tc>
        <w:tc>
          <w:tcPr/>
          <w:p>
            <w:pPr>
              <w:pStyle w:val="Compact"/>
              <w:jc w:val="right"/>
            </w:pPr>
            <w:r>
              <w:t xml:space="preserve">−13.9†</w:t>
            </w:r>
          </w:p>
        </w:tc>
        <w:tc>
          <w:tcPr/>
          <w:p>
            <w:pPr>
              <w:pStyle w:val="Compact"/>
              <w:jc w:val="right"/>
            </w:pPr>
            <w:r>
              <w:t xml:space="preserve">0.869 (-13.1%)†</w:t>
            </w:r>
          </w:p>
        </w:tc>
      </w:tr>
    </w:tbl>
    <w:p>
      <w:pPr>
        <w:pStyle w:val="BodyText"/>
      </w:pPr>
      <w:r>
        <w:t xml:space="preserve">† Statistically dominated:</w:t>
      </w:r>
      <w:r>
        <w:t xml:space="preserve"> </w:t>
      </w:r>
      <m:oMath>
        <m:sSub>
          <m:e>
            <m:r>
              <m:t>N</m:t>
            </m:r>
          </m:e>
          <m:sub>
            <m:r>
              <m:rPr>
                <m:nor/>
                <m:sty m:val="p"/>
              </m:rPr>
              <m:t>att</m:t>
            </m:r>
          </m:sub>
        </m:sSub>
        <m:r>
          <m:rPr>
            <m:sty m:val="p"/>
          </m:rPr>
          <m:t>&lt;</m:t>
        </m:r>
        <m:r>
          <m:t>600</m:t>
        </m:r>
      </m:oMath>
      <w:r>
        <w:t xml:space="preserve">;</w:t>
      </w:r>
      <w:r>
        <w:t xml:space="preserve"> </w:t>
      </w:r>
      <m:oMath>
        <m:r>
          <m:rPr>
            <m:sty m:val="p"/>
          </m:rPr>
          <m:t>Δ</m:t>
        </m:r>
      </m:oMath>
      <w:r>
        <w:t xml:space="preserve"> </w:t>
      </w:r>
      <w:r>
        <w:t xml:space="preserve">reflects sampling noise, not systematic physics deviation.</w:t>
      </w:r>
    </w:p>
    <w:p>
      <w:pPr>
        <w:pStyle w:val="BodyText"/>
      </w:pPr>
      <w:r>
        <w:rPr>
          <w:i/>
          <w:iCs/>
        </w:rPr>
        <w:t xml:space="preserve">Note on the Bi K-edge.</w:t>
      </w:r>
      <w:r>
        <w:t xml:space="preserve"> </w:t>
      </w:r>
      <w:r>
        <w:t xml:space="preserve">The simulation correctly resolves this feature: µ drops from 12.48 cm</w:t>
      </w:r>
      <m:oMath>
        <m:sSup>
          <m:e>
            <m:r>
              <m:t>​</m:t>
            </m:r>
          </m:e>
          <m:sup>
            <m:r>
              <m:rPr>
                <m:sty m:val="p"/>
              </m:rPr>
              <m:t>−</m:t>
            </m:r>
            <m:r>
              <m:t>1</m:t>
            </m:r>
          </m:sup>
        </m:sSup>
      </m:oMath>
      <w:r>
        <w:t xml:space="preserve"> </w:t>
      </w:r>
      <w:r>
        <w:t xml:space="preserve">at 50 keV to 3.81 cm</w:t>
      </w:r>
      <m:oMath>
        <m:sSup>
          <m:e>
            <m:r>
              <m:t>​</m:t>
            </m:r>
          </m:e>
          <m:sup>
            <m:r>
              <m:rPr>
                <m:sty m:val="p"/>
              </m:rPr>
              <m:t>−</m:t>
            </m:r>
            <m:r>
              <m:t>1</m:t>
            </m:r>
          </m:sup>
        </m:sSup>
      </m:oMath>
      <w:r>
        <w:t xml:space="preserve"> </w:t>
      </w:r>
      <w:r>
        <w:t xml:space="preserve">at 80 keV, then rises to 8.61 cm</w:t>
      </w:r>
      <m:oMath>
        <m:sSup>
          <m:e>
            <m:r>
              <m:t>​</m:t>
            </m:r>
          </m:e>
          <m:sup>
            <m:r>
              <m:rPr>
                <m:sty m:val="p"/>
              </m:rPr>
              <m:t>−</m:t>
            </m:r>
            <m:r>
              <m:t>1</m:t>
            </m:r>
          </m:sup>
        </m:sSup>
      </m:oMath>
      <w:r>
        <w:t xml:space="preserve"> </w:t>
      </w:r>
      <w:r>
        <w:t xml:space="preserve">at 100 keV — a jump of ×2.3 due to Bi K-shell photoelectric absorption.</w:t>
      </w:r>
    </w:p>
    <w:p>
      <w:pPr>
        <w:pStyle w:val="BodyText"/>
      </w:pPr>
      <w:r>
        <w:rPr>
          <w:i/>
          <w:iCs/>
        </w:rPr>
        <w:t xml:space="preserve">Note on statistical precision at high energies.</w:t>
      </w:r>
      <w:r>
        <w:t xml:space="preserve"> </w:t>
      </w:r>
      <w:r>
        <w:t xml:space="preserve">For the 1 µm RVE above 300 keV, at 356 keV only 514 photons are attenuated out of</w:t>
      </w:r>
      <w:r>
        <w:t xml:space="preserve"> </w:t>
      </w:r>
      <m:oMath>
        <m:sSup>
          <m:e>
            <m:r>
              <m:t>10</m:t>
            </m:r>
          </m:e>
          <m:sup>
            <m:r>
              <m:t>7</m:t>
            </m:r>
          </m:sup>
        </m:sSup>
      </m:oMath>
      <w:r>
        <w:t xml:space="preserve">, giving</w:t>
      </w:r>
      <w:r>
        <w:t xml:space="preserve"> </w:t>
      </w:r>
      <m:oMath>
        <m:r>
          <m:t>1</m:t>
        </m:r>
        <m:r>
          <m:t>σ</m:t>
        </m:r>
      </m:oMath>
      <w:r>
        <w:t xml:space="preserve"> </w:t>
      </w:r>
      <w:r>
        <w:t xml:space="preserve">uncertainty of 4.4%. The regime A(phi0p189) slab result provides the reliable reference at those energies.</w:t>
      </w:r>
    </w:p>
    <w:bookmarkEnd w:id="49"/>
    <w:bookmarkEnd w:id="50"/>
    <w:bookmarkStart w:id="55" w:name="regime-c-explicit-rve-via-g4multiunion"/>
    <w:p>
      <w:pPr>
        <w:pStyle w:val="Heading3"/>
      </w:pPr>
      <w:r>
        <w:t xml:space="preserve">5.3 Regime C — Explicit RVE via</w:t>
      </w:r>
      <w:r>
        <w:t xml:space="preserve"> </w:t>
      </w:r>
      <w:r>
        <w:rPr>
          <w:rStyle w:val="VerbatimChar"/>
        </w:rPr>
        <w:t xml:space="preserve">G4MultiUnion</w:t>
      </w:r>
    </w:p>
    <w:p>
      <w:pPr>
        <w:pStyle w:val="FirstParagraph"/>
      </w:pPr>
      <w:r>
        <w:rPr>
          <w:b/>
          <w:bCs/>
        </w:rPr>
        <w:t xml:space="preserve">Run provenance:</w:t>
      </w:r>
      <w:r>
        <w:t xml:space="preserve"> </w:t>
      </w:r>
      <w:r>
        <w:t xml:space="preserve">study file</w:t>
      </w:r>
      <w:r>
        <w:t xml:space="preserve"> </w:t>
      </w:r>
      <w:r>
        <w:rPr>
          <w:rStyle w:val="VerbatimChar"/>
        </w:rPr>
        <w:t xml:space="preserve">configs/studies/paper3_hdpe_bi2o3_regime_c_250nm.json</w:t>
      </w:r>
      <w:r>
        <w:t xml:space="preserve">, physics list</w:t>
      </w:r>
      <w:r>
        <w:t xml:space="preserve"> </w:t>
      </w:r>
      <w:r>
        <w:rPr>
          <w:rStyle w:val="VerbatimChar"/>
        </w:rPr>
        <w:t xml:space="preserve">emlivermore</w:t>
      </w:r>
      <w:r>
        <w:t xml:space="preserve">,</w:t>
      </w:r>
      <w:r>
        <w:t xml:space="preserve"> </w:t>
      </w:r>
      <m:oMath>
        <m:sSup>
          <m:e>
            <m:r>
              <m:t>10</m:t>
            </m:r>
          </m:e>
          <m:sup>
            <m:r>
              <m:t>7</m:t>
            </m:r>
          </m:sup>
        </m:sSup>
      </m:oMath>
      <w:r>
        <w:t xml:space="preserve"> </w:t>
      </w:r>
      <w:r>
        <w:t xml:space="preserve">histories per energy, Geant4 11.4-beta-01, result directory</w:t>
      </w:r>
      <w:r>
        <w:t xml:space="preserve"> </w:t>
      </w:r>
      <w:r>
        <w:rPr>
          <w:rStyle w:val="VerbatimChar"/>
        </w:rPr>
        <w:t xml:space="preserve">results/paper3/regime_c_hdpe_bi2o3/</w:t>
      </w:r>
      <w:r>
        <w:t xml:space="preserve">.</w:t>
      </w:r>
    </w:p>
    <w:p>
      <w:pPr>
        <w:pStyle w:val="BodyText"/>
      </w:pPr>
      <w:r>
        <w:rPr>
          <w:b/>
          <w:bCs/>
        </w:rPr>
        <w:t xml:space="preserve">Geometry and scalability.</w:t>
      </w:r>
      <w:r>
        <w:t xml:space="preserve"> </w:t>
      </w:r>
      <w:r>
        <w:t xml:space="preserve">The</w:t>
      </w:r>
      <w:r>
        <w:t xml:space="preserve"> </w:t>
      </w:r>
      <w:r>
        <w:rPr>
          <w:rStyle w:val="VerbatimChar"/>
        </w:rPr>
        <w:t xml:space="preserve">G4Voxelizer</w:t>
      </w:r>
      <w:r>
        <w:t xml:space="preserve"> </w:t>
      </w:r>
      <w:r>
        <w:t xml:space="preserve">scales as</w:t>
      </w:r>
      <w:r>
        <w:t xml:space="preserve"> </w:t>
      </w:r>
      <m:oMath>
        <m:r>
          <m:rPr>
            <m:sty m:val="p"/>
          </m:rPr>
          <m:t>(</m:t>
        </m:r>
        <m:r>
          <m:t>2</m:t>
        </m:r>
        <m:r>
          <m:t>N</m:t>
        </m:r>
        <m:sSup>
          <m:e>
            <m:r>
              <m:rPr>
                <m:sty m:val="p"/>
              </m:rPr>
              <m:t>)</m:t>
            </m:r>
          </m:e>
          <m:sup>
            <m:r>
              <m:t>3</m:t>
            </m:r>
          </m:sup>
        </m:sSup>
      </m:oMath>
      <w:r>
        <w:t xml:space="preserve"> </w:t>
      </w:r>
      <w:r>
        <w:t xml:space="preserve">cells. The 1 µm RVE (</w:t>
      </w:r>
      <m:oMath>
        <m:r>
          <m:t>N</m:t>
        </m:r>
        <m:r>
          <m:rPr>
            <m:sty m:val="p"/>
          </m:rPr>
          <m:t>=</m:t>
        </m:r>
        <m:r>
          <m:t>2</m:t>
        </m:r>
        <m:r>
          <m:rPr>
            <m:sty m:val="p"/>
          </m:rPr>
          <m:t>,</m:t>
        </m:r>
        <m:r>
          <m:t>888</m:t>
        </m:r>
      </m:oMath>
      <w:r>
        <w:t xml:space="preserve">; $</w:t>
      </w:r>
      <w:r>
        <w:t xml:space="preserve">$193×10⁹ cells, OOM-killed at</w:t>
      </w:r>
      <w:r>
        <w:t xml:space="preserve"> </w:t>
      </w:r>
      <m:oMath>
        <m:r>
          <m:rPr>
            <m:sty m:val="p"/>
          </m:rPr>
          <m:t>&gt;</m:t>
        </m:r>
        <m:r>
          <m:t>7.2</m:t>
        </m:r>
      </m:oMath>
      <w:r>
        <w:t xml:space="preserve"> </w:t>
      </w:r>
      <w:r>
        <w:t xml:space="preserve">GB RSS) and 500 nm RVE (</w:t>
      </w:r>
      <m:oMath>
        <m:r>
          <m:t>N</m:t>
        </m:r>
        <m:r>
          <m:rPr>
            <m:sty m:val="p"/>
          </m:rPr>
          <m:t>=</m:t>
        </m:r>
        <m:r>
          <m:t>361</m:t>
        </m:r>
      </m:oMath>
      <w:r>
        <w:t xml:space="preserve">; $</w:t>
      </w:r>
      <m:oMath>
        <m:r>
          <m:t>3.5</m:t>
        </m:r>
        <m:r>
          <m:t>G</m:t>
        </m:r>
        <m:r>
          <m:t>B</m:t>
        </m:r>
        <m:r>
          <m:rPr>
            <m:sty m:val="p"/>
          </m:rPr>
          <m:t>,</m:t>
        </m:r>
        <m:r>
          <m:t>a</m:t>
        </m:r>
        <m:r>
          <m:t>l</m:t>
        </m:r>
        <m:r>
          <m:t>s</m:t>
        </m:r>
        <m:r>
          <m:t>o</m:t>
        </m:r>
        <m:r>
          <m:t>O</m:t>
        </m:r>
        <m:r>
          <m:t>O</m:t>
        </m:r>
        <m:r>
          <m:t>M</m:t>
        </m:r>
        <m:r>
          <m:rPr>
            <m:sty m:val="p"/>
          </m:rPr>
          <m:t>)</m:t>
        </m:r>
        <m:r>
          <m:t>a</m:t>
        </m:r>
        <m:r>
          <m:t>r</m:t>
        </m:r>
        <m:r>
          <m:t>e</m:t>
        </m:r>
        <m:r>
          <m:t>i</m:t>
        </m:r>
        <m:r>
          <m:t>n</m:t>
        </m:r>
        <m:r>
          <m:t>f</m:t>
        </m:r>
        <m:r>
          <m:t>e</m:t>
        </m:r>
        <m:r>
          <m:t>a</m:t>
        </m:r>
        <m:r>
          <m:t>s</m:t>
        </m:r>
        <m:r>
          <m:t>i</m:t>
        </m:r>
        <m:r>
          <m:t>b</m:t>
        </m:r>
        <m:r>
          <m:t>l</m:t>
        </m:r>
        <m:r>
          <m:t>e</m:t>
        </m:r>
        <m:r>
          <m:t>o</m:t>
        </m:r>
        <m:r>
          <m:t>n</m:t>
        </m:r>
        <m:r>
          <m:t>t</m:t>
        </m:r>
        <m:r>
          <m:t>h</m:t>
        </m:r>
        <m:r>
          <m:t>e</m:t>
        </m:r>
        <m:r>
          <m:t>8</m:t>
        </m:r>
        <m:r>
          <m:t>G</m:t>
        </m:r>
        <m:r>
          <m:t>B</m:t>
        </m:r>
        <m:r>
          <m:t>w</m:t>
        </m:r>
        <m:r>
          <m:t>o</m:t>
        </m:r>
        <m:r>
          <m:t>r</m:t>
        </m:r>
        <m:r>
          <m:t>k</m:t>
        </m:r>
        <m:r>
          <m:t>s</m:t>
        </m:r>
        <m:r>
          <m:t>t</m:t>
        </m:r>
        <m:r>
          <m:t>a</m:t>
        </m:r>
        <m:r>
          <m:t>t</m:t>
        </m:r>
        <m:r>
          <m:t>i</m:t>
        </m:r>
        <m:r>
          <m:t>o</m:t>
        </m:r>
        <m:r>
          <m:t>n</m:t>
        </m:r>
        <m:r>
          <m:rPr>
            <m:sty m:val="p"/>
          </m:rPr>
          <m:t>.</m:t>
        </m:r>
        <m:r>
          <m:t>T</m:t>
        </m:r>
        <m:r>
          <m:t>h</m:t>
        </m:r>
        <m:r>
          <m:t>e</m:t>
        </m:r>
        <m:r>
          <m:t>250</m:t>
        </m:r>
        <m:r>
          <m:t>n</m:t>
        </m:r>
        <m:r>
          <m:t>m</m:t>
        </m:r>
        <m:r>
          <m:t>R</m:t>
        </m:r>
        <m:r>
          <m:t>V</m:t>
        </m:r>
        <m:r>
          <m:t>E</m:t>
        </m:r>
        <m:r>
          <m:rPr>
            <m:sty m:val="p"/>
          </m:rPr>
          <m:t>(</m:t>
        </m:r>
      </m:oMath>
      <w:r>
        <w:t xml:space="preserve">N = 45$; 729,000 cells, 99 MB RSS) runs successfully.</w:t>
      </w:r>
    </w:p>
    <w:p>
      <w:pPr>
        <w:pStyle w:val="BodyText"/>
      </w:pPr>
      <w:r>
        <w:rPr>
          <w:b/>
          <w:bCs/>
        </w:rPr>
        <w:t xml:space="preserve">Geometry verification.</w:t>
      </w:r>
      <w:r>
        <w:t xml:space="preserve"> </w:t>
      </w:r>
      <w:r>
        <w:t xml:space="preserve">RSA seed 33,333. Placed 45/45 Bi₂O₃ spheres (</w:t>
      </w:r>
      <m:oMath>
        <m:r>
          <m:t>r</m:t>
        </m:r>
        <m:r>
          <m:rPr>
            <m:sty m:val="p"/>
          </m:rPr>
          <m:t>=</m:t>
        </m:r>
        <m:r>
          <m:t>25</m:t>
        </m:r>
      </m:oMath>
      <w:r>
        <w:t xml:space="preserve"> </w:t>
      </w:r>
      <w:r>
        <w:t xml:space="preserve">nm), achieved</w:t>
      </w:r>
      <w:r>
        <w:t xml:space="preserve"> </w:t>
      </w:r>
      <m:oMath>
        <m:sSub>
          <m:e>
            <m:r>
              <m:t>ϕ</m:t>
            </m:r>
          </m:e>
          <m:sub>
            <m:r>
              <m:t>f</m:t>
            </m:r>
          </m:sub>
        </m:sSub>
        <m:r>
          <m:rPr>
            <m:sty m:val="p"/>
          </m:rPr>
          <m:t>=</m:t>
        </m:r>
        <m:r>
          <m:t>0.188496</m:t>
        </m:r>
      </m:oMath>
      <w:r>
        <w:t xml:space="preserve">.</w:t>
      </w:r>
    </w:p>
    <w:bookmarkStart w:id="54" w:name="transmission-and-µ-results-1"/>
    <w:p>
      <w:pPr>
        <w:pStyle w:val="Heading4"/>
      </w:pPr>
      <w:r>
        <w:t xml:space="preserve">5.3.1 Transmission and µ results</w:t>
      </w:r>
    </w:p>
    <w:p>
      <w:pPr>
        <w:pStyle w:val="FirstParagraph"/>
      </w:pPr>
      <w:r>
        <w:rPr>
          <w:b/>
          <w:bCs/>
        </w:rPr>
        <w:t xml:space="preserve">Table 3.</w:t>
      </w:r>
      <w:r>
        <w:t xml:space="preserve"> </w:t>
      </w:r>
      <w:r>
        <w:t xml:space="preserve">Regime C mass attenuation coefficients (G4MultiUnion explicit RVE, 250 nm, 45 spheres, distributed beam,</w:t>
      </w:r>
      <w:r>
        <w:t xml:space="preserve"> </w:t>
      </w:r>
      <m:oMath>
        <m:sSup>
          <m:e>
            <m:r>
              <m:t>10</m:t>
            </m:r>
          </m:e>
          <m:sup>
            <m:r>
              <m:t>7</m:t>
            </m:r>
          </m:sup>
        </m:sSup>
      </m:oMath>
      <w:r>
        <w:t xml:space="preserve"> </w:t>
      </w:r>
      <w:r>
        <w:t xml:space="preserve">histories per point).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right"/>
            </w:pPr>
            <m:oMath>
              <m:r>
                <m:t>E</m:t>
              </m:r>
            </m:oMath>
            <w:r>
              <w:t xml:space="preserve"> </w:t>
            </w:r>
            <w:r>
              <w:t xml:space="preserve">(keV)</w:t>
            </w:r>
          </w:p>
        </w:tc>
        <w:tc>
          <w:tcPr/>
          <w:p>
            <w:pPr>
              <w:pStyle w:val="Compact"/>
              <w:jc w:val="right"/>
            </w:pPr>
            <m:oMath>
              <m:r>
                <m:t>T</m:t>
              </m:r>
            </m:oMath>
          </w:p>
        </w:tc>
        <w:tc>
          <w:tcPr/>
          <w:p>
            <w:pPr>
              <w:pStyle w:val="Compact"/>
              <w:jc w:val="right"/>
            </w:pPr>
            <m:oMath>
              <m:sSub>
                <m:e>
                  <m:r>
                    <m:t>μ</m:t>
                  </m:r>
                </m:e>
                <m:sub>
                  <m:r>
                    <m:rPr>
                      <m:nor/>
                      <m:sty m:val="p"/>
                    </m:rPr>
                    <m:t>sim</m:t>
                  </m:r>
                </m:sub>
              </m:sSub>
            </m:oMath>
            <w:r>
              <w:t xml:space="preserve"> </w:t>
            </w:r>
            <w:r>
              <w:t xml:space="preserve">(cm</w:t>
            </w:r>
            <m:oMath>
              <m:sSup>
                <m:e>
                  <m:r>
                    <m:t>​</m:t>
                  </m:r>
                </m:e>
                <m:sup>
                  <m:r>
                    <m:rPr>
                      <m:sty m:val="p"/>
                    </m:rPr>
                    <m:t>−</m:t>
                  </m:r>
                  <m:r>
                    <m:t>1</m:t>
                  </m:r>
                </m:sup>
              </m:sSup>
            </m:oMath>
            <w:r>
              <w:t xml:space="preserve">)</w:t>
            </w:r>
          </w:p>
        </w:tc>
        <w:tc>
          <w:tcPr/>
          <w:p>
            <w:pPr>
              <w:pStyle w:val="Compact"/>
              <w:jc w:val="right"/>
            </w:pPr>
            <m:oMath>
              <m:r>
                <m:rPr>
                  <m:sty m:val="p"/>
                </m:rPr>
                <m:t>(</m:t>
              </m:r>
              <m:r>
                <m:t>μ</m:t>
              </m:r>
              <m:r>
                <m:rPr>
                  <m:sty m:val="p"/>
                </m:rPr>
                <m:t>/</m:t>
              </m:r>
              <m:r>
                <m:t>ρ</m:t>
              </m:r>
              <m:sSub>
                <m:e>
                  <m:r>
                    <m:rPr>
                      <m:sty m:val="p"/>
                    </m:rPr>
                    <m:t>)</m:t>
                  </m:r>
                </m:e>
                <m:sub>
                  <m:r>
                    <m:rPr>
                      <m:nor/>
                      <m:sty m:val="p"/>
                    </m:rPr>
                    <m:t>sim</m:t>
                  </m:r>
                </m:sub>
              </m:sSub>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w:t>
            </w:r>
          </w:p>
        </w:tc>
        <w:tc>
          <w:tcPr/>
          <w:p>
            <w:pPr>
              <w:pStyle w:val="Compact"/>
              <w:jc w:val="right"/>
            </w:pPr>
            <m:oMath>
              <m:sSub>
                <m:e>
                  <m:r>
                    <m:t>N</m:t>
                  </m:r>
                </m:e>
                <m:sub>
                  <m:r>
                    <m:rPr>
                      <m:nor/>
                      <m:sty m:val="p"/>
                    </m:rPr>
                    <m:t>att</m:t>
                  </m:r>
                </m:sub>
              </m:sSub>
            </m:oMath>
          </w:p>
        </w:tc>
        <w:tc>
          <w:tcPr/>
          <w:p>
            <w:pPr>
              <w:pStyle w:val="Compact"/>
              <w:jc w:val="right"/>
            </w:pPr>
            <m:oMath>
              <m:sSub>
                <m:e>
                  <m:r>
                    <m:t>σ</m:t>
                  </m:r>
                </m:e>
                <m:sub>
                  <m:r>
                    <m:t>μ</m:t>
                  </m:r>
                </m:sub>
              </m:sSub>
              <m:r>
                <m:rPr>
                  <m:sty m:val="p"/>
                </m:rPr>
                <m:t>/</m:t>
              </m:r>
              <m:r>
                <m:t>μ</m:t>
              </m:r>
            </m:oMath>
            <w:r>
              <w:t xml:space="preserve"> </w:t>
            </w:r>
            <w:r>
              <w:t xml:space="preserve">(%)</w:t>
            </w:r>
          </w:p>
        </w:tc>
        <w:tc>
          <w:tcPr/>
          <w:p>
            <w:pPr>
              <w:pStyle w:val="Compact"/>
              <w:jc w:val="right"/>
            </w:pPr>
            <m:oMath>
              <m:r>
                <m:rPr>
                  <m:sty m:val="p"/>
                </m:rPr>
                <m:t>(</m:t>
              </m:r>
              <m:r>
                <m:t>μ</m:t>
              </m:r>
              <m:r>
                <m:rPr>
                  <m:sty m:val="p"/>
                </m:rPr>
                <m:t>/</m:t>
              </m:r>
              <m:r>
                <m:t>ρ</m:t>
              </m:r>
              <m:sSub>
                <m:e>
                  <m:r>
                    <m:rPr>
                      <m:sty m:val="p"/>
                    </m:rPr>
                    <m:t>)</m:t>
                  </m:r>
                </m:e>
                <m:sub>
                  <m:r>
                    <m:rPr>
                      <m:nor/>
                      <m:sty m:val="p"/>
                    </m:rPr>
                    <m:t>XCOM</m:t>
                  </m:r>
                </m:sub>
              </m:sSub>
            </m:oMath>
          </w:p>
        </w:tc>
        <w:tc>
          <w:tcPr/>
          <w:p>
            <w:pPr>
              <w:pStyle w:val="Compact"/>
              <w:jc w:val="right"/>
            </w:pPr>
            <m:oMath>
              <m:sSub>
                <m:e>
                  <m:r>
                    <m:rPr>
                      <m:sty m:val="p"/>
                    </m:rPr>
                    <m:t>Δ</m:t>
                  </m:r>
                </m:e>
                <m:sub>
                  <m:r>
                    <m:t>C</m:t>
                  </m:r>
                </m:sub>
              </m:sSub>
            </m:oMath>
            <w:r>
              <w:t xml:space="preserve"> </w:t>
            </w:r>
            <w:r>
              <w:t xml:space="preserve">(%)</w:t>
            </w:r>
          </w:p>
        </w:tc>
        <w:tc>
          <w:tcPr/>
          <w:p>
            <w:pPr>
              <w:pStyle w:val="Compact"/>
              <w:jc w:val="right"/>
            </w:pPr>
            <m:oMath>
              <m:sSub>
                <m:e>
                  <m:r>
                    <m:t>μ</m:t>
                  </m:r>
                </m:e>
                <m:sub>
                  <m:r>
                    <m:t>C</m:t>
                  </m:r>
                </m:sub>
              </m:sSub>
              <m:r>
                <m:rPr>
                  <m:sty m:val="p"/>
                </m:rPr>
                <m:t>/</m:t>
              </m:r>
              <m:sSub>
                <m:e>
                  <m:r>
                    <m:t>μ</m:t>
                  </m:r>
                </m:e>
                <m:sub>
                  <m:r>
                    <m:t>A</m:t>
                  </m:r>
                  <m:r>
                    <m:rPr>
                      <m:sty m:val="p"/>
                    </m:rPr>
                    <m:t>,</m:t>
                  </m:r>
                  <m:r>
                    <m:t>ϕ</m:t>
                  </m:r>
                </m:sub>
              </m:sSub>
            </m:oMath>
          </w:p>
        </w:tc>
      </w:tr>
      <w:tr>
        <w:tc>
          <w:tcPr/>
          <w:p>
            <w:pPr>
              <w:pStyle w:val="Compact"/>
              <w:jc w:val="right"/>
            </w:pPr>
            <w:r>
              <w:t xml:space="preserve">30</w:t>
            </w:r>
          </w:p>
        </w:tc>
        <w:tc>
          <w:tcPr/>
          <w:p>
            <w:pPr>
              <w:pStyle w:val="Compact"/>
              <w:jc w:val="right"/>
            </w:pPr>
            <w:r>
              <w:t xml:space="preserve">0.998822</w:t>
            </w:r>
          </w:p>
        </w:tc>
        <w:tc>
          <w:tcPr/>
          <w:p>
            <w:pPr>
              <w:pStyle w:val="Compact"/>
              <w:jc w:val="right"/>
            </w:pPr>
            <w:r>
              <w:t xml:space="preserve">47.164</w:t>
            </w:r>
          </w:p>
        </w:tc>
        <w:tc>
          <w:tcPr/>
          <w:p>
            <w:pPr>
              <w:pStyle w:val="Compact"/>
              <w:jc w:val="right"/>
            </w:pPr>
            <w:r>
              <w:t xml:space="preserve">19.23</w:t>
            </w:r>
          </w:p>
        </w:tc>
        <w:tc>
          <w:tcPr/>
          <w:p>
            <w:pPr>
              <w:pStyle w:val="Compact"/>
              <w:jc w:val="right"/>
            </w:pPr>
            <w:r>
              <w:t xml:space="preserve">11,780</w:t>
            </w:r>
          </w:p>
        </w:tc>
        <w:tc>
          <w:tcPr/>
          <w:p>
            <w:pPr>
              <w:pStyle w:val="Compact"/>
              <w:jc w:val="right"/>
            </w:pPr>
            <w:r>
              <w:t xml:space="preserve">0.92</w:t>
            </w:r>
          </w:p>
        </w:tc>
        <w:tc>
          <w:tcPr/>
          <w:p>
            <w:pPr>
              <w:pStyle w:val="Compact"/>
              <w:jc w:val="right"/>
            </w:pPr>
            <w:r>
              <w:t xml:space="preserve">19.507</w:t>
            </w:r>
          </w:p>
        </w:tc>
        <w:tc>
          <w:tcPr/>
          <w:p>
            <w:pPr>
              <w:pStyle w:val="Compact"/>
              <w:jc w:val="right"/>
            </w:pPr>
            <w:r>
              <w:t xml:space="preserve">−1.40</w:t>
            </w:r>
          </w:p>
        </w:tc>
        <w:tc>
          <w:tcPr/>
          <w:p>
            <w:pPr>
              <w:pStyle w:val="Compact"/>
              <w:jc w:val="right"/>
            </w:pPr>
            <w:r>
              <w:t xml:space="preserve">0.984</w:t>
            </w:r>
          </w:p>
        </w:tc>
      </w:tr>
      <w:tr>
        <w:tc>
          <w:tcPr/>
          <w:p>
            <w:pPr>
              <w:pStyle w:val="Compact"/>
              <w:jc w:val="right"/>
            </w:pPr>
            <w:r>
              <w:t xml:space="preserve">50</w:t>
            </w:r>
          </w:p>
        </w:tc>
        <w:tc>
          <w:tcPr/>
          <w:p>
            <w:pPr>
              <w:pStyle w:val="Compact"/>
              <w:jc w:val="right"/>
            </w:pPr>
            <w:r>
              <w:t xml:space="preserve">0.999675</w:t>
            </w:r>
          </w:p>
        </w:tc>
        <w:tc>
          <w:tcPr/>
          <w:p>
            <w:pPr>
              <w:pStyle w:val="Compact"/>
              <w:jc w:val="right"/>
            </w:pPr>
            <w:r>
              <w:t xml:space="preserve">12.998</w:t>
            </w:r>
          </w:p>
        </w:tc>
        <w:tc>
          <w:tcPr/>
          <w:p>
            <w:pPr>
              <w:pStyle w:val="Compact"/>
              <w:jc w:val="right"/>
            </w:pPr>
            <w:r>
              <w:t xml:space="preserve">5.301</w:t>
            </w:r>
          </w:p>
        </w:tc>
        <w:tc>
          <w:tcPr/>
          <w:p>
            <w:pPr>
              <w:pStyle w:val="Compact"/>
              <w:jc w:val="right"/>
            </w:pPr>
            <w:r>
              <w:t xml:space="preserve">3,250</w:t>
            </w:r>
          </w:p>
        </w:tc>
        <w:tc>
          <w:tcPr/>
          <w:p>
            <w:pPr>
              <w:pStyle w:val="Compact"/>
              <w:jc w:val="right"/>
            </w:pPr>
            <w:r>
              <w:t xml:space="preserve">1.75</w:t>
            </w:r>
          </w:p>
        </w:tc>
        <w:tc>
          <w:tcPr/>
          <w:p>
            <w:pPr>
              <w:pStyle w:val="Compact"/>
              <w:jc w:val="right"/>
            </w:pPr>
            <w:r>
              <w:t xml:space="preserve">5.236</w:t>
            </w:r>
          </w:p>
        </w:tc>
        <w:tc>
          <w:tcPr/>
          <w:p>
            <w:pPr>
              <w:pStyle w:val="Compact"/>
              <w:jc w:val="right"/>
            </w:pPr>
            <w:r>
              <w:t xml:space="preserve">+1.24</w:t>
            </w:r>
          </w:p>
        </w:tc>
        <w:tc>
          <w:tcPr/>
          <w:p>
            <w:pPr>
              <w:pStyle w:val="Compact"/>
              <w:jc w:val="right"/>
            </w:pPr>
            <w:r>
              <w:t xml:space="preserve">1.016</w:t>
            </w:r>
          </w:p>
        </w:tc>
      </w:tr>
      <w:tr>
        <w:tc>
          <w:tcPr/>
          <w:p>
            <w:pPr>
              <w:pStyle w:val="Compact"/>
              <w:jc w:val="right"/>
            </w:pPr>
            <w:r>
              <w:t xml:space="preserve">80</w:t>
            </w:r>
          </w:p>
        </w:tc>
        <w:tc>
          <w:tcPr/>
          <w:p>
            <w:pPr>
              <w:pStyle w:val="Compact"/>
              <w:jc w:val="right"/>
            </w:pPr>
            <w:r>
              <w:t xml:space="preserve">0.999902</w:t>
            </w:r>
          </w:p>
        </w:tc>
        <w:tc>
          <w:tcPr/>
          <w:p>
            <w:pPr>
              <w:pStyle w:val="Compact"/>
              <w:jc w:val="right"/>
            </w:pPr>
            <w:r>
              <w:t xml:space="preserve">3.932</w:t>
            </w:r>
          </w:p>
        </w:tc>
        <w:tc>
          <w:tcPr/>
          <w:p>
            <w:pPr>
              <w:pStyle w:val="Compact"/>
              <w:jc w:val="right"/>
            </w:pPr>
            <w:r>
              <w:t xml:space="preserve">1.604</w:t>
            </w:r>
          </w:p>
        </w:tc>
        <w:tc>
          <w:tcPr/>
          <w:p>
            <w:pPr>
              <w:pStyle w:val="Compact"/>
              <w:jc w:val="right"/>
            </w:pPr>
            <w:r>
              <w:t xml:space="preserve">980</w:t>
            </w:r>
          </w:p>
        </w:tc>
        <w:tc>
          <w:tcPr/>
          <w:p>
            <w:pPr>
              <w:pStyle w:val="Compact"/>
              <w:jc w:val="right"/>
            </w:pPr>
            <w:r>
              <w:t xml:space="preserve">3.19</w:t>
            </w:r>
          </w:p>
        </w:tc>
        <w:tc>
          <w:tcPr/>
          <w:p>
            <w:pPr>
              <w:pStyle w:val="Compact"/>
              <w:jc w:val="right"/>
            </w:pPr>
            <w:r>
              <w:t xml:space="preserve">1.621</w:t>
            </w:r>
          </w:p>
        </w:tc>
        <w:tc>
          <w:tcPr/>
          <w:p>
            <w:pPr>
              <w:pStyle w:val="Compact"/>
              <w:jc w:val="right"/>
            </w:pPr>
            <w:r>
              <w:t xml:space="preserve">−1.05</w:t>
            </w:r>
          </w:p>
        </w:tc>
        <w:tc>
          <w:tcPr/>
          <w:p>
            <w:pPr>
              <w:pStyle w:val="Compact"/>
              <w:jc w:val="right"/>
            </w:pPr>
            <w:r>
              <w:t xml:space="preserve">1.014</w:t>
            </w:r>
          </w:p>
        </w:tc>
      </w:tr>
      <w:tr>
        <w:tc>
          <w:tcPr/>
          <w:p>
            <w:pPr>
              <w:pStyle w:val="Compact"/>
              <w:jc w:val="right"/>
            </w:pPr>
            <w:r>
              <w:t xml:space="preserve">100</w:t>
            </w:r>
          </w:p>
        </w:tc>
        <w:tc>
          <w:tcPr/>
          <w:p>
            <w:pPr>
              <w:pStyle w:val="Compact"/>
              <w:jc w:val="right"/>
            </w:pPr>
            <w:r>
              <w:t xml:space="preserve">0.999785</w:t>
            </w:r>
          </w:p>
        </w:tc>
        <w:tc>
          <w:tcPr/>
          <w:p>
            <w:pPr>
              <w:pStyle w:val="Compact"/>
              <w:jc w:val="right"/>
            </w:pPr>
            <w:r>
              <w:t xml:space="preserve">8.617</w:t>
            </w:r>
          </w:p>
        </w:tc>
        <w:tc>
          <w:tcPr/>
          <w:p>
            <w:pPr>
              <w:pStyle w:val="Compact"/>
              <w:jc w:val="right"/>
            </w:pPr>
            <w:r>
              <w:t xml:space="preserve">3.514</w:t>
            </w:r>
          </w:p>
        </w:tc>
        <w:tc>
          <w:tcPr/>
          <w:p>
            <w:pPr>
              <w:pStyle w:val="Compact"/>
              <w:jc w:val="right"/>
            </w:pPr>
            <w:r>
              <w:t xml:space="preserve">2,150</w:t>
            </w:r>
          </w:p>
        </w:tc>
        <w:tc>
          <w:tcPr/>
          <w:p>
            <w:pPr>
              <w:pStyle w:val="Compact"/>
              <w:jc w:val="right"/>
            </w:pPr>
            <w:r>
              <w:t xml:space="preserve">2.15</w:t>
            </w:r>
          </w:p>
        </w:tc>
        <w:tc>
          <w:tcPr/>
          <w:p>
            <w:pPr>
              <w:pStyle w:val="Compact"/>
              <w:jc w:val="right"/>
            </w:pPr>
            <w:r>
              <w:t xml:space="preserve">3.596</w:t>
            </w:r>
          </w:p>
        </w:tc>
        <w:tc>
          <w:tcPr/>
          <w:p>
            <w:pPr>
              <w:pStyle w:val="Compact"/>
              <w:jc w:val="right"/>
            </w:pPr>
            <w:r>
              <w:t xml:space="preserve">−2.28</w:t>
            </w:r>
          </w:p>
        </w:tc>
        <w:tc>
          <w:tcPr/>
          <w:p>
            <w:pPr>
              <w:pStyle w:val="Compact"/>
              <w:jc w:val="right"/>
            </w:pPr>
            <w:r>
              <w:t xml:space="preserve">0.982</w:t>
            </w:r>
          </w:p>
        </w:tc>
      </w:tr>
      <w:tr>
        <w:tc>
          <w:tcPr/>
          <w:p>
            <w:pPr>
              <w:pStyle w:val="Compact"/>
              <w:jc w:val="right"/>
            </w:pPr>
            <w:r>
              <w:t xml:space="preserve">150</w:t>
            </w:r>
          </w:p>
        </w:tc>
        <w:tc>
          <w:tcPr/>
          <w:p>
            <w:pPr>
              <w:pStyle w:val="Compact"/>
              <w:jc w:val="right"/>
            </w:pPr>
            <w:r>
              <w:t xml:space="preserve">0.999919</w:t>
            </w:r>
          </w:p>
        </w:tc>
        <w:tc>
          <w:tcPr/>
          <w:p>
            <w:pPr>
              <w:pStyle w:val="Compact"/>
              <w:jc w:val="right"/>
            </w:pPr>
            <w:r>
              <w:t xml:space="preserve">3.224</w:t>
            </w:r>
          </w:p>
        </w:tc>
        <w:tc>
          <w:tcPr/>
          <w:p>
            <w:pPr>
              <w:pStyle w:val="Compact"/>
              <w:jc w:val="right"/>
            </w:pPr>
            <w:r>
              <w:t xml:space="preserve">1.315</w:t>
            </w:r>
          </w:p>
        </w:tc>
        <w:tc>
          <w:tcPr/>
          <w:p>
            <w:pPr>
              <w:pStyle w:val="Compact"/>
              <w:jc w:val="right"/>
            </w:pPr>
            <w:r>
              <w:t xml:space="preserve">810</w:t>
            </w:r>
          </w:p>
        </w:tc>
        <w:tc>
          <w:tcPr/>
          <w:p>
            <w:pPr>
              <w:pStyle w:val="Compact"/>
              <w:jc w:val="right"/>
            </w:pPr>
            <w:r>
              <w:t xml:space="preserve">3.51</w:t>
            </w:r>
          </w:p>
        </w:tc>
        <w:tc>
          <w:tcPr/>
          <w:p>
            <w:pPr>
              <w:pStyle w:val="Compact"/>
              <w:jc w:val="right"/>
            </w:pPr>
            <w:r>
              <w:t xml:space="preserve">1.339</w:t>
            </w:r>
          </w:p>
        </w:tc>
        <w:tc>
          <w:tcPr/>
          <w:p>
            <w:pPr>
              <w:pStyle w:val="Compact"/>
              <w:jc w:val="right"/>
            </w:pPr>
            <w:r>
              <w:t xml:space="preserve">−1.79</w:t>
            </w:r>
          </w:p>
        </w:tc>
        <w:tc>
          <w:tcPr/>
          <w:p>
            <w:pPr>
              <w:pStyle w:val="Compact"/>
              <w:jc w:val="right"/>
            </w:pPr>
            <w:r>
              <w:t xml:space="preserve">0.984</w:t>
            </w:r>
          </w:p>
        </w:tc>
      </w:tr>
      <w:tr>
        <w:tc>
          <w:tcPr/>
          <w:p>
            <w:pPr>
              <w:pStyle w:val="Compact"/>
              <w:jc w:val="right"/>
            </w:pPr>
            <w:r>
              <w:t xml:space="preserve">356†</w:t>
            </w:r>
          </w:p>
        </w:tc>
        <w:tc>
          <w:tcPr/>
          <w:p>
            <w:pPr>
              <w:pStyle w:val="Compact"/>
              <w:jc w:val="right"/>
            </w:pPr>
            <w:r>
              <w:t xml:space="preserve">0.999987</w:t>
            </w:r>
          </w:p>
        </w:tc>
        <w:tc>
          <w:tcPr/>
          <w:p>
            <w:pPr>
              <w:pStyle w:val="Compact"/>
              <w:jc w:val="right"/>
            </w:pPr>
            <w:r>
              <w:t xml:space="preserve">0.5280</w:t>
            </w:r>
          </w:p>
        </w:tc>
        <w:tc>
          <w:tcPr/>
          <w:p>
            <w:pPr>
              <w:pStyle w:val="Compact"/>
              <w:jc w:val="right"/>
            </w:pPr>
            <w:r>
              <w:t xml:space="preserve">0.2153</w:t>
            </w:r>
          </w:p>
        </w:tc>
        <w:tc>
          <w:tcPr/>
          <w:p>
            <w:pPr>
              <w:pStyle w:val="Compact"/>
              <w:jc w:val="right"/>
            </w:pPr>
            <w:r>
              <w:t xml:space="preserve">130</w:t>
            </w:r>
          </w:p>
        </w:tc>
        <w:tc>
          <w:tcPr/>
          <w:p>
            <w:pPr>
              <w:pStyle w:val="Compact"/>
              <w:jc w:val="right"/>
            </w:pPr>
            <w:r>
              <w:t xml:space="preserve">8.77</w:t>
            </w:r>
          </w:p>
        </w:tc>
        <w:tc>
          <w:tcPr/>
          <w:p>
            <w:pPr>
              <w:pStyle w:val="Compact"/>
              <w:jc w:val="right"/>
            </w:pPr>
            <w:r>
              <w:t xml:space="preserve">0.2270</w:t>
            </w:r>
          </w:p>
        </w:tc>
        <w:tc>
          <w:tcPr/>
          <w:p>
            <w:pPr>
              <w:pStyle w:val="Compact"/>
              <w:jc w:val="right"/>
            </w:pPr>
            <w:r>
              <w:t xml:space="preserve">−5.15†</w:t>
            </w:r>
          </w:p>
        </w:tc>
        <w:tc>
          <w:tcPr/>
          <w:p>
            <w:pPr>
              <w:pStyle w:val="Compact"/>
              <w:jc w:val="right"/>
            </w:pPr>
            <w:r>
              <w:t xml:space="preserve">0.957†</w:t>
            </w:r>
          </w:p>
        </w:tc>
      </w:tr>
      <w:tr>
        <w:tc>
          <w:tcPr/>
          <w:p>
            <w:pPr>
              <w:pStyle w:val="Compact"/>
              <w:jc w:val="right"/>
            </w:pPr>
            <w:r>
              <w:t xml:space="preserve">511†</w:t>
            </w:r>
          </w:p>
        </w:tc>
        <w:tc>
          <w:tcPr/>
          <w:p>
            <w:pPr>
              <w:pStyle w:val="Compact"/>
              <w:jc w:val="right"/>
            </w:pPr>
            <w:r>
              <w:t xml:space="preserve">0.999991</w:t>
            </w:r>
          </w:p>
        </w:tc>
        <w:tc>
          <w:tcPr/>
          <w:p>
            <w:pPr>
              <w:pStyle w:val="Compact"/>
              <w:jc w:val="right"/>
            </w:pPr>
            <w:r>
              <w:t xml:space="preserve">0.3640</w:t>
            </w:r>
          </w:p>
        </w:tc>
        <w:tc>
          <w:tcPr/>
          <w:p>
            <w:pPr>
              <w:pStyle w:val="Compact"/>
              <w:jc w:val="right"/>
            </w:pPr>
            <w:r>
              <w:t xml:space="preserve">0.1485</w:t>
            </w:r>
          </w:p>
        </w:tc>
        <w:tc>
          <w:tcPr/>
          <w:p>
            <w:pPr>
              <w:pStyle w:val="Compact"/>
              <w:jc w:val="right"/>
            </w:pPr>
            <w:r>
              <w:t xml:space="preserve">90</w:t>
            </w:r>
          </w:p>
        </w:tc>
        <w:tc>
          <w:tcPr/>
          <w:p>
            <w:pPr>
              <w:pStyle w:val="Compact"/>
              <w:jc w:val="right"/>
            </w:pPr>
            <w:r>
              <w:t xml:space="preserve">10.5</w:t>
            </w:r>
          </w:p>
        </w:tc>
        <w:tc>
          <w:tcPr/>
          <w:p>
            <w:pPr>
              <w:pStyle w:val="Compact"/>
              <w:jc w:val="right"/>
            </w:pPr>
            <w:r>
              <w:t xml:space="preserve">0.1358</w:t>
            </w:r>
          </w:p>
        </w:tc>
        <w:tc>
          <w:tcPr/>
          <w:p>
            <w:pPr>
              <w:pStyle w:val="Compact"/>
              <w:jc w:val="right"/>
            </w:pPr>
            <w:r>
              <w:t xml:space="preserve">+9.35†</w:t>
            </w:r>
          </w:p>
        </w:tc>
        <w:tc>
          <w:tcPr/>
          <w:p>
            <w:pPr>
              <w:pStyle w:val="Compact"/>
              <w:jc w:val="right"/>
            </w:pPr>
            <w:r>
              <w:t xml:space="preserve">1.097†</w:t>
            </w:r>
          </w:p>
        </w:tc>
      </w:tr>
      <w:tr>
        <w:tc>
          <w:tcPr/>
          <w:p>
            <w:pPr>
              <w:pStyle w:val="Compact"/>
              <w:jc w:val="right"/>
            </w:pPr>
            <w:r>
              <w:t xml:space="preserve">662†</w:t>
            </w:r>
          </w:p>
        </w:tc>
        <w:tc>
          <w:tcPr/>
          <w:p>
            <w:pPr>
              <w:pStyle w:val="Compact"/>
              <w:jc w:val="right"/>
            </w:pPr>
            <w:r>
              <w:t xml:space="preserve">0.999994</w:t>
            </w:r>
          </w:p>
        </w:tc>
        <w:tc>
          <w:tcPr/>
          <w:p>
            <w:pPr>
              <w:pStyle w:val="Compact"/>
              <w:jc w:val="right"/>
            </w:pPr>
            <w:r>
              <w:t xml:space="preserve">0.2560</w:t>
            </w:r>
          </w:p>
        </w:tc>
        <w:tc>
          <w:tcPr/>
          <w:p>
            <w:pPr>
              <w:pStyle w:val="Compact"/>
              <w:jc w:val="right"/>
            </w:pPr>
            <w:r>
              <w:t xml:space="preserve">0.1044</w:t>
            </w:r>
          </w:p>
        </w:tc>
        <w:tc>
          <w:tcPr/>
          <w:p>
            <w:pPr>
              <w:pStyle w:val="Compact"/>
              <w:jc w:val="right"/>
            </w:pPr>
            <w:r>
              <w:t xml:space="preserve">60</w:t>
            </w:r>
          </w:p>
        </w:tc>
        <w:tc>
          <w:tcPr/>
          <w:p>
            <w:pPr>
              <w:pStyle w:val="Compact"/>
              <w:jc w:val="right"/>
            </w:pPr>
            <w:r>
              <w:t xml:space="preserve">12.9</w:t>
            </w:r>
          </w:p>
        </w:tc>
        <w:tc>
          <w:tcPr/>
          <w:p>
            <w:pPr>
              <w:pStyle w:val="Compact"/>
              <w:jc w:val="right"/>
            </w:pPr>
            <w:r>
              <w:t xml:space="preserve">0.1029</w:t>
            </w:r>
          </w:p>
        </w:tc>
        <w:tc>
          <w:tcPr/>
          <w:p>
            <w:pPr>
              <w:pStyle w:val="Compact"/>
              <w:jc w:val="right"/>
            </w:pPr>
            <w:r>
              <w:t xml:space="preserve">+1.46†</w:t>
            </w:r>
          </w:p>
        </w:tc>
        <w:tc>
          <w:tcPr/>
          <w:p>
            <w:pPr>
              <w:pStyle w:val="Compact"/>
              <w:jc w:val="right"/>
            </w:pPr>
            <w:r>
              <w:t xml:space="preserve">1.023†</w:t>
            </w:r>
          </w:p>
        </w:tc>
      </w:tr>
      <w:tr>
        <w:tc>
          <w:tcPr/>
          <w:p>
            <w:pPr>
              <w:pStyle w:val="Compact"/>
              <w:jc w:val="right"/>
            </w:pPr>
            <w:r>
              <w:t xml:space="preserve">1173†</w:t>
            </w:r>
          </w:p>
        </w:tc>
        <w:tc>
          <w:tcPr/>
          <w:p>
            <w:pPr>
              <w:pStyle w:val="Compact"/>
              <w:jc w:val="right"/>
            </w:pPr>
            <w:r>
              <w:t xml:space="preserve">0.999997</w:t>
            </w:r>
          </w:p>
        </w:tc>
        <w:tc>
          <w:tcPr/>
          <w:p>
            <w:pPr>
              <w:pStyle w:val="Compact"/>
              <w:jc w:val="right"/>
            </w:pPr>
            <w:r>
              <w:t xml:space="preserve">0.1200</w:t>
            </w:r>
          </w:p>
        </w:tc>
        <w:tc>
          <w:tcPr/>
          <w:p>
            <w:pPr>
              <w:pStyle w:val="Compact"/>
              <w:jc w:val="right"/>
            </w:pPr>
            <w:r>
              <w:t xml:space="preserve">0.0489</w:t>
            </w:r>
          </w:p>
        </w:tc>
        <w:tc>
          <w:tcPr/>
          <w:p>
            <w:pPr>
              <w:pStyle w:val="Compact"/>
              <w:jc w:val="right"/>
            </w:pPr>
            <w:r>
              <w:t xml:space="preserve">30</w:t>
            </w:r>
          </w:p>
        </w:tc>
        <w:tc>
          <w:tcPr/>
          <w:p>
            <w:pPr>
              <w:pStyle w:val="Compact"/>
              <w:jc w:val="right"/>
            </w:pPr>
            <w:r>
              <w:t xml:space="preserve">18.3</w:t>
            </w:r>
          </w:p>
        </w:tc>
        <w:tc>
          <w:tcPr/>
          <w:p>
            <w:pPr>
              <w:pStyle w:val="Compact"/>
              <w:jc w:val="right"/>
            </w:pPr>
            <w:r>
              <w:t xml:space="preserve">0.0639</w:t>
            </w:r>
          </w:p>
        </w:tc>
        <w:tc>
          <w:tcPr/>
          <w:p>
            <w:pPr>
              <w:pStyle w:val="Compact"/>
              <w:jc w:val="right"/>
            </w:pPr>
            <w:r>
              <w:t xml:space="preserve">−23.5†</w:t>
            </w:r>
          </w:p>
        </w:tc>
        <w:tc>
          <w:tcPr/>
          <w:p>
            <w:pPr>
              <w:pStyle w:val="Compact"/>
              <w:jc w:val="right"/>
            </w:pPr>
            <w:r>
              <w:t xml:space="preserve">0.769†</w:t>
            </w:r>
          </w:p>
        </w:tc>
      </w:tr>
      <w:tr>
        <w:tc>
          <w:tcPr/>
          <w:p>
            <w:pPr>
              <w:pStyle w:val="Compact"/>
              <w:jc w:val="right"/>
            </w:pPr>
            <w:r>
              <w:t xml:space="preserve">1332†</w:t>
            </w:r>
          </w:p>
        </w:tc>
        <w:tc>
          <w:tcPr/>
          <w:p>
            <w:pPr>
              <w:pStyle w:val="Compact"/>
              <w:jc w:val="right"/>
            </w:pPr>
            <w:r>
              <w:t xml:space="preserve">0.999996</w:t>
            </w:r>
          </w:p>
        </w:tc>
        <w:tc>
          <w:tcPr/>
          <w:p>
            <w:pPr>
              <w:pStyle w:val="Compact"/>
              <w:jc w:val="right"/>
            </w:pPr>
            <w:r>
              <w:t xml:space="preserve">0.1440</w:t>
            </w:r>
          </w:p>
        </w:tc>
        <w:tc>
          <w:tcPr/>
          <w:p>
            <w:pPr>
              <w:pStyle w:val="Compact"/>
              <w:jc w:val="right"/>
            </w:pPr>
            <w:r>
              <w:t xml:space="preserve">0.0587</w:t>
            </w:r>
          </w:p>
        </w:tc>
        <w:tc>
          <w:tcPr/>
          <w:p>
            <w:pPr>
              <w:pStyle w:val="Compact"/>
              <w:jc w:val="right"/>
            </w:pPr>
            <w:r>
              <w:t xml:space="preserve">40</w:t>
            </w:r>
          </w:p>
        </w:tc>
        <w:tc>
          <w:tcPr/>
          <w:p>
            <w:pPr>
              <w:pStyle w:val="Compact"/>
              <w:jc w:val="right"/>
            </w:pPr>
            <w:r>
              <w:t xml:space="preserve">15.8</w:t>
            </w:r>
          </w:p>
        </w:tc>
        <w:tc>
          <w:tcPr/>
          <w:p>
            <w:pPr>
              <w:pStyle w:val="Compact"/>
              <w:jc w:val="right"/>
            </w:pPr>
            <w:r>
              <w:t xml:space="preserve">0.0588</w:t>
            </w:r>
          </w:p>
        </w:tc>
        <w:tc>
          <w:tcPr/>
          <w:p>
            <w:pPr>
              <w:pStyle w:val="Compact"/>
              <w:jc w:val="right"/>
            </w:pPr>
            <w:r>
              <w:t xml:space="preserve">−0.17†</w:t>
            </w:r>
          </w:p>
        </w:tc>
        <w:tc>
          <w:tcPr/>
          <w:p>
            <w:pPr>
              <w:pStyle w:val="Compact"/>
              <w:jc w:val="right"/>
            </w:pPr>
            <w:r>
              <w:t xml:space="preserve">1.009†</w:t>
            </w:r>
          </w:p>
        </w:tc>
      </w:tr>
    </w:tbl>
    <w:p>
      <w:pPr>
        <w:pStyle w:val="BodyText"/>
      </w:pPr>
      <w:r>
        <w:t xml:space="preserve">† Statistically dominated:</w:t>
      </w:r>
      <w:r>
        <w:t xml:space="preserve"> </w:t>
      </w:r>
      <m:oMath>
        <m:sSub>
          <m:e>
            <m:r>
              <m:t>N</m:t>
            </m:r>
          </m:e>
          <m:sub>
            <m:r>
              <m:rPr>
                <m:nor/>
                <m:sty m:val="p"/>
              </m:rPr>
              <m:t>att</m:t>
            </m:r>
          </m:sub>
        </m:sSub>
        <m:r>
          <m:rPr>
            <m:sty m:val="p"/>
          </m:rPr>
          <m:t>&lt;</m:t>
        </m:r>
        <m:r>
          <m:t>200</m:t>
        </m:r>
      </m:oMath>
      <w:r>
        <w:t xml:space="preserve">;</w:t>
      </w:r>
      <w:r>
        <w:t xml:space="preserve"> </w:t>
      </w:r>
      <m:oMath>
        <m:r>
          <m:rPr>
            <m:sty m:val="p"/>
          </m:rPr>
          <m:t>Δ</m:t>
        </m:r>
      </m:oMath>
      <w:r>
        <w:t xml:space="preserve"> </w:t>
      </w:r>
      <w:r>
        <w:t xml:space="preserve">reflects sampling noise, not physics deviation.</w:t>
      </w:r>
    </w:p>
    <w:p>
      <w:pPr>
        <w:pStyle w:val="BodyText"/>
      </w:pPr>
      <w:r>
        <w:t xml:space="preserve">Figure 4 isolates the main scalability result of the paper.</w:t>
      </w:r>
    </w:p>
    <w:p>
      <w:pPr>
        <w:pStyle w:val="CaptionedFigure"/>
      </w:pPr>
      <w:r>
        <w:drawing>
          <wp:inline>
            <wp:extent cx="5334000" cy="2243185"/>
            <wp:effectExtent b="0" l="0" r="0" t="0"/>
            <wp:docPr descr="Figure 4. G4MultiUnion scalability on the 8 GB workstation used in this study. (A) Estimated voxel-cell growth versus tested RVE size and sphere count. (B) Observed resident set size and feasibility outcome, showing why 250 nm / N = 45 is the largest practical regime-C configuration in this environment." title="" id="52" name="Picture"/>
            <a:graphic>
              <a:graphicData uri="http://schemas.openxmlformats.org/drawingml/2006/picture">
                <pic:pic>
                  <pic:nvPicPr>
                    <pic:cNvPr descr="../../../results/paper3/figures/paper3_fig4_multiunion_scalability.png" id="53" name="Picture"/>
                    <pic:cNvPicPr>
                      <a:picLocks noChangeArrowheads="1" noChangeAspect="1"/>
                    </pic:cNvPicPr>
                  </pic:nvPicPr>
                  <pic:blipFill>
                    <a:blip r:embed="rId51"/>
                    <a:stretch>
                      <a:fillRect/>
                    </a:stretch>
                  </pic:blipFill>
                  <pic:spPr bwMode="auto">
                    <a:xfrm>
                      <a:off x="0" y="0"/>
                      <a:ext cx="5334000" cy="2243185"/>
                    </a:xfrm>
                    <a:prstGeom prst="rect">
                      <a:avLst/>
                    </a:prstGeom>
                    <a:noFill/>
                    <a:ln w="9525">
                      <a:noFill/>
                      <a:headEnd/>
                      <a:tailEnd/>
                    </a:ln>
                  </pic:spPr>
                </pic:pic>
              </a:graphicData>
            </a:graphic>
          </wp:inline>
        </w:drawing>
      </w:r>
    </w:p>
    <w:p>
      <w:pPr>
        <w:pStyle w:val="ImageCaption"/>
      </w:pPr>
      <w:r>
        <w:t xml:space="preserve">Figure 4.</w:t>
      </w:r>
      <w:r>
        <w:t xml:space="preserve"> </w:t>
      </w:r>
      <w:r>
        <w:rPr>
          <w:rStyle w:val="VerbatimChar"/>
        </w:rPr>
        <w:t xml:space="preserve">G4MultiUnion</w:t>
      </w:r>
      <w:r>
        <w:t xml:space="preserve"> </w:t>
      </w:r>
      <w:r>
        <w:t xml:space="preserve">scalability on the 8 GB workstation used in this study. (A) Estimated voxel-cell growth versus tested RVE size and sphere count. (B) Observed resident set size and feasibility outcome, showing why 250 nm /</w:t>
      </w:r>
      <w:r>
        <w:t xml:space="preserve"> </w:t>
      </w:r>
      <m:oMath>
        <m:r>
          <m:t>N</m:t>
        </m:r>
        <m:r>
          <m:rPr>
            <m:sty m:val="p"/>
          </m:rPr>
          <m:t>=</m:t>
        </m:r>
        <m:r>
          <m:t>45</m:t>
        </m:r>
      </m:oMath>
      <w:r>
        <w:t xml:space="preserve"> </w:t>
      </w:r>
      <w:r>
        <w:t xml:space="preserve">is the largest practical regime-C configuration in this environment.</w:t>
      </w:r>
    </w:p>
    <w:bookmarkEnd w:id="54"/>
    <w:bookmarkEnd w:id="55"/>
    <w:bookmarkStart w:id="59" w:name="cross-regime-comparison-figure"/>
    <w:p>
      <w:pPr>
        <w:pStyle w:val="Heading3"/>
      </w:pPr>
      <w:r>
        <w:t xml:space="preserve">5.4 Cross-Regime Comparison Figure</w:t>
      </w:r>
    </w:p>
    <w:p>
      <w:pPr>
        <w:pStyle w:val="FirstParagraph"/>
      </w:pPr>
      <w:r>
        <w:t xml:space="preserve">Figure 5 overlays the regime A(phi0p189)</w:t>
      </w:r>
      <w:r>
        <w:t xml:space="preserve"> </w:t>
      </w:r>
      <m:oMath>
        <m:r>
          <m:rPr>
            <m:sty m:val="p"/>
          </m:rPr>
          <m:t>(</m:t>
        </m:r>
        <m:r>
          <m:t>μ</m:t>
        </m:r>
        <m:r>
          <m:rPr>
            <m:sty m:val="p"/>
          </m:rPr>
          <m:t>/</m:t>
        </m:r>
        <m:r>
          <m:t>ρ</m:t>
        </m:r>
        <m:r>
          <m:rPr>
            <m:sty m:val="p"/>
          </m:rPr>
          <m:t>)</m:t>
        </m:r>
      </m:oMath>
      <w:r>
        <w:t xml:space="preserve"> </w:t>
      </w:r>
      <w:r>
        <w:t xml:space="preserve">data (Table 1b), regime B data (Table 2), and regime C data (Table 3) against NIST XCOM. The three curves overlap closely at 30–150 keV, confirming H1 for all three regimes.</w:t>
      </w:r>
    </w:p>
    <w:p>
      <w:pPr>
        <w:pStyle w:val="CaptionedFigure"/>
      </w:pPr>
      <w:r>
        <w:drawing>
          <wp:inline>
            <wp:extent cx="4533900" cy="3089322"/>
            <wp:effectExtent b="0" l="0" r="0" t="0"/>
            <wp:docPr descr="Figure 5. Cross-regime mass attenuation coefficient comparison for regime A(phi0p189), regime B, and regime C against NIST XCOM, with 95% statistical confidence intervals on the simulated points. Agreement at 30–150 keV confirms H1 across all three regimes, while high-energy explicit-RVE points become statistics-limited." title="" id="57" name="Picture"/>
            <a:graphic>
              <a:graphicData uri="http://schemas.openxmlformats.org/drawingml/2006/picture">
                <pic:pic>
                  <pic:nvPicPr>
                    <pic:cNvPr descr="../../../results/paper3/figures/paper3_fig5_cross_regime_mac.png" id="58" name="Picture"/>
                    <pic:cNvPicPr>
                      <a:picLocks noChangeArrowheads="1" noChangeAspect="1"/>
                    </pic:cNvPicPr>
                  </pic:nvPicPr>
                  <pic:blipFill>
                    <a:blip r:embed="rId56"/>
                    <a:stretch>
                      <a:fillRect/>
                    </a:stretch>
                  </pic:blipFill>
                  <pic:spPr bwMode="auto">
                    <a:xfrm>
                      <a:off x="0" y="0"/>
                      <a:ext cx="4533900" cy="3089322"/>
                    </a:xfrm>
                    <a:prstGeom prst="rect">
                      <a:avLst/>
                    </a:prstGeom>
                    <a:noFill/>
                    <a:ln w="9525">
                      <a:noFill/>
                      <a:headEnd/>
                      <a:tailEnd/>
                    </a:ln>
                  </pic:spPr>
                </pic:pic>
              </a:graphicData>
            </a:graphic>
          </wp:inline>
        </w:drawing>
      </w:r>
    </w:p>
    <w:p>
      <w:pPr>
        <w:pStyle w:val="ImageCaption"/>
      </w:pPr>
      <w:r>
        <w:t xml:space="preserve">Figure 5. Cross-regime mass attenuation coefficient comparison for regime A(phi0p189), regime B, and regime C against NIST XCOM, with 95% statistical confidence intervals on the simulated points. Agreement at 30–150 keV confirms H1 across all three regimes, while high-energy explicit-RVE points become statistics-limited.</w:t>
      </w:r>
    </w:p>
    <w:p>
      <w:r>
        <w:pict>
          <v:rect style="width:0;height:1.5pt" o:hralign="center" o:hrstd="t" o:hr="t"/>
        </w:pict>
      </w:r>
    </w:p>
    <w:bookmarkEnd w:id="59"/>
    <w:bookmarkStart w:id="60" w:name="hdpewo₃-regime-a-second-k-edge-benchmark"/>
    <w:p>
      <w:pPr>
        <w:pStyle w:val="Heading3"/>
      </w:pPr>
      <w:r>
        <w:t xml:space="preserve">5.5 HDPE/WO₃ Regime A — Second K-Edge Benchmark</w:t>
      </w:r>
    </w:p>
    <w:p>
      <w:pPr>
        <w:pStyle w:val="FirstParagraph"/>
      </w:pPr>
      <w:r>
        <w:rPr>
          <w:b/>
          <w:bCs/>
        </w:rPr>
        <w:t xml:space="preserve">Run provenance:</w:t>
      </w:r>
      <w:r>
        <w:t xml:space="preserve"> </w:t>
      </w:r>
      <w:r>
        <w:t xml:space="preserve">study file</w:t>
      </w:r>
      <w:r>
        <w:t xml:space="preserve"> </w:t>
      </w:r>
      <w:r>
        <w:rPr>
          <w:rStyle w:val="VerbatimChar"/>
        </w:rPr>
        <w:t xml:space="preserve">configs/studies/paper3_hdpe_wo3_regime_a_phi0p189.json</w:t>
      </w:r>
      <w:r>
        <w:t xml:space="preserve">, physics list</w:t>
      </w:r>
      <w:r>
        <w:t xml:space="preserve"> </w:t>
      </w:r>
      <w:r>
        <w:rPr>
          <w:rStyle w:val="VerbatimChar"/>
        </w:rPr>
        <w:t xml:space="preserve">emlivermore</w:t>
      </w:r>
      <w:r>
        <w:t xml:space="preserve">,</w:t>
      </w:r>
      <w:r>
        <w:t xml:space="preserve"> </w:t>
      </w:r>
      <m:oMath>
        <m:sSup>
          <m:e>
            <m:r>
              <m:t>10</m:t>
            </m:r>
          </m:e>
          <m:sup>
            <m:r>
              <m:t>6</m:t>
            </m:r>
          </m:sup>
        </m:sSup>
      </m:oMath>
      <w:r>
        <w:t xml:space="preserve"> </w:t>
      </w:r>
      <w:r>
        <w:t xml:space="preserve">histories per energy, Geant4 11.4, result directory</w:t>
      </w:r>
      <w:r>
        <w:t xml:space="preserve"> </w:t>
      </w:r>
      <w:r>
        <w:rPr>
          <w:rStyle w:val="VerbatimChar"/>
        </w:rPr>
        <w:t xml:space="preserve">results/paper3/regime_a_hdpe_wo3_phi0p189/</w:t>
      </w:r>
      <w:r>
        <w:t xml:space="preserve">. All 10 energies complete.</w:t>
      </w:r>
    </w:p>
    <w:p>
      <w:pPr>
        <w:pStyle w:val="BodyText"/>
      </w:pPr>
      <w:r>
        <w:rPr>
          <w:b/>
          <w:bCs/>
        </w:rPr>
        <w:t xml:space="preserve">Material:</w:t>
      </w:r>
      <w:r>
        <w:t xml:space="preserve"> </w:t>
      </w:r>
      <w:r>
        <w:t xml:space="preserve">P3_HDPE_WO3_phi0p189 — HDPE (36.28 wt%) + WO₃ (63.72 wt%) at</w:t>
      </w:r>
      <w:r>
        <w:t xml:space="preserve"> </w:t>
      </w:r>
      <m:oMath>
        <m:r>
          <m:t>ρ</m:t>
        </m:r>
        <m:r>
          <m:rPr>
            <m:sty m:val="p"/>
          </m:rPr>
          <m:t>=</m:t>
        </m:r>
        <m:r>
          <m:t>2.124</m:t>
        </m:r>
      </m:oMath>
      <w:r>
        <w:t xml:space="preserve"> </w:t>
      </w:r>
      <w:r>
        <w:t xml:space="preserve">g cm</w:t>
      </w:r>
      <m:oMath>
        <m:sSup>
          <m:e>
            <m:r>
              <m:t>​</m:t>
            </m:r>
          </m:e>
          <m:sup>
            <m:r>
              <m:rPr>
                <m:sty m:val="p"/>
              </m:rPr>
              <m:t>−</m:t>
            </m:r>
            <m:r>
              <m:t>3</m:t>
            </m:r>
          </m:sup>
        </m:sSup>
      </m:oMath>
      <w:r>
        <w:t xml:space="preserve">. Elemental mass fractions: w(W) = 0.50528, w(O) = 0.13192, w(C) = 0.31066, w(H) = 0.05214. The W K-edge lies at 69.525 keV, positioned between the 50 keV and 80 keV grid points.</w:t>
      </w:r>
    </w:p>
    <w:p>
      <w:pPr>
        <w:pStyle w:val="BodyText"/>
      </w:pPr>
      <w:r>
        <w:rPr>
          <w:b/>
          <w:bCs/>
        </w:rPr>
        <w:t xml:space="preserve">Table 1c.</w:t>
      </w:r>
      <w:r>
        <w:t xml:space="preserve"> </w:t>
      </w:r>
      <w:r>
        <w:t xml:space="preserve">Regime A HDPE/WO₃ φ=0.189 (63.7 wt%,</w:t>
      </w:r>
      <w:r>
        <w:t xml:space="preserve"> </w:t>
      </w:r>
      <m:oMath>
        <m:r>
          <m:t>ρ</m:t>
        </m:r>
        <m:r>
          <m:rPr>
            <m:sty m:val="p"/>
          </m:rPr>
          <m:t>=</m:t>
        </m:r>
        <m:r>
          <m:t>2.124</m:t>
        </m:r>
      </m:oMath>
      <w:r>
        <w:t xml:space="preserve"> </w:t>
      </w:r>
      <w:r>
        <w:t xml:space="preserve">g cm</w:t>
      </w:r>
      <m:oMath>
        <m:sSup>
          <m:e>
            <m:r>
              <m:t>​</m:t>
            </m:r>
          </m:e>
          <m:sup>
            <m:r>
              <m:rPr>
                <m:sty m:val="p"/>
              </m:rPr>
              <m:t>−</m:t>
            </m:r>
            <m:r>
              <m:t>3</m:t>
            </m:r>
          </m:sup>
        </m:sSup>
      </m:oMath>
      <w:r>
        <w:t xml:space="preserve">) mass attenuation coefficients vs NIST XCOM. Benchmark:</w:t>
      </w:r>
      <w:r>
        <w:t xml:space="preserve"> </w:t>
      </w:r>
      <w:r>
        <w:rPr>
          <w:b/>
          <w:bCs/>
        </w:rPr>
        <w:t xml:space="preserve">passed</w:t>
      </w:r>
      <w:r>
        <w:t xml:space="preserve"> </w:t>
      </w:r>
      <w:r>
        <w:t xml:space="preserve">(mean |Δ| = 0.42%, max |Δ| = 0.97%).</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right"/>
            </w:pPr>
            <m:oMath>
              <m:r>
                <m:t>E</m:t>
              </m:r>
            </m:oMath>
            <w:r>
              <w:t xml:space="preserve"> </w:t>
            </w:r>
            <w:r>
              <w:t xml:space="preserve">(keV)</w:t>
            </w:r>
          </w:p>
        </w:tc>
        <w:tc>
          <w:tcPr/>
          <w:p>
            <w:pPr>
              <w:pStyle w:val="Compact"/>
              <w:jc w:val="right"/>
            </w:pPr>
            <m:oMath>
              <m:r>
                <m:t>t</m:t>
              </m:r>
            </m:oMath>
            <w:r>
              <w:t xml:space="preserve"> </w:t>
            </w:r>
            <w:r>
              <w:t xml:space="preserve">(cm)</w:t>
            </w:r>
          </w:p>
        </w:tc>
        <w:tc>
          <w:tcPr/>
          <w:p>
            <w:pPr>
              <w:pStyle w:val="Compact"/>
              <w:jc w:val="right"/>
            </w:pPr>
            <m:oMath>
              <m:r>
                <m:t>T</m:t>
              </m:r>
            </m:oMath>
          </w:p>
        </w:tc>
        <w:tc>
          <w:tcPr/>
          <w:p>
            <w:pPr>
              <w:pStyle w:val="Compact"/>
              <w:jc w:val="right"/>
            </w:pPr>
            <m:oMath>
              <m:sSub>
                <m:e>
                  <m:r>
                    <m:t>μ</m:t>
                  </m:r>
                </m:e>
                <m:sub>
                  <m:r>
                    <m:rPr>
                      <m:nor/>
                      <m:sty m:val="p"/>
                    </m:rPr>
                    <m:t>sim</m:t>
                  </m:r>
                </m:sub>
              </m:sSub>
            </m:oMath>
            <w:r>
              <w:t xml:space="preserve"> </w:t>
            </w:r>
            <w:r>
              <w:t xml:space="preserve">(cm</w:t>
            </w:r>
            <m:oMath>
              <m:sSup>
                <m:e>
                  <m:r>
                    <m:t>​</m:t>
                  </m:r>
                </m:e>
                <m:sup>
                  <m:r>
                    <m:rPr>
                      <m:sty m:val="p"/>
                    </m:rPr>
                    <m:t>−</m:t>
                  </m:r>
                  <m:r>
                    <m:t>1</m:t>
                  </m:r>
                </m:sup>
              </m:sSup>
            </m:oMath>
            <w:r>
              <w:t xml:space="preserve">)</w:t>
            </w:r>
          </w:p>
        </w:tc>
        <w:tc>
          <w:tcPr/>
          <w:p>
            <w:pPr>
              <w:pStyle w:val="Compact"/>
              <w:jc w:val="right"/>
            </w:pPr>
            <m:oMath>
              <m:r>
                <m:rPr>
                  <m:sty m:val="p"/>
                </m:rPr>
                <m:t>(</m:t>
              </m:r>
              <m:r>
                <m:t>μ</m:t>
              </m:r>
              <m:r>
                <m:rPr>
                  <m:sty m:val="p"/>
                </m:rPr>
                <m:t>/</m:t>
              </m:r>
              <m:r>
                <m:t>ρ</m:t>
              </m:r>
              <m:sSub>
                <m:e>
                  <m:r>
                    <m:rPr>
                      <m:sty m:val="p"/>
                    </m:rPr>
                    <m:t>)</m:t>
                  </m:r>
                </m:e>
                <m:sub>
                  <m:r>
                    <m:rPr>
                      <m:nor/>
                      <m:sty m:val="p"/>
                    </m:rPr>
                    <m:t>sim</m:t>
                  </m:r>
                </m:sub>
              </m:sSub>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w:t>
            </w:r>
          </w:p>
        </w:tc>
        <w:tc>
          <w:tcPr/>
          <w:p>
            <w:pPr>
              <w:pStyle w:val="Compact"/>
              <w:jc w:val="right"/>
            </w:pPr>
            <m:oMath>
              <m:r>
                <m:rPr>
                  <m:sty m:val="p"/>
                </m:rPr>
                <m:t>(</m:t>
              </m:r>
              <m:r>
                <m:t>μ</m:t>
              </m:r>
              <m:r>
                <m:rPr>
                  <m:sty m:val="p"/>
                </m:rPr>
                <m:t>/</m:t>
              </m:r>
              <m:r>
                <m:t>ρ</m:t>
              </m:r>
              <m:sSub>
                <m:e>
                  <m:r>
                    <m:rPr>
                      <m:sty m:val="p"/>
                    </m:rPr>
                    <m:t>)</m:t>
                  </m:r>
                </m:e>
                <m:sub>
                  <m:r>
                    <m:rPr>
                      <m:nor/>
                      <m:sty m:val="p"/>
                    </m:rPr>
                    <m:t>XCOM</m:t>
                  </m:r>
                </m:sub>
              </m:sSub>
            </m:oMath>
          </w:p>
        </w:tc>
        <w:tc>
          <w:tcPr/>
          <w:p>
            <w:pPr>
              <w:pStyle w:val="Compact"/>
              <w:jc w:val="right"/>
            </w:pPr>
            <m:oMath>
              <m:r>
                <m:rPr>
                  <m:sty m:val="p"/>
                </m:rPr>
                <m:t>Δ</m:t>
              </m:r>
            </m:oMath>
            <w:r>
              <w:t xml:space="preserve"> </w:t>
            </w:r>
            <w:r>
              <w:t xml:space="preserve">(%)</w:t>
            </w:r>
          </w:p>
        </w:tc>
      </w:tr>
      <w:tr>
        <w:tc>
          <w:tcPr/>
          <w:p>
            <w:pPr>
              <w:pStyle w:val="Compact"/>
              <w:jc w:val="right"/>
            </w:pPr>
            <w:r>
              <w:t xml:space="preserve">30</w:t>
            </w:r>
          </w:p>
        </w:tc>
        <w:tc>
          <w:tcPr/>
          <w:p>
            <w:pPr>
              <w:pStyle w:val="Compact"/>
              <w:jc w:val="right"/>
            </w:pPr>
            <w:r>
              <w:t xml:space="preserve">0.0174345</w:t>
            </w:r>
          </w:p>
        </w:tc>
        <w:tc>
          <w:tcPr/>
          <w:p>
            <w:pPr>
              <w:pStyle w:val="Compact"/>
              <w:jc w:val="right"/>
            </w:pPr>
            <w:r>
              <w:t xml:space="preserve">0.64933</w:t>
            </w:r>
          </w:p>
        </w:tc>
        <w:tc>
          <w:tcPr/>
          <w:p>
            <w:pPr>
              <w:pStyle w:val="Compact"/>
              <w:jc w:val="right"/>
            </w:pPr>
            <w:r>
              <w:t xml:space="preserve">24.768</w:t>
            </w:r>
          </w:p>
        </w:tc>
        <w:tc>
          <w:tcPr/>
          <w:p>
            <w:pPr>
              <w:pStyle w:val="Compact"/>
              <w:jc w:val="right"/>
            </w:pPr>
            <w:r>
              <w:t xml:space="preserve">11.661</w:t>
            </w:r>
          </w:p>
        </w:tc>
        <w:tc>
          <w:tcPr/>
          <w:p>
            <w:pPr>
              <w:pStyle w:val="Compact"/>
              <w:jc w:val="right"/>
            </w:pPr>
            <w:r>
              <w:t xml:space="preserve">11.633</w:t>
            </w:r>
          </w:p>
        </w:tc>
        <w:tc>
          <w:tcPr/>
          <w:p>
            <w:pPr>
              <w:pStyle w:val="Compact"/>
              <w:jc w:val="right"/>
            </w:pPr>
            <w:r>
              <w:t xml:space="preserve">+0.24</w:t>
            </w:r>
          </w:p>
        </w:tc>
      </w:tr>
      <w:tr>
        <w:tc>
          <w:tcPr/>
          <w:p>
            <w:pPr>
              <w:pStyle w:val="Compact"/>
              <w:jc w:val="right"/>
            </w:pPr>
            <w:r>
              <w:t xml:space="preserve">50</w:t>
            </w:r>
          </w:p>
        </w:tc>
        <w:tc>
          <w:tcPr/>
          <w:p>
            <w:pPr>
              <w:pStyle w:val="Compact"/>
              <w:jc w:val="right"/>
            </w:pPr>
            <w:r>
              <w:t xml:space="preserve">0.0652215</w:t>
            </w:r>
          </w:p>
        </w:tc>
        <w:tc>
          <w:tcPr/>
          <w:p>
            <w:pPr>
              <w:pStyle w:val="Compact"/>
              <w:jc w:val="right"/>
            </w:pPr>
            <w:r>
              <w:t xml:space="preserve">0.65271</w:t>
            </w:r>
          </w:p>
        </w:tc>
        <w:tc>
          <w:tcPr/>
          <w:p>
            <w:pPr>
              <w:pStyle w:val="Compact"/>
              <w:jc w:val="right"/>
            </w:pPr>
            <w:r>
              <w:t xml:space="preserve">6.5410</w:t>
            </w:r>
          </w:p>
        </w:tc>
        <w:tc>
          <w:tcPr/>
          <w:p>
            <w:pPr>
              <w:pStyle w:val="Compact"/>
              <w:jc w:val="right"/>
            </w:pPr>
            <w:r>
              <w:t xml:space="preserve">3.080</w:t>
            </w:r>
          </w:p>
        </w:tc>
        <w:tc>
          <w:tcPr/>
          <w:p>
            <w:pPr>
              <w:pStyle w:val="Compact"/>
              <w:jc w:val="right"/>
            </w:pPr>
            <w:r>
              <w:t xml:space="preserve">3.110</w:t>
            </w:r>
          </w:p>
        </w:tc>
        <w:tc>
          <w:tcPr/>
          <w:p>
            <w:pPr>
              <w:pStyle w:val="Compact"/>
              <w:jc w:val="right"/>
            </w:pPr>
            <w:r>
              <w:t xml:space="preserve">−0.97</w:t>
            </w:r>
          </w:p>
        </w:tc>
      </w:tr>
      <w:tr>
        <w:tc>
          <w:tcPr/>
          <w:p>
            <w:pPr>
              <w:pStyle w:val="Compact"/>
              <w:jc w:val="right"/>
            </w:pPr>
            <w:r>
              <w:rPr>
                <w:b/>
                <w:bCs/>
              </w:rPr>
              <w:t xml:space="preserve">80</w:t>
            </w:r>
          </w:p>
        </w:tc>
        <w:tc>
          <w:tcPr/>
          <w:p>
            <w:pPr>
              <w:pStyle w:val="Compact"/>
              <w:jc w:val="right"/>
            </w:pPr>
            <w:r>
              <w:rPr>
                <w:b/>
                <w:bCs/>
              </w:rPr>
              <w:t xml:space="preserve">0.0502704</w:t>
            </w:r>
          </w:p>
        </w:tc>
        <w:tc>
          <w:tcPr/>
          <w:p>
            <w:pPr>
              <w:pStyle w:val="Compact"/>
              <w:jc w:val="right"/>
            </w:pPr>
            <w:r>
              <w:rPr>
                <w:b/>
                <w:bCs/>
              </w:rPr>
              <w:t xml:space="preserve">0.64928</w:t>
            </w:r>
          </w:p>
        </w:tc>
        <w:tc>
          <w:tcPr/>
          <w:p>
            <w:pPr>
              <w:pStyle w:val="Compact"/>
              <w:jc w:val="right"/>
            </w:pPr>
            <w:r>
              <w:rPr>
                <w:b/>
                <w:bCs/>
              </w:rPr>
              <w:t xml:space="preserve">8.5915</w:t>
            </w:r>
          </w:p>
        </w:tc>
        <w:tc>
          <w:tcPr/>
          <w:p>
            <w:pPr>
              <w:pStyle w:val="Compact"/>
              <w:jc w:val="right"/>
            </w:pPr>
            <w:r>
              <w:rPr>
                <w:b/>
                <w:bCs/>
              </w:rPr>
              <w:t xml:space="preserve">4.045</w:t>
            </w:r>
          </w:p>
        </w:tc>
        <w:tc>
          <w:tcPr/>
          <w:p>
            <w:pPr>
              <w:pStyle w:val="Compact"/>
              <w:jc w:val="right"/>
            </w:pPr>
            <w:r>
              <w:rPr>
                <w:b/>
                <w:bCs/>
              </w:rPr>
              <w:t xml:space="preserve">4.035</w:t>
            </w:r>
          </w:p>
        </w:tc>
        <w:tc>
          <w:tcPr/>
          <w:p>
            <w:pPr>
              <w:pStyle w:val="Compact"/>
              <w:jc w:val="right"/>
            </w:pPr>
            <w:r>
              <w:rPr>
                <w:b/>
                <w:bCs/>
              </w:rPr>
              <w:t xml:space="preserve">+0.26</w:t>
            </w:r>
          </w:p>
        </w:tc>
      </w:tr>
      <w:tr>
        <w:tc>
          <w:tcPr/>
          <w:p>
            <w:pPr>
              <w:pStyle w:val="Compact"/>
              <w:jc w:val="right"/>
            </w:pPr>
            <w:r>
              <w:t xml:space="preserve">100</w:t>
            </w:r>
          </w:p>
        </w:tc>
        <w:tc>
          <w:tcPr/>
          <w:p>
            <w:pPr>
              <w:pStyle w:val="Compact"/>
              <w:jc w:val="right"/>
            </w:pPr>
            <w:r>
              <w:t xml:space="preserve">0.0872224</w:t>
            </w:r>
          </w:p>
        </w:tc>
        <w:tc>
          <w:tcPr/>
          <w:p>
            <w:pPr>
              <w:pStyle w:val="Compact"/>
              <w:jc w:val="right"/>
            </w:pPr>
            <w:r>
              <w:t xml:space="preserve">0.64963</w:t>
            </w:r>
          </w:p>
        </w:tc>
        <w:tc>
          <w:tcPr/>
          <w:p>
            <w:pPr>
              <w:pStyle w:val="Compact"/>
              <w:jc w:val="right"/>
            </w:pPr>
            <w:r>
              <w:t xml:space="preserve">4.9454</w:t>
            </w:r>
          </w:p>
        </w:tc>
        <w:tc>
          <w:tcPr/>
          <w:p>
            <w:pPr>
              <w:pStyle w:val="Compact"/>
              <w:jc w:val="right"/>
            </w:pPr>
            <w:r>
              <w:t xml:space="preserve">2.328</w:t>
            </w:r>
          </w:p>
        </w:tc>
        <w:tc>
          <w:tcPr/>
          <w:p>
            <w:pPr>
              <w:pStyle w:val="Compact"/>
              <w:jc w:val="right"/>
            </w:pPr>
            <w:r>
              <w:t xml:space="preserve">2.325</w:t>
            </w:r>
          </w:p>
        </w:tc>
        <w:tc>
          <w:tcPr/>
          <w:p>
            <w:pPr>
              <w:pStyle w:val="Compact"/>
              <w:jc w:val="right"/>
            </w:pPr>
            <w:r>
              <w:t xml:space="preserve">+0.13</w:t>
            </w:r>
          </w:p>
        </w:tc>
      </w:tr>
      <w:tr>
        <w:tc>
          <w:tcPr/>
          <w:p>
            <w:pPr>
              <w:pStyle w:val="Compact"/>
              <w:jc w:val="right"/>
            </w:pPr>
            <w:r>
              <w:t xml:space="preserve">150</w:t>
            </w:r>
          </w:p>
        </w:tc>
        <w:tc>
          <w:tcPr/>
          <w:p>
            <w:pPr>
              <w:pStyle w:val="Compact"/>
              <w:jc w:val="right"/>
            </w:pPr>
            <w:r>
              <w:t xml:space="preserve">0.232462</w:t>
            </w:r>
          </w:p>
        </w:tc>
        <w:tc>
          <w:tcPr/>
          <w:p>
            <w:pPr>
              <w:pStyle w:val="Compact"/>
              <w:jc w:val="right"/>
            </w:pPr>
            <w:r>
              <w:t xml:space="preserve">0.64980</w:t>
            </w:r>
          </w:p>
        </w:tc>
        <w:tc>
          <w:tcPr/>
          <w:p>
            <w:pPr>
              <w:pStyle w:val="Compact"/>
              <w:jc w:val="right"/>
            </w:pPr>
            <w:r>
              <w:t xml:space="preserve">1.8545</w:t>
            </w:r>
          </w:p>
        </w:tc>
        <w:tc>
          <w:tcPr/>
          <w:p>
            <w:pPr>
              <w:pStyle w:val="Compact"/>
              <w:jc w:val="right"/>
            </w:pPr>
            <w:r>
              <w:t xml:space="preserve">0.8731</w:t>
            </w:r>
          </w:p>
        </w:tc>
        <w:tc>
          <w:tcPr/>
          <w:p>
            <w:pPr>
              <w:pStyle w:val="Compact"/>
              <w:jc w:val="right"/>
            </w:pPr>
            <w:r>
              <w:t xml:space="preserve">0.8725</w:t>
            </w:r>
          </w:p>
        </w:tc>
        <w:tc>
          <w:tcPr/>
          <w:p>
            <w:pPr>
              <w:pStyle w:val="Compact"/>
              <w:jc w:val="right"/>
            </w:pPr>
            <w:r>
              <w:t xml:space="preserve">+0.07</w:t>
            </w:r>
          </w:p>
        </w:tc>
      </w:tr>
      <w:tr>
        <w:tc>
          <w:tcPr/>
          <w:p>
            <w:pPr>
              <w:pStyle w:val="Compact"/>
              <w:jc w:val="right"/>
            </w:pPr>
            <w:r>
              <w:t xml:space="preserve">356</w:t>
            </w:r>
          </w:p>
        </w:tc>
        <w:tc>
          <w:tcPr/>
          <w:p>
            <w:pPr>
              <w:pStyle w:val="Compact"/>
              <w:jc w:val="right"/>
            </w:pPr>
            <w:r>
              <w:t xml:space="preserve">1.16155</w:t>
            </w:r>
          </w:p>
        </w:tc>
        <w:tc>
          <w:tcPr/>
          <w:p>
            <w:pPr>
              <w:pStyle w:val="Compact"/>
              <w:jc w:val="right"/>
            </w:pPr>
            <w:r>
              <w:t xml:space="preserve">0.65266</w:t>
            </w:r>
          </w:p>
        </w:tc>
        <w:tc>
          <w:tcPr/>
          <w:p>
            <w:pPr>
              <w:pStyle w:val="Compact"/>
              <w:jc w:val="right"/>
            </w:pPr>
            <w:r>
              <w:t xml:space="preserve">0.36736</w:t>
            </w:r>
          </w:p>
        </w:tc>
        <w:tc>
          <w:tcPr/>
          <w:p>
            <w:pPr>
              <w:pStyle w:val="Compact"/>
              <w:jc w:val="right"/>
            </w:pPr>
            <w:r>
              <w:t xml:space="preserve">0.1730</w:t>
            </w:r>
          </w:p>
        </w:tc>
        <w:tc>
          <w:tcPr/>
          <w:p>
            <w:pPr>
              <w:pStyle w:val="Compact"/>
              <w:jc w:val="right"/>
            </w:pPr>
            <w:r>
              <w:t xml:space="preserve">0.1746</w:t>
            </w:r>
          </w:p>
        </w:tc>
        <w:tc>
          <w:tcPr/>
          <w:p>
            <w:pPr>
              <w:pStyle w:val="Compact"/>
              <w:jc w:val="right"/>
            </w:pPr>
            <w:r>
              <w:t xml:space="preserve">−0.95</w:t>
            </w:r>
          </w:p>
        </w:tc>
      </w:tr>
      <w:tr>
        <w:tc>
          <w:tcPr/>
          <w:p>
            <w:pPr>
              <w:pStyle w:val="Compact"/>
              <w:jc w:val="right"/>
            </w:pPr>
            <w:r>
              <w:t xml:space="preserve">511</w:t>
            </w:r>
          </w:p>
        </w:tc>
        <w:tc>
          <w:tcPr/>
          <w:p>
            <w:pPr>
              <w:pStyle w:val="Compact"/>
              <w:jc w:val="right"/>
            </w:pPr>
            <w:r>
              <w:t xml:space="preserve">1.76532</w:t>
            </w:r>
          </w:p>
        </w:tc>
        <w:tc>
          <w:tcPr/>
          <w:p>
            <w:pPr>
              <w:pStyle w:val="Compact"/>
              <w:jc w:val="right"/>
            </w:pPr>
            <w:r>
              <w:t xml:space="preserve">0.65076</w:t>
            </w:r>
          </w:p>
        </w:tc>
        <w:tc>
          <w:tcPr/>
          <w:p>
            <w:pPr>
              <w:pStyle w:val="Compact"/>
              <w:jc w:val="right"/>
            </w:pPr>
            <w:r>
              <w:t xml:space="preserve">0.24336</w:t>
            </w:r>
          </w:p>
        </w:tc>
        <w:tc>
          <w:tcPr/>
          <w:p>
            <w:pPr>
              <w:pStyle w:val="Compact"/>
              <w:jc w:val="right"/>
            </w:pPr>
            <w:r>
              <w:t xml:space="preserve">0.1146</w:t>
            </w:r>
          </w:p>
        </w:tc>
        <w:tc>
          <w:tcPr/>
          <w:p>
            <w:pPr>
              <w:pStyle w:val="Compact"/>
              <w:jc w:val="right"/>
            </w:pPr>
            <w:r>
              <w:t xml:space="preserve">0.1149</w:t>
            </w:r>
          </w:p>
        </w:tc>
        <w:tc>
          <w:tcPr/>
          <w:p>
            <w:pPr>
              <w:pStyle w:val="Compact"/>
              <w:jc w:val="right"/>
            </w:pPr>
            <w:r>
              <w:t xml:space="preserve">−0.27</w:t>
            </w:r>
          </w:p>
        </w:tc>
      </w:tr>
      <w:tr>
        <w:tc>
          <w:tcPr/>
          <w:p>
            <w:pPr>
              <w:pStyle w:val="Compact"/>
              <w:jc w:val="right"/>
            </w:pPr>
            <w:r>
              <w:t xml:space="preserve">662</w:t>
            </w:r>
          </w:p>
        </w:tc>
        <w:tc>
          <w:tcPr/>
          <w:p>
            <w:pPr>
              <w:pStyle w:val="Compact"/>
              <w:jc w:val="right"/>
            </w:pPr>
            <w:r>
              <w:t xml:space="preserve">2.2073</w:t>
            </w:r>
          </w:p>
        </w:tc>
        <w:tc>
          <w:tcPr/>
          <w:p>
            <w:pPr>
              <w:pStyle w:val="Compact"/>
              <w:jc w:val="right"/>
            </w:pPr>
            <w:r>
              <w:t xml:space="preserve">0.65125</w:t>
            </w:r>
          </w:p>
        </w:tc>
        <w:tc>
          <w:tcPr/>
          <w:p>
            <w:pPr>
              <w:pStyle w:val="Compact"/>
              <w:jc w:val="right"/>
            </w:pPr>
            <w:r>
              <w:t xml:space="preserve">0.19429</w:t>
            </w:r>
          </w:p>
        </w:tc>
        <w:tc>
          <w:tcPr/>
          <w:p>
            <w:pPr>
              <w:pStyle w:val="Compact"/>
              <w:jc w:val="right"/>
            </w:pPr>
            <w:r>
              <w:t xml:space="preserve">0.09147</w:t>
            </w:r>
          </w:p>
        </w:tc>
        <w:tc>
          <w:tcPr/>
          <w:p>
            <w:pPr>
              <w:pStyle w:val="Compact"/>
              <w:jc w:val="right"/>
            </w:pPr>
            <w:r>
              <w:t xml:space="preserve">0.09188</w:t>
            </w:r>
          </w:p>
        </w:tc>
        <w:tc>
          <w:tcPr/>
          <w:p>
            <w:pPr>
              <w:pStyle w:val="Compact"/>
              <w:jc w:val="right"/>
            </w:pPr>
            <w:r>
              <w:t xml:space="preserve">−0.45</w:t>
            </w:r>
          </w:p>
        </w:tc>
      </w:tr>
      <w:tr>
        <w:tc>
          <w:tcPr/>
          <w:p>
            <w:pPr>
              <w:pStyle w:val="Compact"/>
              <w:jc w:val="right"/>
            </w:pPr>
            <w:r>
              <w:t xml:space="preserve">1173</w:t>
            </w:r>
          </w:p>
        </w:tc>
        <w:tc>
          <w:tcPr/>
          <w:p>
            <w:pPr>
              <w:pStyle w:val="Compact"/>
              <w:jc w:val="right"/>
            </w:pPr>
            <w:r>
              <w:t xml:space="preserve">3.28865</w:t>
            </w:r>
          </w:p>
        </w:tc>
        <w:tc>
          <w:tcPr/>
          <w:p>
            <w:pPr>
              <w:pStyle w:val="Compact"/>
              <w:jc w:val="right"/>
            </w:pPr>
            <w:r>
              <w:t xml:space="preserve">0.65110</w:t>
            </w:r>
          </w:p>
        </w:tc>
        <w:tc>
          <w:tcPr/>
          <w:p>
            <w:pPr>
              <w:pStyle w:val="Compact"/>
              <w:jc w:val="right"/>
            </w:pPr>
            <w:r>
              <w:t xml:space="preserve">0.13048</w:t>
            </w:r>
          </w:p>
        </w:tc>
        <w:tc>
          <w:tcPr/>
          <w:p>
            <w:pPr>
              <w:pStyle w:val="Compact"/>
              <w:jc w:val="right"/>
            </w:pPr>
            <w:r>
              <w:t xml:space="preserve">0.06143</w:t>
            </w:r>
          </w:p>
        </w:tc>
        <w:tc>
          <w:tcPr/>
          <w:p>
            <w:pPr>
              <w:pStyle w:val="Compact"/>
              <w:jc w:val="right"/>
            </w:pPr>
            <w:r>
              <w:t xml:space="preserve">0.06167</w:t>
            </w:r>
          </w:p>
        </w:tc>
        <w:tc>
          <w:tcPr/>
          <w:p>
            <w:pPr>
              <w:pStyle w:val="Compact"/>
              <w:jc w:val="right"/>
            </w:pPr>
            <w:r>
              <w:t xml:space="preserve">−0.39</w:t>
            </w:r>
          </w:p>
        </w:tc>
      </w:tr>
      <w:tr>
        <w:tc>
          <w:tcPr/>
          <w:p>
            <w:pPr>
              <w:pStyle w:val="Compact"/>
              <w:jc w:val="right"/>
            </w:pPr>
            <w:r>
              <w:t xml:space="preserve">1332</w:t>
            </w:r>
          </w:p>
        </w:tc>
        <w:tc>
          <w:tcPr/>
          <w:p>
            <w:pPr>
              <w:pStyle w:val="Compact"/>
              <w:jc w:val="right"/>
            </w:pPr>
            <w:r>
              <w:t xml:space="preserve">3.54563</w:t>
            </w:r>
          </w:p>
        </w:tc>
        <w:tc>
          <w:tcPr/>
          <w:p>
            <w:pPr>
              <w:pStyle w:val="Compact"/>
              <w:jc w:val="right"/>
            </w:pPr>
            <w:r>
              <w:t xml:space="preserve">0.65150</w:t>
            </w:r>
          </w:p>
        </w:tc>
        <w:tc>
          <w:tcPr/>
          <w:p>
            <w:pPr>
              <w:pStyle w:val="Compact"/>
              <w:jc w:val="right"/>
            </w:pPr>
            <w:r>
              <w:t xml:space="preserve">0.12085</w:t>
            </w:r>
          </w:p>
        </w:tc>
        <w:tc>
          <w:tcPr/>
          <w:p>
            <w:pPr>
              <w:pStyle w:val="Compact"/>
              <w:jc w:val="right"/>
            </w:pPr>
            <w:r>
              <w:t xml:space="preserve">0.05690</w:t>
            </w:r>
          </w:p>
        </w:tc>
        <w:tc>
          <w:tcPr/>
          <w:p>
            <w:pPr>
              <w:pStyle w:val="Compact"/>
              <w:jc w:val="right"/>
            </w:pPr>
            <w:r>
              <w:t xml:space="preserve">0.05720</w:t>
            </w:r>
          </w:p>
        </w:tc>
        <w:tc>
          <w:tcPr/>
          <w:p>
            <w:pPr>
              <w:pStyle w:val="Compact"/>
              <w:jc w:val="right"/>
            </w:pPr>
            <w:r>
              <w:t xml:space="preserve">−0.53</w:t>
            </w:r>
          </w:p>
        </w:tc>
      </w:tr>
    </w:tbl>
    <w:p>
      <w:pPr>
        <w:pStyle w:val="BodyText"/>
      </w:pPr>
      <w:r>
        <w:t xml:space="preserve">Bold row indicates energy immediately above the W K-edge at 69.5 keV.</w:t>
      </w:r>
    </w:p>
    <w:p>
      <w:pPr>
        <w:pStyle w:val="BodyText"/>
      </w:pPr>
      <w:r>
        <w:rPr>
          <w:b/>
          <w:bCs/>
        </w:rPr>
        <w:t xml:space="preserve">W K-edge signature.</w:t>
      </w:r>
      <w:r>
        <w:t xml:space="preserve"> </w:t>
      </w:r>
      <w:r>
        <w:t xml:space="preserve">The MAC increases from</w:t>
      </w:r>
      <w:r>
        <w:t xml:space="preserve"> </w:t>
      </w:r>
      <m:oMath>
        <m:r>
          <m:t>3.080</m:t>
        </m:r>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 </w:t>
      </w:r>
      <w:r>
        <w:t xml:space="preserve">at 50 keV (below W K-edge) to</w:t>
      </w:r>
      <w:r>
        <w:t xml:space="preserve"> </w:t>
      </w:r>
      <m:oMath>
        <m:r>
          <m:t>4.045</m:t>
        </m:r>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 </w:t>
      </w:r>
      <w:r>
        <w:t xml:space="preserve">at 80 keV (above W K-edge), a rise of</w:t>
      </w:r>
      <w:r>
        <w:t xml:space="preserve"> </w:t>
      </w:r>
      <w:r>
        <w:rPr>
          <w:b/>
          <w:bCs/>
        </w:rPr>
        <w:t xml:space="preserve">+31%</w:t>
      </w:r>
      <w:r>
        <w:t xml:space="preserve"> </w:t>
      </w:r>
      <w:r>
        <w:t xml:space="preserve">despite the</w:t>
      </w:r>
      <w:r>
        <w:t xml:space="preserve"> </w:t>
      </w:r>
      <m:oMath>
        <m:sSup>
          <m:e>
            <m:r>
              <m:t>E</m:t>
            </m:r>
          </m:e>
          <m:sup>
            <m:r>
              <m:rPr>
                <m:sty m:val="p"/>
              </m:rPr>
              <m:t>−</m:t>
            </m:r>
            <m:r>
              <m:t>3</m:t>
            </m:r>
          </m:sup>
        </m:sSup>
      </m:oMath>
      <w:r>
        <w:t xml:space="preserve"> </w:t>
      </w:r>
      <w:r>
        <w:t xml:space="preserve">photoelectric falloff that ordinarily reduces MAC with increasing energy. This anti-intuitive increase is due to the opening of the W K-shell photoionization channel above 69.525 keV. XCOM confirms the same feature: 3.110 → 4.035 cm</w:t>
      </w:r>
      <m:oMath>
        <m:sSup>
          <m:e>
            <m:r>
              <m:t>​</m:t>
            </m:r>
          </m:e>
          <m:sup>
            <m:r>
              <m:t>2</m:t>
            </m:r>
          </m:sup>
        </m:sSup>
      </m:oMath>
      <w:r>
        <w:t xml:space="preserve"> </w:t>
      </w:r>
      <w:r>
        <w:t xml:space="preserve">g</w:t>
      </w:r>
      <m:oMath>
        <m:sSup>
          <m:e>
            <m:r>
              <m:t>​</m:t>
            </m:r>
          </m:e>
          <m:sup>
            <m:r>
              <m:rPr>
                <m:sty m:val="p"/>
              </m:rPr>
              <m:t>−</m:t>
            </m:r>
            <m:r>
              <m:t>1</m:t>
            </m:r>
          </m:sup>
        </m:sSup>
      </m:oMath>
      <w:r>
        <w:t xml:space="preserve"> </w:t>
      </w:r>
      <w:r>
        <w:t xml:space="preserve">= ×1.298 ratio at the adjacent grid points. The effect is further confirmed by the secondary photon spectrum: 97,285 secondary gamma rays were detected at 80 keV (W Kα/Kβ fluorescence at ~59.3/67.2 keV) vs only 12 at 50 keV, demonstrating that the W K-shell is being populated by photoelectric absorption and promptly de-excited via characteristic X-ray emission.</w:t>
      </w:r>
    </w:p>
    <w:p>
      <w:pPr>
        <w:pStyle w:val="BodyText"/>
      </w:pPr>
      <w:r>
        <w:t xml:space="preserve">All 10 energy points satisfy the acceptance gates: mean |Δ| = 0.42% ≤ 1.5% gate; max |Δ| = 0.97% at 50 keV ≤ 5.0% gate. The modest deviation at 50 keV (just below the K-edge) is consistent with the EPDL97 interpolation pattern discussed in §5.1.3 for the analogous Bi K-edge point.</w:t>
      </w:r>
    </w:p>
    <w:p>
      <w:r>
        <w:pict>
          <v:rect style="width:0;height:1.5pt" o:hralign="center" o:hrstd="t" o:hr="t"/>
        </w:pict>
      </w:r>
    </w:p>
    <w:bookmarkEnd w:id="60"/>
    <w:bookmarkStart w:id="64" w:name="cross-material-k-edge-comparison"/>
    <w:p>
      <w:pPr>
        <w:pStyle w:val="Heading3"/>
      </w:pPr>
      <w:r>
        <w:t xml:space="preserve">5.6 Cross-Material K-Edge Comparison</w:t>
      </w:r>
    </w:p>
    <w:p>
      <w:pPr>
        <w:pStyle w:val="FirstParagraph"/>
      </w:pPr>
      <w:r>
        <w:t xml:space="preserve">Figure 6 overlays both simulated MAC curves with XCOM references against a common energy axis, with K-edge annotations for W (69.5 keV) and Bi (90.5 keV).</w:t>
      </w:r>
    </w:p>
    <w:p>
      <w:pPr>
        <w:pStyle w:val="CaptionedFigure"/>
      </w:pPr>
      <w:r>
        <w:drawing>
          <wp:inline>
            <wp:extent cx="4533900" cy="3374513"/>
            <wp:effectExtent b="0" l="0" r="0" t="0"/>
            <wp:docPr descr="Figure 6. Cross-material K-edge MAC comparison. BLUE circles: HDPE/Bi₂O₃ simulation; RED squares: HDPE/WO₃ simulation; dashed lines: NIST XCOM references. Vertical dotted lines mark the W K-edge (69.5 keV, red) and Bi K-edge (90.5 keV, blue). Both simulations are at φ=0.189." title="" id="62" name="Picture"/>
            <a:graphic>
              <a:graphicData uri="http://schemas.openxmlformats.org/drawingml/2006/picture">
                <pic:pic>
                  <pic:nvPicPr>
                    <pic:cNvPr descr="../../../results/paper3/figures/paper3_fig6_kedge_comparison.png" id="63" name="Picture"/>
                    <pic:cNvPicPr>
                      <a:picLocks noChangeArrowheads="1" noChangeAspect="1"/>
                    </pic:cNvPicPr>
                  </pic:nvPicPr>
                  <pic:blipFill>
                    <a:blip r:embed="rId61"/>
                    <a:stretch>
                      <a:fillRect/>
                    </a:stretch>
                  </pic:blipFill>
                  <pic:spPr bwMode="auto">
                    <a:xfrm>
                      <a:off x="0" y="0"/>
                      <a:ext cx="4533900" cy="3374513"/>
                    </a:xfrm>
                    <a:prstGeom prst="rect">
                      <a:avLst/>
                    </a:prstGeom>
                    <a:noFill/>
                    <a:ln w="9525">
                      <a:noFill/>
                      <a:headEnd/>
                      <a:tailEnd/>
                    </a:ln>
                  </pic:spPr>
                </pic:pic>
              </a:graphicData>
            </a:graphic>
          </wp:inline>
        </w:drawing>
      </w:r>
    </w:p>
    <w:p>
      <w:pPr>
        <w:pStyle w:val="ImageCaption"/>
      </w:pPr>
      <w:r>
        <w:t xml:space="preserve">Figure 6. Cross-material K-edge MAC comparison. BLUE circles: HDPE/Bi₂O₃ simulation; RED squares: HDPE/WO₃ simulation; dashed lines: NIST XCOM references. Vertical dotted lines mark the W K-edge (69.5 keV, red) and Bi K-edge (90.5 keV, blue). Both simulations are at φ=0.189.</w:t>
      </w:r>
    </w:p>
    <w:p>
      <w:pPr>
        <w:pStyle w:val="BodyText"/>
      </w:pPr>
      <w:r>
        <w:t xml:space="preserve">The two filler chemistries exhibit distinct K-edge signatures at separated energies: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HDPE/Bi₂O₃</w:t>
            </w:r>
          </w:p>
        </w:tc>
        <w:tc>
          <w:tcPr/>
          <w:p>
            <w:pPr>
              <w:pStyle w:val="Compact"/>
            </w:pPr>
            <w:r>
              <w:t xml:space="preserve">HDPE/WO₃</w:t>
            </w:r>
          </w:p>
        </w:tc>
      </w:tr>
      <w:tr>
        <w:tc>
          <w:tcPr/>
          <w:p>
            <w:pPr>
              <w:pStyle w:val="Compact"/>
            </w:pPr>
            <w:r>
              <w:t xml:space="preserve">K-edge position</w:t>
            </w:r>
          </w:p>
        </w:tc>
        <w:tc>
          <w:tcPr/>
          <w:p>
            <w:pPr>
              <w:pStyle w:val="Compact"/>
            </w:pPr>
            <w:r>
              <w:t xml:space="preserve">90.5 keV</w:t>
            </w:r>
          </w:p>
        </w:tc>
        <w:tc>
          <w:tcPr/>
          <w:p>
            <w:pPr>
              <w:pStyle w:val="Compact"/>
            </w:pPr>
            <w:r>
              <w:t xml:space="preserve">69.5 keV</w:t>
            </w:r>
          </w:p>
        </w:tc>
      </w:tr>
      <w:tr>
        <w:tc>
          <w:tcPr/>
          <w:p>
            <w:pPr>
              <w:pStyle w:val="Compact"/>
            </w:pPr>
            <w:r>
              <w:t xml:space="preserve">MAC below K-edge (XCOM)</w:t>
            </w:r>
          </w:p>
        </w:tc>
        <w:tc>
          <w:tcPr/>
          <w:p>
            <w:pPr>
              <w:pStyle w:val="Compact"/>
            </w:pPr>
            <w:r>
              <w:t xml:space="preserve">1.621 cm²/g at 80 keV</w:t>
            </w:r>
          </w:p>
        </w:tc>
        <w:tc>
          <w:tcPr/>
          <w:p>
            <w:pPr>
              <w:pStyle w:val="Compact"/>
            </w:pPr>
            <w:r>
              <w:t xml:space="preserve">3.110 cm²/g at 50 keV</w:t>
            </w:r>
          </w:p>
        </w:tc>
      </w:tr>
      <w:tr>
        <w:tc>
          <w:tcPr/>
          <w:p>
            <w:pPr>
              <w:pStyle w:val="Compact"/>
            </w:pPr>
            <w:r>
              <w:t xml:space="preserve">MAC above K-edge (XCOM)</w:t>
            </w:r>
          </w:p>
        </w:tc>
        <w:tc>
          <w:tcPr/>
          <w:p>
            <w:pPr>
              <w:pStyle w:val="Compact"/>
            </w:pPr>
            <w:r>
              <w:t xml:space="preserve">3.596 cm²/g at 100 keV</w:t>
            </w:r>
          </w:p>
        </w:tc>
        <w:tc>
          <w:tcPr/>
          <w:p>
            <w:pPr>
              <w:pStyle w:val="Compact"/>
            </w:pPr>
            <w:r>
              <w:t xml:space="preserve">4.035 cm²/g at 80 keV</w:t>
            </w:r>
          </w:p>
        </w:tc>
      </w:tr>
      <w:tr>
        <w:tc>
          <w:tcPr/>
          <w:p>
            <w:pPr>
              <w:pStyle w:val="Compact"/>
            </w:pPr>
            <w:r>
              <w:t xml:space="preserve">MAC jump ratio (XCOM)</w:t>
            </w:r>
          </w:p>
        </w:tc>
        <w:tc>
          <w:tcPr/>
          <w:p>
            <w:pPr>
              <w:pStyle w:val="Compact"/>
            </w:pPr>
            <w:r>
              <w:t xml:space="preserve">×2.217</w:t>
            </w:r>
          </w:p>
        </w:tc>
        <w:tc>
          <w:tcPr/>
          <w:p>
            <w:pPr>
              <w:pStyle w:val="Compact"/>
            </w:pPr>
            <w:r>
              <w:t xml:space="preserve">×1.298</w:t>
            </w:r>
          </w:p>
        </w:tc>
      </w:tr>
      <w:tr>
        <w:tc>
          <w:tcPr/>
          <w:p>
            <w:pPr>
              <w:pStyle w:val="Compact"/>
            </w:pPr>
            <w:r>
              <w:t xml:space="preserve">MAC at 30 keV (sim)</w:t>
            </w:r>
          </w:p>
        </w:tc>
        <w:tc>
          <w:tcPr/>
          <w:p>
            <w:pPr>
              <w:pStyle w:val="Compact"/>
            </w:pPr>
            <w:r>
              <w:t xml:space="preserve">19.54 cm²/g</w:t>
            </w:r>
          </w:p>
        </w:tc>
        <w:tc>
          <w:tcPr/>
          <w:p>
            <w:pPr>
              <w:pStyle w:val="Compact"/>
            </w:pPr>
            <w:r>
              <w:t xml:space="preserve">11.66 cm²/g</w:t>
            </w:r>
          </w:p>
        </w:tc>
      </w:tr>
      <w:tr>
        <w:tc>
          <w:tcPr/>
          <w:p>
            <w:pPr>
              <w:pStyle w:val="Compact"/>
            </w:pPr>
            <w:r>
              <w:t xml:space="preserve">Max</w:t>
            </w:r>
          </w:p>
        </w:tc>
        <w:tc>
          <w:tcPr/>
          <w:p>
            <w:pPr>
              <w:pStyle w:val="Compact"/>
            </w:pPr>
            <w:r>
              <w:t xml:space="preserve">Δ</w:t>
            </w:r>
          </w:p>
        </w:tc>
        <w:tc>
          <w:tcPr/>
          <w:p>
            <w:pPr>
              <w:pStyle w:val="Compact"/>
            </w:pPr>
            <w:r>
              <w:t xml:space="preserve">vs XCOM at K-edge straddle</w:t>
            </w:r>
          </w:p>
        </w:tc>
      </w:tr>
    </w:tbl>
    <w:p>
      <w:pPr>
        <w:pStyle w:val="BodyText"/>
      </w:pPr>
      <w:r>
        <w:t xml:space="preserve">The larger Bi K-edge jump (×2.22 vs ×1.30) reflects three compounding factors: (1) higher atomic number (Z=83 vs Z=74), producing a larger K-shell photoionization cross section; (2) higher weight fraction of the heavy element (w(Bi)=0.592 vs w(W)=0.505 in the composite); and (3) the higher total MAC at 30 keV for Bi₂O₃ confirming the overall higher opacity of the Bi composite at low energies.</w:t>
      </w:r>
    </w:p>
    <w:p>
      <w:pPr>
        <w:pStyle w:val="BodyText"/>
      </w:pPr>
      <w:r>
        <w:t xml:space="preserve">Both K-edge features are faithfully reproduced by the Geant4 emlivermore effective-medium model within ±1% on both sides of the respective K-edges (excepting the −2.45% at the Bi 80 keV point, which is the known EPDL97 interpolation artefact near the Bi K-edge complex discussed in §5.1.3). This is a non-trivial result: the model correctly predicts the direction and approximate magnitude of the MAC jump at both K-edges without any material-specific tuning.</w:t>
      </w:r>
    </w:p>
    <w:p>
      <w:r>
        <w:pict>
          <v:rect style="width:0;height:1.5pt" o:hralign="center" o:hrstd="t" o:hr="t"/>
        </w:pict>
      </w:r>
    </w:p>
    <w:bookmarkEnd w:id="64"/>
    <w:bookmarkEnd w:id="65"/>
    <w:bookmarkStart w:id="70" w:name="discussion"/>
    <w:p>
      <w:pPr>
        <w:pStyle w:val="Heading2"/>
      </w:pPr>
      <w:r>
        <w:t xml:space="preserve">6. Discussion</w:t>
      </w:r>
    </w:p>
    <w:bookmarkStart w:id="66" w:name="X89d6f0d201148b6b32fd39f16c6369c2dfab1dd"/>
    <w:p>
      <w:pPr>
        <w:pStyle w:val="Heading3"/>
      </w:pPr>
      <w:r>
        <w:t xml:space="preserve">6.1 Regime A confirms effective-medium validity</w:t>
      </w:r>
    </w:p>
    <w:p>
      <w:pPr>
        <w:pStyle w:val="FirstParagraph"/>
      </w:pPr>
      <w:r>
        <w:t xml:space="preserve">The regime A(30wt) results (§5.1.1–5.1.3) establish that</w:t>
      </w:r>
      <w:r>
        <w:t xml:space="preserve"> </w:t>
      </w:r>
      <w:r>
        <w:rPr>
          <w:rStyle w:val="VerbatimChar"/>
        </w:rPr>
        <w:t xml:space="preserve">G4EmLivermorePhysics</w:t>
      </w:r>
      <w:r>
        <w:t xml:space="preserve"> </w:t>
      </w:r>
      <w:r>
        <w:t xml:space="preserve">reproduces NIST XCOM mass attenuation coefficients for HDPE/Bi₂O₃ 30 wt% with a mean deviation of 0.549% and a maximum deviation of 2.013% across a broad photon energy range (30 keV–1.33 MeV). These values confirm</w:t>
      </w:r>
      <w:r>
        <w:t xml:space="preserve"> </w:t>
      </w:r>
      <w:r>
        <w:rPr>
          <w:b/>
          <w:bCs/>
        </w:rPr>
        <w:t xml:space="preserve">Hypothesis H1</w:t>
      </w:r>
      <w:r>
        <w:t xml:space="preserve"> </w:t>
      </w:r>
      <w:r>
        <w:t xml:space="preserve">for the effective-medium regime against the external reference.</w:t>
      </w:r>
    </w:p>
    <w:p>
      <w:pPr>
        <w:pStyle w:val="BodyText"/>
      </w:pPr>
      <w:r>
        <w:t xml:space="preserve">The 2.013% maximum deviation at 80 keV falls near the Bi K-edge complex (90.5 keV). The most likely cause is a small interpolation mismatch between the EPDL97 photoelectric cross-section grid and the XCOM energy grid in the 80–100 keV region. The value remains well within the pre-registered 5% maximum gate.</w:t>
      </w:r>
    </w:p>
    <w:bookmarkEnd w:id="66"/>
    <w:bookmarkStart w:id="67" w:name="X9be2d9ccee8595cb744cefcd56171d599769a69"/>
    <w:p>
      <w:pPr>
        <w:pStyle w:val="Heading3"/>
      </w:pPr>
      <w:r>
        <w:t xml:space="preserve">6.2 Regime B and C: cross-regime agreement test (H1 — RVE scale)</w:t>
      </w:r>
    </w:p>
    <w:p>
      <w:pPr>
        <w:pStyle w:val="FirstParagraph"/>
      </w:pPr>
      <w:r>
        <w:rPr>
          <w:b/>
          <w:bCs/>
        </w:rPr>
        <w:t xml:space="preserve">Cross-regime agreement (30–150 keV, statistically reliable).</w:t>
      </w:r>
      <w:r>
        <w:t xml:space="preserve"> </w:t>
      </w:r>
      <w:r>
        <w:t xml:space="preserve">For the five energies where the RVE geometry provides adequate statistics (</w:t>
      </w:r>
      <m:oMath>
        <m:sSub>
          <m:e>
            <m:r>
              <m:t>N</m:t>
            </m:r>
          </m:e>
          <m:sub>
            <m:r>
              <m:rPr>
                <m:nor/>
                <m:sty m:val="p"/>
              </m:rPr>
              <m:t>att</m:t>
            </m:r>
          </m:sub>
        </m:sSub>
        <m:r>
          <m:rPr>
            <m:sty m:val="p"/>
          </m:rPr>
          <m:t>≥</m:t>
        </m:r>
        <m:r>
          <m:t>3000</m:t>
        </m:r>
      </m:oMath>
      <w:r>
        <w:t xml:space="preserve">), the regime B / regime A ratio</w:t>
      </w:r>
      <w:r>
        <w:t xml:space="preserve"> </w:t>
      </w:r>
      <m:oMath>
        <m:sSub>
          <m:e>
            <m:r>
              <m:t>μ</m:t>
            </m:r>
          </m:e>
          <m:sub>
            <m:r>
              <m:t>B</m:t>
            </m:r>
          </m:sub>
        </m:sSub>
        <m:r>
          <m:rPr>
            <m:sty m:val="p"/>
          </m:rPr>
          <m:t>/</m:t>
        </m:r>
        <m:sSub>
          <m:e>
            <m:r>
              <m:t>μ</m:t>
            </m:r>
          </m:e>
          <m:sub>
            <m:r>
              <m:t>A</m:t>
            </m:r>
            <m:r>
              <m:rPr>
                <m:sty m:val="p"/>
              </m:rPr>
              <m:t>,</m:t>
            </m:r>
            <m:r>
              <m:t>ϕ</m:t>
            </m:r>
          </m:sub>
        </m:sSub>
      </m:oMath>
      <w:r>
        <w:t xml:space="preserve"> </w:t>
      </w:r>
      <w:r>
        <w:t xml:space="preserve">falls in the range 0.975–0.984 (deviation −1.6% to −2.5%, all within the 3% H1 gate), as summarised in Table 2. The systematic ~2% downward offset of regime B relative to regime A is consistent with the RVE boundary-layer effect.</w:t>
      </w:r>
    </w:p>
    <w:p>
      <w:pPr>
        <w:pStyle w:val="BodyText"/>
      </w:pPr>
      <w:r>
        <w:rPr>
          <w:b/>
          <w:bCs/>
        </w:rPr>
        <w:t xml:space="preserve">Regime C (G4MultiUnion) outcome: feasible at 250 nm RVE (</w:t>
      </w:r>
      <m:oMath>
        <m:r>
          <m:t>N</m:t>
        </m:r>
        <m:r>
          <m:rPr>
            <m:sty m:val="p"/>
          </m:rPr>
          <m:t>=</m:t>
        </m:r>
        <m:r>
          <m:t>45</m:t>
        </m:r>
      </m:oMath>
      <w:r>
        <w:rPr>
          <w:b/>
          <w:bCs/>
        </w:rPr>
        <w:t xml:space="preserve">).</w:t>
      </w:r>
      <w:r>
        <w:t xml:space="preserve"> </w:t>
      </w:r>
      <w:r>
        <w:t xml:space="preserve">At 30–150 keV, regime C agrees with regime A(phi0p189) to within</w:t>
      </w:r>
      <w:r>
        <w:t xml:space="preserve"> </w:t>
      </w:r>
      <m:oMath>
        <m:r>
          <m:rPr>
            <m:sty m:val="p"/>
          </m:rPr>
          <m:t>−</m:t>
        </m:r>
        <m:r>
          <m:t>2.3</m:t>
        </m:r>
        <m:r>
          <m:rPr>
            <m:sty m:val="p"/>
          </m:rPr>
          <m:t>%</m:t>
        </m:r>
      </m:oMath>
      <w:r>
        <w:t xml:space="preserve"> </w:t>
      </w:r>
      <w:r>
        <w:t xml:space="preserve">to</w:t>
      </w:r>
      <w:r>
        <w:t xml:space="preserve"> </w:t>
      </w:r>
      <m:oMath>
        <m:r>
          <m:rPr>
            <m:sty m:val="p"/>
          </m:rPr>
          <m:t>+</m:t>
        </m:r>
        <m:r>
          <m:t>1.6</m:t>
        </m:r>
        <m:r>
          <m:rPr>
            <m:sty m:val="p"/>
          </m:rPr>
          <m:t>%</m:t>
        </m:r>
      </m:oMath>
      <w:r>
        <w:t xml:space="preserve"> </w:t>
      </w:r>
      <w:r>
        <w:t xml:space="preserve">(</w:t>
      </w:r>
      <m:oMath>
        <m:sSub>
          <m:e>
            <m:r>
              <m:t>μ</m:t>
            </m:r>
          </m:e>
          <m:sub>
            <m:r>
              <m:t>C</m:t>
            </m:r>
          </m:sub>
        </m:sSub>
        <m:r>
          <m:rPr>
            <m:sty m:val="p"/>
          </m:rPr>
          <m:t>/</m:t>
        </m:r>
        <m:sSub>
          <m:e>
            <m:r>
              <m:t>μ</m:t>
            </m:r>
          </m:e>
          <m:sub>
            <m:r>
              <m:t>A</m:t>
            </m:r>
            <m:r>
              <m:rPr>
                <m:sty m:val="p"/>
              </m:rPr>
              <m:t>,</m:t>
            </m:r>
            <m:r>
              <m:t>ϕ</m:t>
            </m:r>
          </m:sub>
        </m:sSub>
        <m:r>
          <m:rPr>
            <m:sty m:val="p"/>
          </m:rPr>
          <m:t>=</m:t>
        </m:r>
        <m:r>
          <m:t>0.982</m:t>
        </m:r>
      </m:oMath>
      <w:r>
        <w:t xml:space="preserve">–</w:t>
      </w:r>
      <m:oMath>
        <m:r>
          <m:t>1.016</m:t>
        </m:r>
      </m:oMath>
      <w:r>
        <w:t xml:space="preserve">), confirming H1 for regime C. The</w:t>
      </w:r>
      <w:r>
        <w:t xml:space="preserve"> </w:t>
      </w:r>
      <w:r>
        <w:rPr>
          <w:rStyle w:val="VerbatimChar"/>
        </w:rPr>
        <w:t xml:space="preserve">G4Voxelizer</w:t>
      </w:r>
      <w:r>
        <w:t xml:space="preserve"> </w:t>
      </w:r>
      <m:oMath>
        <m:r>
          <m:rPr>
            <m:sty m:val="p"/>
          </m:rPr>
          <m:t>(</m:t>
        </m:r>
        <m:r>
          <m:t>2</m:t>
        </m:r>
        <m:r>
          <m:t>N</m:t>
        </m:r>
        <m:sSup>
          <m:e>
            <m:r>
              <m:rPr>
                <m:sty m:val="p"/>
              </m:rPr>
              <m:t>)</m:t>
            </m:r>
          </m:e>
          <m:sup>
            <m:r>
              <m:t>3</m:t>
            </m:r>
          </m:sup>
        </m:sSup>
      </m:oMath>
      <w:r>
        <w:t xml:space="preserve"> </w:t>
      </w:r>
      <w:r>
        <w:t xml:space="preserve">scaling limits regime C to</w:t>
      </w:r>
      <w:r>
        <w:t xml:space="preserve"> </w:t>
      </w:r>
      <m:oMath>
        <m:r>
          <m:t>N</m:t>
        </m:r>
        <m:r>
          <m:rPr>
            <m:sty m:val="p"/>
          </m:rPr>
          <m:t>≲</m:t>
        </m:r>
        <m:r>
          <m:t>50</m:t>
        </m:r>
      </m:oMath>
      <w:r>
        <w:t xml:space="preserve"> </w:t>
      </w:r>
      <w:r>
        <w:t xml:space="preserve">spheres on 8 GB hardware;</w:t>
      </w:r>
      <w:r>
        <w:t xml:space="preserve"> </w:t>
      </w:r>
      <w:r>
        <w:rPr>
          <w:rStyle w:val="VerbatimChar"/>
        </w:rPr>
        <w:t xml:space="preserve">G4PVParameterised</w:t>
      </w:r>
      <w:r>
        <w:t xml:space="preserve"> </w:t>
      </w:r>
      <w:r>
        <w:t xml:space="preserve">(regime B) handles</w:t>
      </w:r>
      <w:r>
        <w:t xml:space="preserve"> </w:t>
      </w:r>
      <m:oMath>
        <m:r>
          <m:t>N</m:t>
        </m:r>
        <m:r>
          <m:rPr>
            <m:sty m:val="p"/>
          </m:rPr>
          <m:t>=</m:t>
        </m:r>
        <m:r>
          <m:t>2</m:t>
        </m:r>
        <m:r>
          <m:rPr>
            <m:sty m:val="p"/>
          </m:rPr>
          <m:t>,</m:t>
        </m:r>
        <m:r>
          <m:t>888</m:t>
        </m:r>
      </m:oMath>
      <w:r>
        <w:t xml:space="preserve"> </w:t>
      </w:r>
      <w:r>
        <w:t xml:space="preserve">with negligible overhead.</w:t>
      </w:r>
    </w:p>
    <w:bookmarkEnd w:id="67"/>
    <w:bookmarkStart w:id="68" w:name="X0597c380d736cbb6ce7062ef5dbdb858a2456ba"/>
    <w:p>
      <w:pPr>
        <w:pStyle w:val="Heading3"/>
      </w:pPr>
      <w:r>
        <w:t xml:space="preserve">6.3 Implications for the effective-medium hypothesis</w:t>
      </w:r>
    </w:p>
    <w:p>
      <w:pPr>
        <w:pStyle w:val="FirstParagraph"/>
      </w:pPr>
      <w:r>
        <w:t xml:space="preserve">Within the physically expected regime (nanoparticle radius</w:t>
      </w:r>
      <w:r>
        <w:t xml:space="preserve"> </w:t>
      </w:r>
      <m:oMath>
        <m:r>
          <m:rPr>
            <m:sty m:val="p"/>
          </m:rPr>
          <m:t>≪</m:t>
        </m:r>
      </m:oMath>
      <w:r>
        <w:t xml:space="preserve"> </w:t>
      </w:r>
      <w:r>
        <w:t xml:space="preserve">photon MFP, energies away from the K-edge), the effective-medium model is the computationally efficient and physically accurate choice for macroscopic shielding calculations. Explicit-RVE regimes (B and C) are needed only when interface dose or dose-enhancement factors at the matrix–filler boundary are required, or when the nanoparticle size or loading approaches a regime where inter-particle coherence effects become relevant.</w:t>
      </w:r>
    </w:p>
    <w:bookmarkEnd w:id="68"/>
    <w:bookmarkStart w:id="69" w:name="cross-material-generalisability"/>
    <w:p>
      <w:pPr>
        <w:pStyle w:val="Heading3"/>
      </w:pPr>
      <w:r>
        <w:t xml:space="preserve">6.4 Cross-material generalisability</w:t>
      </w:r>
    </w:p>
    <w:p>
      <w:pPr>
        <w:pStyle w:val="FirstParagraph"/>
      </w:pPr>
      <w:r>
        <w:t xml:space="preserve">The HDPE/WO₃ Regime A benchmark (§5.5) demonstrates that the emlivermore effective-medium approach is not material-specific. Both HDPE/Bi₂O₃ and HDPE/WO₃ at the same φ = 0.189 achieve sub-1% XCOM agreement at Compton-dominated energies and resolve their respective K-edges consistently. The W K-edge at 69.5 keV and the Bi K-edge at 90.5 keV are both correctly predicted by the model without material-specific tuning; the direction, approximate magnitude, and energy position of each K-edge jump are reproduced faithfully.</w:t>
      </w:r>
    </w:p>
    <w:p>
      <w:pPr>
        <w:pStyle w:val="BodyText"/>
      </w:pPr>
      <w:r>
        <w:t xml:space="preserve">Together, the two K-edges cover the diagnostically relevant 50–100 keV window. The higher absolute MAC of HDPE/Bi₂O₃ (particularly at 30 keV: 19.54 vs 11.66 cm²/g for WO₃) favours Bi₂O₃ for broadband low-energy shielding, while HDPE/WO₃ provides a competitive K-edge feature at the lower 69.5 keV threshold that may be advantageous for specific beam-quality designs.</w:t>
      </w:r>
    </w:p>
    <w:p>
      <w:pPr>
        <w:pStyle w:val="BodyText"/>
      </w:pPr>
      <w:r>
        <w:t xml:space="preserve">Practitioners can apply the same workflow (Regime A slab → XCOM comparison → acceptance gate) to any high-Z filler composite with a known composition and density. The WO₃ result establishes a second independent K-edge benchmark covering the 50–80 keV diagnostic range, confirming that the benchmark methodology is systematically reproducible across filler chemistries.</w:t>
      </w:r>
    </w:p>
    <w:p>
      <w:r>
        <w:pict>
          <v:rect style="width:0;height:1.5pt" o:hralign="center" o:hrstd="t" o:hr="t"/>
        </w:pict>
      </w:r>
    </w:p>
    <w:bookmarkEnd w:id="69"/>
    <w:bookmarkEnd w:id="70"/>
    <w:bookmarkStart w:id="71" w:name="conclusions"/>
    <w:p>
      <w:pPr>
        <w:pStyle w:val="Heading2"/>
      </w:pPr>
      <w:r>
        <w:t xml:space="preserve">7. Conclusions</w:t>
      </w:r>
    </w:p>
    <w:p>
      <w:pPr>
        <w:numPr>
          <w:ilvl w:val="0"/>
          <w:numId w:val="1006"/>
        </w:numPr>
      </w:pPr>
      <w:r>
        <w:rPr>
          <w:b/>
          <w:bCs/>
        </w:rPr>
        <w:t xml:space="preserve">Regime A(30wt) established (XCOM validation).</w:t>
      </w:r>
      <w:r>
        <w:t xml:space="preserve"> </w:t>
      </w:r>
      <w:r>
        <w:t xml:space="preserve">The effective-medium</w:t>
      </w:r>
      <w:r>
        <w:t xml:space="preserve"> </w:t>
      </w:r>
      <w:r>
        <w:rPr>
          <w:rStyle w:val="VerbatimChar"/>
        </w:rPr>
        <w:t xml:space="preserve">G4EmLivermorePhysics</w:t>
      </w:r>
      <w:r>
        <w:t xml:space="preserve"> </w:t>
      </w:r>
      <w:r>
        <w:t xml:space="preserve">model for HDPE/Bi₂O₃ 30 wt% achieves 0.549% mean and 2.013% maximum deviation against NIST XCOM over 30 keV–1.33 MeV, satisfying pre-registered paper-3 acceptance criteria.</w:t>
      </w:r>
    </w:p>
    <w:p>
      <w:pPr>
        <w:numPr>
          <w:ilvl w:val="0"/>
          <w:numId w:val="1006"/>
        </w:numPr>
      </w:pPr>
      <w:r>
        <w:rPr>
          <w:b/>
          <w:bCs/>
        </w:rPr>
        <w:t xml:space="preserve">Regimes B and C complete.</w:t>
      </w:r>
      <w:r>
        <w:t xml:space="preserve"> </w:t>
      </w:r>
      <w:r>
        <w:t xml:space="preserve">The</w:t>
      </w:r>
      <w:r>
        <w:t xml:space="preserve"> </w:t>
      </w:r>
      <w:r>
        <w:rPr>
          <w:rStyle w:val="VerbatimChar"/>
        </w:rPr>
        <w:t xml:space="preserve">G4PVParameterised</w:t>
      </w:r>
      <w:r>
        <w:t xml:space="preserve"> </w:t>
      </w:r>
      <w:r>
        <w:t xml:space="preserve">RVE geometry (regime B, 1 µm,</w:t>
      </w:r>
      <w:r>
        <w:t xml:space="preserve"> </w:t>
      </w:r>
      <m:oMath>
        <m:r>
          <m:t>N</m:t>
        </m:r>
        <m:r>
          <m:rPr>
            <m:sty m:val="p"/>
          </m:rPr>
          <m:t>=</m:t>
        </m:r>
        <m:r>
          <m:t>2</m:t>
        </m:r>
        <m:r>
          <m:rPr>
            <m:sty m:val="p"/>
          </m:rPr>
          <m:t>,</m:t>
        </m:r>
        <m:r>
          <m:t>888</m:t>
        </m:r>
      </m:oMath>
      <w:r>
        <w:t xml:space="preserve"> </w:t>
      </w:r>
      <w:r>
        <w:t xml:space="preserve">spheres,</w:t>
      </w:r>
      <w:r>
        <w:t xml:space="preserve"> </w:t>
      </w:r>
      <m:oMath>
        <m:sSub>
          <m:e>
            <m:r>
              <m:t>ϕ</m:t>
            </m:r>
          </m:e>
          <m:sub>
            <m:r>
              <m:t>f</m:t>
            </m:r>
          </m:sub>
        </m:sSub>
        <m:r>
          <m:rPr>
            <m:sty m:val="p"/>
          </m:rPr>
          <m:t>=</m:t>
        </m:r>
        <m:r>
          <m:t>0.1890</m:t>
        </m:r>
      </m:oMath>
      <w:r>
        <w:t xml:space="preserve">) and the</w:t>
      </w:r>
      <w:r>
        <w:t xml:space="preserve"> </w:t>
      </w:r>
      <w:r>
        <w:rPr>
          <w:rStyle w:val="VerbatimChar"/>
        </w:rPr>
        <w:t xml:space="preserve">G4MultiUnion</w:t>
      </w:r>
      <w:r>
        <w:t xml:space="preserve"> </w:t>
      </w:r>
      <w:r>
        <w:t xml:space="preserve">RVE geometry (regime C, 250 nm,</w:t>
      </w:r>
      <w:r>
        <w:t xml:space="preserve"> </w:t>
      </w:r>
      <m:oMath>
        <m:r>
          <m:t>N</m:t>
        </m:r>
        <m:r>
          <m:rPr>
            <m:sty m:val="p"/>
          </m:rPr>
          <m:t>=</m:t>
        </m:r>
        <m:r>
          <m:t>45</m:t>
        </m:r>
      </m:oMath>
      <w:r>
        <w:t xml:space="preserve"> </w:t>
      </w:r>
      <w:r>
        <w:t xml:space="preserve">spheres,</w:t>
      </w:r>
      <w:r>
        <w:t xml:space="preserve"> </w:t>
      </w:r>
      <m:oMath>
        <m:sSub>
          <m:e>
            <m:r>
              <m:t>ϕ</m:t>
            </m:r>
          </m:e>
          <m:sub>
            <m:r>
              <m:t>f</m:t>
            </m:r>
          </m:sub>
        </m:sSub>
        <m:r>
          <m:rPr>
            <m:sty m:val="p"/>
          </m:rPr>
          <m:t>=</m:t>
        </m:r>
        <m:r>
          <m:t>0.188496</m:t>
        </m:r>
      </m:oMath>
      <w:r>
        <w:t xml:space="preserve">, distributed beam) are both fully validated in ShieldLab G4 v1.1 (all 10 energies each). Regime B correctly resolves the Bi K-edge jump (</w:t>
      </w:r>
      <m:oMath>
        <m:r>
          <m:t>μ</m:t>
        </m:r>
      </m:oMath>
      <w:r>
        <w:t xml:space="preserve"> </w:t>
      </w:r>
      <w:r>
        <w:t xml:space="preserve">rises ×2.3 from 80 to 100 keV). The</w:t>
      </w:r>
      <w:r>
        <w:t xml:space="preserve"> </w:t>
      </w:r>
      <w:r>
        <w:rPr>
          <w:rStyle w:val="VerbatimChar"/>
        </w:rPr>
        <w:t xml:space="preserve">G4Voxelizer</w:t>
      </w:r>
      <w:r>
        <w:t xml:space="preserve"> </w:t>
      </w:r>
      <m:oMath>
        <m:r>
          <m:rPr>
            <m:sty m:val="p"/>
          </m:rPr>
          <m:t>(</m:t>
        </m:r>
        <m:r>
          <m:t>2</m:t>
        </m:r>
        <m:r>
          <m:t>N</m:t>
        </m:r>
        <m:sSup>
          <m:e>
            <m:r>
              <m:rPr>
                <m:sty m:val="p"/>
              </m:rPr>
              <m:t>)</m:t>
            </m:r>
          </m:e>
          <m:sup>
            <m:r>
              <m:t>3</m:t>
            </m:r>
          </m:sup>
        </m:sSup>
      </m:oMath>
      <w:r>
        <w:t xml:space="preserve"> </w:t>
      </w:r>
      <w:r>
        <w:t xml:space="preserve">scaling limits regime C to</w:t>
      </w:r>
      <w:r>
        <w:t xml:space="preserve"> </w:t>
      </w:r>
      <m:oMath>
        <m:r>
          <m:t>N</m:t>
        </m:r>
        <m:r>
          <m:rPr>
            <m:sty m:val="p"/>
          </m:rPr>
          <m:t>≲</m:t>
        </m:r>
        <m:r>
          <m:t>50</m:t>
        </m:r>
      </m:oMath>
      <w:r>
        <w:t xml:space="preserve"> </w:t>
      </w:r>
      <w:r>
        <w:t xml:space="preserve">spheres (99 MB at</w:t>
      </w:r>
      <w:r>
        <w:t xml:space="preserve"> </w:t>
      </w:r>
      <m:oMath>
        <m:r>
          <m:t>N</m:t>
        </m:r>
        <m:r>
          <m:rPr>
            <m:sty m:val="p"/>
          </m:rPr>
          <m:t>=</m:t>
        </m:r>
        <m:r>
          <m:t>45</m:t>
        </m:r>
      </m:oMath>
      <w:r>
        <w:t xml:space="preserve">) on 8 GB hardware;</w:t>
      </w:r>
      <w:r>
        <w:t xml:space="preserve"> </w:t>
      </w:r>
      <w:r>
        <w:rPr>
          <w:rStyle w:val="VerbatimChar"/>
        </w:rPr>
        <w:t xml:space="preserve">G4PVParameterised</w:t>
      </w:r>
      <w:r>
        <w:t xml:space="preserve"> </w:t>
      </w:r>
      <w:r>
        <w:t xml:space="preserve">handles</w:t>
      </w:r>
      <w:r>
        <w:t xml:space="preserve"> </w:t>
      </w:r>
      <m:oMath>
        <m:r>
          <m:t>N</m:t>
        </m:r>
        <m:r>
          <m:rPr>
            <m:sty m:val="p"/>
          </m:rPr>
          <m:t>=</m:t>
        </m:r>
        <m:r>
          <m:t>2</m:t>
        </m:r>
        <m:r>
          <m:rPr>
            <m:sty m:val="p"/>
          </m:rPr>
          <m:t>,</m:t>
        </m:r>
        <m:r>
          <m:t>888</m:t>
        </m:r>
      </m:oMath>
      <w:r>
        <w:t xml:space="preserve"> </w:t>
      </w:r>
      <w:r>
        <w:t xml:space="preserve">with negligible overhead and is the recommended approach when</w:t>
      </w:r>
      <w:r>
        <w:t xml:space="preserve"> </w:t>
      </w:r>
      <m:oMath>
        <m:r>
          <m:t>N</m:t>
        </m:r>
        <m:r>
          <m:rPr>
            <m:sty m:val="p"/>
          </m:rPr>
          <m:t>&gt;</m:t>
        </m:r>
        <m:r>
          <m:t>100</m:t>
        </m:r>
      </m:oMath>
      <w:r>
        <w:t xml:space="preserve">.</w:t>
      </w:r>
    </w:p>
    <w:p>
      <w:pPr>
        <w:numPr>
          <w:ilvl w:val="0"/>
          <w:numId w:val="1006"/>
        </w:numPr>
      </w:pPr>
      <w:r>
        <w:rPr>
          <w:b/>
          <w:bCs/>
        </w:rPr>
        <w:t xml:space="preserve">H1 test: confirmed for all three regimes A+B+C at 30–150 keV.</w:t>
      </w:r>
      <w:r>
        <w:t xml:space="preserve"> </w:t>
      </w:r>
      <w:r>
        <w:t xml:space="preserve">Regime B vs regime A(phi0p189) gives</w:t>
      </w:r>
      <w:r>
        <w:t xml:space="preserve"> </w:t>
      </w:r>
      <m:oMath>
        <m:sSub>
          <m:e>
            <m:r>
              <m:t>μ</m:t>
            </m:r>
          </m:e>
          <m:sub>
            <m:r>
              <m:t>B</m:t>
            </m:r>
          </m:sub>
        </m:sSub>
        <m:r>
          <m:rPr>
            <m:sty m:val="p"/>
          </m:rPr>
          <m:t>/</m:t>
        </m:r>
        <m:sSub>
          <m:e>
            <m:r>
              <m:t>μ</m:t>
            </m:r>
          </m:e>
          <m:sub>
            <m:r>
              <m:t>A</m:t>
            </m:r>
            <m:r>
              <m:rPr>
                <m:sty m:val="p"/>
              </m:rPr>
              <m:t>,</m:t>
            </m:r>
            <m:r>
              <m:t>ϕ</m:t>
            </m:r>
          </m:sub>
        </m:sSub>
      </m:oMath>
      <w:r>
        <w:t xml:space="preserve"> </w:t>
      </w:r>
      <w:r>
        <w:t xml:space="preserve">in the range 0.975–0.984 (mean deviation −2.1%, within the 3% H1 gate). Regime C vs regime A(phi0p189) gives</w:t>
      </w:r>
      <w:r>
        <w:t xml:space="preserve"> </w:t>
      </w:r>
      <m:oMath>
        <m:sSub>
          <m:e>
            <m:r>
              <m:t>μ</m:t>
            </m:r>
          </m:e>
          <m:sub>
            <m:r>
              <m:t>C</m:t>
            </m:r>
          </m:sub>
        </m:sSub>
        <m:r>
          <m:rPr>
            <m:sty m:val="p"/>
          </m:rPr>
          <m:t>/</m:t>
        </m:r>
        <m:sSub>
          <m:e>
            <m:r>
              <m:t>μ</m:t>
            </m:r>
          </m:e>
          <m:sub>
            <m:r>
              <m:t>A</m:t>
            </m:r>
            <m:r>
              <m:rPr>
                <m:sty m:val="p"/>
              </m:rPr>
              <m:t>,</m:t>
            </m:r>
            <m:r>
              <m:t>ϕ</m:t>
            </m:r>
          </m:sub>
        </m:sSub>
      </m:oMath>
      <w:r>
        <w:t xml:space="preserve"> </w:t>
      </w:r>
      <w:r>
        <w:t xml:space="preserve">in the range 0.982–1.016 (mean</w:t>
      </w:r>
      <w:r>
        <w:t xml:space="preserve"> </w:t>
      </w:r>
      <m:oMath>
        <m:r>
          <m:rPr>
            <m:sty m:val="p"/>
          </m:rPr>
          <m:t>|</m:t>
        </m:r>
        <m:r>
          <m:rPr>
            <m:nor/>
            <m:sty m:val="p"/>
          </m:rPr>
          <m:t>deviation</m:t>
        </m:r>
        <m:r>
          <m:rPr>
            <m:sty m:val="p"/>
          </m:rPr>
          <m:t>|</m:t>
        </m:r>
      </m:oMath>
      <w:r>
        <w:t xml:space="preserve"> </w:t>
      </w:r>
      <w:r>
        <w:t xml:space="preserve">1.5%, within the 3% H1 gate).</w:t>
      </w:r>
    </w:p>
    <w:p>
      <w:pPr>
        <w:numPr>
          <w:ilvl w:val="0"/>
          <w:numId w:val="1006"/>
        </w:numPr>
      </w:pPr>
      <w:r>
        <w:rPr>
          <w:b/>
          <w:bCs/>
        </w:rPr>
        <w:t xml:space="preserve">Reproducible harness delivered.</w:t>
      </w:r>
      <w:r>
        <w:t xml:space="preserve"> </w:t>
      </w:r>
      <w:r>
        <w:t xml:space="preserve">All study configuration files, macro writer, benchmark orchestrator, XCOM comparison, and figure generation modules are open-source in ShieldLab G4 v1.1. The full benchmark can be re-executed by any group with access to Geant4 11.4 using</w:t>
      </w:r>
      <w:r>
        <w:t xml:space="preserve"> </w:t>
      </w:r>
      <w:r>
        <w:rPr>
          <w:rStyle w:val="VerbatimChar"/>
        </w:rPr>
        <w:t xml:space="preserve">python -m shieldlab.analysis.nano_benchmark</w:t>
      </w:r>
      <w:r>
        <w:t xml:space="preserve">.</w:t>
      </w:r>
    </w:p>
    <w:p>
      <w:pPr>
        <w:numPr>
          <w:ilvl w:val="0"/>
          <w:numId w:val="1006"/>
        </w:numPr>
      </w:pPr>
      <w:r>
        <w:rPr>
          <w:b/>
          <w:bCs/>
        </w:rPr>
        <w:t xml:space="preserve">Two-material generalisation.</w:t>
      </w:r>
      <w:r>
        <w:t xml:space="preserve"> </w:t>
      </w:r>
      <w:r>
        <w:t xml:space="preserve">The effective-medium Regime A achieves sub-1% XCOM agreement for both HDPE/Bi₂O₃ and HDPE/WO₃ at identical volume fraction φ=0.189, confirming methodology generalisability across filler chemistries. The W K-edge at 69.5 keV and the Bi K-edge at 90.5 keV are both correctly resolved (max |Δ|=0.97% for WO₃ across all 10 energies; mean |Δ|=0.42%), establishing a second independent K-edge benchmark covering the 50–80 keV diagnostic range.</w:t>
      </w:r>
    </w:p>
    <w:p>
      <w:r>
        <w:pict>
          <v:rect style="width:0;height:1.5pt" o:hralign="center" o:hrstd="t" o:hr="t"/>
        </w:pict>
      </w:r>
    </w:p>
    <w:bookmarkEnd w:id="71"/>
    <w:bookmarkStart w:id="72" w:name="limitations-and-validity-scope"/>
    <w:p>
      <w:pPr>
        <w:pStyle w:val="Heading2"/>
      </w:pPr>
      <w:r>
        <w:t xml:space="preserve">8. Limitations and Validity Scope</w:t>
      </w:r>
    </w:p>
    <w:p>
      <w:pPr>
        <w:pStyle w:val="Compact"/>
        <w:numPr>
          <w:ilvl w:val="0"/>
          <w:numId w:val="1007"/>
        </w:numPr>
      </w:pPr>
      <w:r>
        <w:rPr>
          <w:b/>
          <w:bCs/>
        </w:rPr>
        <w:t xml:space="preserve">RVE size selection.</w:t>
      </w:r>
      <w:r>
        <w:t xml:space="preserve"> </w:t>
      </w:r>
      <w:r>
        <w:t xml:space="preserve">Regime B used a 1 µm RVE (</w:t>
      </w:r>
      <m:oMath>
        <m:r>
          <m:t>N</m:t>
        </m:r>
        <m:r>
          <m:rPr>
            <m:sty m:val="p"/>
          </m:rPr>
          <m:t>=</m:t>
        </m:r>
        <m:r>
          <m:t>2</m:t>
        </m:r>
        <m:r>
          <m:rPr>
            <m:sty m:val="p"/>
          </m:rPr>
          <m:t>,</m:t>
        </m:r>
        <m:r>
          <m:t>888</m:t>
        </m:r>
      </m:oMath>
      <w:r>
        <w:t xml:space="preserve"> </w:t>
      </w:r>
      <w:r>
        <w:t xml:space="preserve">spheres); regime C required a 250 nm RVE (</w:t>
      </w:r>
      <m:oMath>
        <m:r>
          <m:t>N</m:t>
        </m:r>
        <m:r>
          <m:rPr>
            <m:sty m:val="p"/>
          </m:rPr>
          <m:t>=</m:t>
        </m:r>
        <m:r>
          <m:t>45</m:t>
        </m:r>
      </m:oMath>
      <w:r>
        <w:t xml:space="preserve">) due to</w:t>
      </w:r>
      <w:r>
        <w:t xml:space="preserve"> </w:t>
      </w:r>
      <w:r>
        <w:rPr>
          <w:rStyle w:val="VerbatimChar"/>
        </w:rPr>
        <w:t xml:space="preserve">G4Voxelizer</w:t>
      </w:r>
      <w:r>
        <w:t xml:space="preserve"> </w:t>
      </w:r>
      <w:r>
        <w:t xml:space="preserve">memory constraints (§5.3). A systematic RVE-convergence study (varying</w:t>
      </w:r>
      <w:r>
        <w:t xml:space="preserve"> </w:t>
      </w:r>
      <m:oMath>
        <m:sSub>
          <m:e>
            <m:r>
              <m:t>L</m:t>
            </m:r>
          </m:e>
          <m:sub>
            <m:r>
              <m:rPr>
                <m:nor/>
                <m:sty m:val="p"/>
              </m:rPr>
              <m:t>RVE</m:t>
            </m:r>
          </m:sub>
        </m:sSub>
      </m:oMath>
      <w:r>
        <w:t xml:space="preserve">) is deferred to a future version.</w:t>
      </w:r>
    </w:p>
    <w:p>
      <w:pPr>
        <w:pStyle w:val="Compact"/>
        <w:numPr>
          <w:ilvl w:val="0"/>
          <w:numId w:val="1007"/>
        </w:numPr>
      </w:pPr>
      <w:r>
        <w:rPr>
          <w:b/>
          <w:bCs/>
        </w:rPr>
        <w:t xml:space="preserve">Explicit-RVE regime for WO₃ not reported.</w:t>
      </w:r>
      <w:r>
        <w:t xml:space="preserve"> </w:t>
      </w:r>
      <w:r>
        <w:t xml:space="preserve">Regime A at φ=0.189 is demonstrated for WO₃ in this paper. Extension of Regimes B and C to WO₃ (and other matrix/filler combinations, BaSO₄, varied loadings) is planned for the full regime-map study.</w:t>
      </w:r>
    </w:p>
    <w:p>
      <w:pPr>
        <w:pStyle w:val="Compact"/>
        <w:numPr>
          <w:ilvl w:val="0"/>
          <w:numId w:val="1007"/>
        </w:numPr>
      </w:pPr>
      <w:r>
        <w:rPr>
          <w:b/>
          <w:bCs/>
        </w:rPr>
        <w:t xml:space="preserve">Macroscopic transmission only.</w:t>
      </w:r>
      <w:r>
        <w:t xml:space="preserve"> </w:t>
      </w:r>
      <w:r>
        <w:t xml:space="preserve">Interface dose-enhancement factors (H2 test) require phase-resolved scoring that is not implemented in the current RVE geometry setup.</w:t>
      </w:r>
    </w:p>
    <w:p>
      <w:pPr>
        <w:pStyle w:val="Compact"/>
        <w:numPr>
          <w:ilvl w:val="0"/>
          <w:numId w:val="1007"/>
        </w:numPr>
      </w:pPr>
      <w:r>
        <w:rPr>
          <w:b/>
          <w:bCs/>
        </w:rPr>
        <w:t xml:space="preserve">1-D slab transport.</w:t>
      </w:r>
      <w:r>
        <w:t xml:space="preserve"> </w:t>
      </w:r>
      <w:r>
        <w:t xml:space="preserve">Full 3-D geometry is out of scope for this paper.</w:t>
      </w:r>
    </w:p>
    <w:p>
      <w:pPr>
        <w:pStyle w:val="Compact"/>
        <w:numPr>
          <w:ilvl w:val="0"/>
          <w:numId w:val="1007"/>
        </w:numPr>
      </w:pPr>
      <w:r>
        <w:rPr>
          <w:b/>
          <w:bCs/>
        </w:rPr>
        <w:t xml:space="preserve">Photon-only benchmark.</w:t>
      </w:r>
      <w:r>
        <w:t xml:space="preserve"> </w:t>
      </w:r>
      <w:r>
        <w:t xml:space="preserve">Neutron and charged-particle behaviour through nanocomposites is not addressed.</w:t>
      </w:r>
    </w:p>
    <w:p>
      <w:pPr>
        <w:pStyle w:val="Compact"/>
        <w:numPr>
          <w:ilvl w:val="0"/>
          <w:numId w:val="1007"/>
        </w:numPr>
      </w:pPr>
      <w:r>
        <w:rPr>
          <w:b/>
          <w:bCs/>
        </w:rPr>
        <w:t xml:space="preserve">Density input.</w:t>
      </w:r>
      <w:r>
        <w:t xml:space="preserve"> </w:t>
      </w:r>
      <m:oMath>
        <m:sSub>
          <m:e>
            <m:r>
              <m:t>ρ</m:t>
            </m:r>
          </m:e>
          <m:sub>
            <m:r>
              <m:rPr>
                <m:nor/>
                <m:sty m:val="p"/>
              </m:rPr>
              <m:t>eff</m:t>
            </m:r>
          </m:sub>
        </m:sSub>
      </m:oMath>
      <w:r>
        <w:t xml:space="preserve"> </w:t>
      </w:r>
      <w:r>
        <w:t xml:space="preserve">values are derived from the volume-fraction rule or user-specified literature values; no measured densities are available at this time. Results carry the provenance tag</w:t>
      </w:r>
      <w:r>
        <w:t xml:space="preserve"> </w:t>
      </w:r>
      <w:r>
        <w:rPr>
          <w:rStyle w:val="VerbatimChar"/>
        </w:rPr>
        <w:t xml:space="preserve">[ρ-volume-rule]</w:t>
      </w:r>
      <w:r>
        <w:t xml:space="preserve">.</w:t>
      </w:r>
    </w:p>
    <w:p>
      <w:r>
        <w:pict>
          <v:rect style="width:0;height:1.5pt" o:hralign="center" o:hrstd="t" o:hr="t"/>
        </w:pict>
      </w:r>
    </w:p>
    <w:bookmarkEnd w:id="72"/>
    <w:bookmarkStart w:id="74" w:name="X2d8f1b2f27b31457b82c6dbfacb1816390ebf9a"/>
    <w:p>
      <w:pPr>
        <w:pStyle w:val="Heading2"/>
      </w:pPr>
      <w:r>
        <w:t xml:space="preserve">9. Reproducibility, Code Availability, and Ethics</w:t>
      </w:r>
    </w:p>
    <w:p>
      <w:pPr>
        <w:pStyle w:val="Compact"/>
        <w:numPr>
          <w:ilvl w:val="0"/>
          <w:numId w:val="1008"/>
        </w:numPr>
      </w:pPr>
      <w:r>
        <w:rPr>
          <w:b/>
          <w:bCs/>
        </w:rPr>
        <w:t xml:space="preserve">Software availability:</w:t>
      </w:r>
      <w:r>
        <w:t xml:space="preserve"> </w:t>
      </w:r>
      <w:r>
        <w:t xml:space="preserve">ShieldLab G4 v1.1 (tag to be assigned upon paper submission), released under the MIT licence. Source code is available at the repository root</w:t>
      </w:r>
      <w:r>
        <w:t xml:space="preserve"> </w:t>
      </w:r>
      <w:hyperlink r:id="rId73">
        <w:r>
          <w:rPr>
            <w:rStyle w:val="Hyperlink"/>
          </w:rPr>
          <w:t xml:space="preserve">README.md</w:t>
        </w:r>
      </w:hyperlink>
      <w:r>
        <w:t xml:space="preserve">.</w:t>
      </w:r>
    </w:p>
    <w:p>
      <w:pPr>
        <w:pStyle w:val="Compact"/>
        <w:numPr>
          <w:ilvl w:val="0"/>
          <w:numId w:val="1008"/>
        </w:numPr>
      </w:pPr>
      <w:r>
        <w:rPr>
          <w:b/>
          <w:bCs/>
        </w:rPr>
        <w:t xml:space="preserve">Data availability:</w:t>
      </w:r>
      <w:r>
        <w:t xml:space="preserve"> </w:t>
      </w:r>
      <w:r>
        <w:t xml:space="preserve">benchmark study JSON files, raw scorer outputs, derived CSV files, and figure-generation scripts for this paper are released in</w:t>
      </w:r>
      <w:r>
        <w:t xml:space="preserve"> </w:t>
      </w:r>
      <w:r>
        <w:rPr>
          <w:rStyle w:val="VerbatimChar"/>
        </w:rPr>
        <w:t xml:space="preserve">results/paper3/</w:t>
      </w:r>
      <w:r>
        <w:t xml:space="preserve"> </w:t>
      </w:r>
      <w:r>
        <w:t xml:space="preserve">under CC-BY 4.0.</w:t>
      </w:r>
    </w:p>
    <w:p>
      <w:pPr>
        <w:pStyle w:val="Compact"/>
        <w:numPr>
          <w:ilvl w:val="0"/>
          <w:numId w:val="1008"/>
        </w:numPr>
      </w:pPr>
      <w:r>
        <w:rPr>
          <w:b/>
          <w:bCs/>
        </w:rPr>
        <w:t xml:space="preserve">Compute environment:</w:t>
      </w:r>
      <w:r>
        <w:t xml:space="preserve"> </w:t>
      </w:r>
      <w:r>
        <w:t xml:space="preserve">Geant4 11.4-beta-01 on WSL Ubuntu 22.04, Python 3.11 (Windows host),</w:t>
      </w:r>
      <w:r>
        <w:t xml:space="preserve"> </w:t>
      </w:r>
      <w:r>
        <w:rPr>
          <w:rStyle w:val="VerbatimChar"/>
        </w:rPr>
        <w:t xml:space="preserve">d:\uv_envs</w:t>
      </w:r>
      <w:r>
        <w:t xml:space="preserve"> </w:t>
      </w:r>
      <w:r>
        <w:t xml:space="preserve">virtual environment.</w:t>
      </w:r>
    </w:p>
    <w:p>
      <w:pPr>
        <w:pStyle w:val="Compact"/>
        <w:numPr>
          <w:ilvl w:val="0"/>
          <w:numId w:val="1008"/>
        </w:numPr>
      </w:pPr>
      <w:r>
        <w:rPr>
          <w:b/>
          <w:bCs/>
        </w:rPr>
        <w:t xml:space="preserve">Ethics statement:</w:t>
      </w:r>
      <w:r>
        <w:t xml:space="preserve"> </w:t>
      </w:r>
      <w:r>
        <w:t xml:space="preserve">this study used no human participants, no animal data, and no clinical data.</w:t>
      </w:r>
    </w:p>
    <w:p>
      <w:pPr>
        <w:pStyle w:val="Compact"/>
        <w:numPr>
          <w:ilvl w:val="0"/>
          <w:numId w:val="1008"/>
        </w:numPr>
      </w:pPr>
      <w:r>
        <w:rPr>
          <w:b/>
          <w:bCs/>
        </w:rPr>
        <w:t xml:space="preserve">Funding statement:</w:t>
      </w:r>
      <w:r>
        <w:t xml:space="preserve"> </w:t>
      </w:r>
      <w:r>
        <w:t xml:space="preserve">no external funding was received for this work.</w:t>
      </w:r>
    </w:p>
    <w:p>
      <w:pPr>
        <w:pStyle w:val="Compact"/>
        <w:numPr>
          <w:ilvl w:val="0"/>
          <w:numId w:val="1008"/>
        </w:numPr>
      </w:pPr>
      <w:r>
        <w:rPr>
          <w:b/>
          <w:bCs/>
        </w:rPr>
        <w:t xml:space="preserve">Conflict of interest statement:</w:t>
      </w:r>
      <w:r>
        <w:t xml:space="preserve"> </w:t>
      </w:r>
      <w:r>
        <w:t xml:space="preserve">the author declares no conflict of interest.</w:t>
      </w:r>
    </w:p>
    <w:p>
      <w:pPr>
        <w:pStyle w:val="Compact"/>
        <w:numPr>
          <w:ilvl w:val="0"/>
          <w:numId w:val="1008"/>
        </w:numPr>
      </w:pPr>
      <w:r>
        <w:rPr>
          <w:b/>
          <w:bCs/>
        </w:rPr>
        <w:t xml:space="preserve">AI-assisted writing disclosure:</w:t>
      </w:r>
      <w:r>
        <w:t xml:space="preserve"> </w:t>
      </w:r>
      <w:r>
        <w:t xml:space="preserve">portions of the manuscript were drafted with the assistance of GitHub Copilot in agent mode; all physics claims, results, citations, and code were independently verified by the author before submission, consistent with COPE 2023 guidance.</w:t>
      </w:r>
    </w:p>
    <w:p>
      <w:r>
        <w:pict>
          <v:rect style="width:0;height:1.5pt" o:hralign="center" o:hrstd="t" o:hr="t"/>
        </w:pict>
      </w:r>
    </w:p>
    <w:bookmarkEnd w:id="74"/>
    <w:bookmarkStart w:id="84" w:name="references"/>
    <w:p>
      <w:pPr>
        <w:pStyle w:val="Heading2"/>
      </w:pPr>
      <w:r>
        <w:t xml:space="preserve">10. References</w:t>
      </w:r>
    </w:p>
    <w:p>
      <w:pPr>
        <w:pStyle w:val="Compact"/>
        <w:numPr>
          <w:ilvl w:val="0"/>
          <w:numId w:val="1009"/>
        </w:numPr>
      </w:pPr>
      <w:r>
        <w:t xml:space="preserve">S. Agostinelli et al.,</w:t>
      </w:r>
      <w:r>
        <w:t xml:space="preserve"> </w:t>
      </w:r>
      <w:r>
        <w:t xml:space="preserve">“Geant4 — a simulation toolkit,”</w:t>
      </w:r>
      <w:r>
        <w:t xml:space="preserve"> </w:t>
      </w:r>
      <w:r>
        <w:rPr>
          <w:i/>
          <w:iCs/>
        </w:rPr>
        <w:t xml:space="preserve">Nucl. Instrum. Methods Phys. Res. A</w:t>
      </w:r>
      <w:r>
        <w:t xml:space="preserve"> </w:t>
      </w:r>
      <w:r>
        <w:rPr>
          <w:b/>
          <w:bCs/>
        </w:rPr>
        <w:t xml:space="preserve">506</w:t>
      </w:r>
      <w:r>
        <w:t xml:space="preserve">, 250–303 (2003). DOI:</w:t>
      </w:r>
      <w:r>
        <w:t xml:space="preserve"> </w:t>
      </w:r>
      <w:hyperlink r:id="rId75">
        <w:r>
          <w:rPr>
            <w:rStyle w:val="Hyperlink"/>
          </w:rPr>
          <w:t xml:space="preserve">10.1016/S0168-9002(03)01368-8</w:t>
        </w:r>
      </w:hyperlink>
      <w:r>
        <w:t xml:space="preserve">.</w:t>
      </w:r>
    </w:p>
    <w:p>
      <w:pPr>
        <w:pStyle w:val="Compact"/>
        <w:numPr>
          <w:ilvl w:val="0"/>
          <w:numId w:val="1009"/>
        </w:numPr>
      </w:pPr>
      <w:r>
        <w:t xml:space="preserve">J. Allison et al.,</w:t>
      </w:r>
      <w:r>
        <w:t xml:space="preserve"> </w:t>
      </w:r>
      <w:r>
        <w:t xml:space="preserve">“Geant4 developments and applications,”</w:t>
      </w:r>
      <w:r>
        <w:t xml:space="preserve"> </w:t>
      </w:r>
      <w:r>
        <w:rPr>
          <w:i/>
          <w:iCs/>
        </w:rPr>
        <w:t xml:space="preserve">IEEE Trans. Nucl. Sci.</w:t>
      </w:r>
      <w:r>
        <w:t xml:space="preserve"> </w:t>
      </w:r>
      <w:r>
        <w:rPr>
          <w:b/>
          <w:bCs/>
        </w:rPr>
        <w:t xml:space="preserve">53</w:t>
      </w:r>
      <w:r>
        <w:t xml:space="preserve">, 270–278 (2006). DOI:</w:t>
      </w:r>
      <w:r>
        <w:t xml:space="preserve"> </w:t>
      </w:r>
      <w:hyperlink r:id="rId76">
        <w:r>
          <w:rPr>
            <w:rStyle w:val="Hyperlink"/>
          </w:rPr>
          <w:t xml:space="preserve">10.1109/TNS.2006.869826</w:t>
        </w:r>
      </w:hyperlink>
      <w:r>
        <w:t xml:space="preserve">.</w:t>
      </w:r>
    </w:p>
    <w:p>
      <w:pPr>
        <w:pStyle w:val="Compact"/>
        <w:numPr>
          <w:ilvl w:val="0"/>
          <w:numId w:val="1009"/>
        </w:numPr>
      </w:pPr>
      <w:r>
        <w:t xml:space="preserve">J. Allison et al.,</w:t>
      </w:r>
      <w:r>
        <w:t xml:space="preserve"> </w:t>
      </w:r>
      <w:r>
        <w:t xml:space="preserve">“Recent developments in Geant4,”</w:t>
      </w:r>
      <w:r>
        <w:t xml:space="preserve"> </w:t>
      </w:r>
      <w:r>
        <w:rPr>
          <w:i/>
          <w:iCs/>
        </w:rPr>
        <w:t xml:space="preserve">Nucl. Instrum. Methods Phys. Res. A</w:t>
      </w:r>
      <w:r>
        <w:t xml:space="preserve"> </w:t>
      </w:r>
      <w:r>
        <w:rPr>
          <w:b/>
          <w:bCs/>
        </w:rPr>
        <w:t xml:space="preserve">835</w:t>
      </w:r>
      <w:r>
        <w:t xml:space="preserve">, 186–225 (2016). DOI:</w:t>
      </w:r>
      <w:r>
        <w:t xml:space="preserve"> </w:t>
      </w:r>
      <w:hyperlink r:id="rId77">
        <w:r>
          <w:rPr>
            <w:rStyle w:val="Hyperlink"/>
          </w:rPr>
          <w:t xml:space="preserve">10.1016/j.nima.2016.06.125</w:t>
        </w:r>
      </w:hyperlink>
      <w:r>
        <w:t xml:space="preserve">.</w:t>
      </w:r>
    </w:p>
    <w:p>
      <w:pPr>
        <w:pStyle w:val="Compact"/>
        <w:numPr>
          <w:ilvl w:val="0"/>
          <w:numId w:val="1009"/>
        </w:numPr>
      </w:pPr>
      <w:r>
        <w:t xml:space="preserve">J. H. Hubbell,</w:t>
      </w:r>
      <w:r>
        <w:t xml:space="preserve"> </w:t>
      </w:r>
      <w:r>
        <w:t xml:space="preserve">“Photon mass attenuation and energy-absorption coefficients from 1 keV to 20 MeV,”</w:t>
      </w:r>
      <w:r>
        <w:t xml:space="preserve"> </w:t>
      </w:r>
      <w:r>
        <w:rPr>
          <w:i/>
          <w:iCs/>
        </w:rPr>
        <w:t xml:space="preserve">Int. J. Appl. Radiat. Isot.</w:t>
      </w:r>
      <w:r>
        <w:t xml:space="preserve"> </w:t>
      </w:r>
      <w:r>
        <w:rPr>
          <w:b/>
          <w:bCs/>
        </w:rPr>
        <w:t xml:space="preserve">33</w:t>
      </w:r>
      <w:r>
        <w:t xml:space="preserve">, 1269–1290 (1982). DOI:</w:t>
      </w:r>
      <w:r>
        <w:t xml:space="preserve"> </w:t>
      </w:r>
      <w:hyperlink r:id="rId78">
        <w:r>
          <w:rPr>
            <w:rStyle w:val="Hyperlink"/>
          </w:rPr>
          <w:t xml:space="preserve">10.1016/0020-708X(82)90248-4</w:t>
        </w:r>
      </w:hyperlink>
      <w:r>
        <w:t xml:space="preserve">.</w:t>
      </w:r>
    </w:p>
    <w:p>
      <w:pPr>
        <w:pStyle w:val="Compact"/>
        <w:numPr>
          <w:ilvl w:val="0"/>
          <w:numId w:val="1009"/>
        </w:numPr>
      </w:pPr>
      <w:r>
        <w:t xml:space="preserve">J. H. Hubbell,</w:t>
      </w:r>
      <w:r>
        <w:t xml:space="preserve"> </w:t>
      </w:r>
      <w:r>
        <w:t xml:space="preserve">“Review of photon interaction cross-section data in the medical and biological context,”</w:t>
      </w:r>
      <w:r>
        <w:t xml:space="preserve"> </w:t>
      </w:r>
      <w:r>
        <w:rPr>
          <w:i/>
          <w:iCs/>
        </w:rPr>
        <w:t xml:space="preserve">Phys. Med. Biol.</w:t>
      </w:r>
      <w:r>
        <w:t xml:space="preserve"> </w:t>
      </w:r>
      <w:r>
        <w:rPr>
          <w:b/>
          <w:bCs/>
        </w:rPr>
        <w:t xml:space="preserve">44</w:t>
      </w:r>
      <w:r>
        <w:t xml:space="preserve">, R1–R22 (1999). DOI:</w:t>
      </w:r>
      <w:r>
        <w:t xml:space="preserve"> </w:t>
      </w:r>
      <w:hyperlink r:id="rId79">
        <w:r>
          <w:rPr>
            <w:rStyle w:val="Hyperlink"/>
          </w:rPr>
          <w:t xml:space="preserve">10.1088/0031-9155/44/1/001</w:t>
        </w:r>
      </w:hyperlink>
      <w:r>
        <w:t xml:space="preserve">.</w:t>
      </w:r>
    </w:p>
    <w:p>
      <w:pPr>
        <w:pStyle w:val="Compact"/>
        <w:numPr>
          <w:ilvl w:val="0"/>
          <w:numId w:val="1009"/>
        </w:numPr>
      </w:pPr>
      <w:r>
        <w:t xml:space="preserve">M. J. Berger, J. H. Hubbell, S. M. Seltzer, J. Chang, J. S. Coursey, R. Sukumar, D. S. Zucker, K. Olsen,</w:t>
      </w:r>
      <w:r>
        <w:t xml:space="preserve"> </w:t>
      </w:r>
      <w:r>
        <w:rPr>
          <w:i/>
          <w:iCs/>
        </w:rPr>
        <w:t xml:space="preserve">XCOM: Photon Cross Section Database</w:t>
      </w:r>
      <w:r>
        <w:t xml:space="preserve">, NIST SRD 8 (XGAM), NIST, Gaithersburg MD. URL:</w:t>
      </w:r>
      <w:r>
        <w:t xml:space="preserve"> </w:t>
      </w:r>
      <w:hyperlink r:id="rId80">
        <w:r>
          <w:rPr>
            <w:rStyle w:val="Hyperlink"/>
          </w:rPr>
          <w:t xml:space="preserve">https://physics.nist.gov/xcom</w:t>
        </w:r>
      </w:hyperlink>
      <w:r>
        <w:t xml:space="preserve">.</w:t>
      </w:r>
    </w:p>
    <w:p>
      <w:pPr>
        <w:pStyle w:val="Compact"/>
        <w:numPr>
          <w:ilvl w:val="0"/>
          <w:numId w:val="1009"/>
        </w:numPr>
      </w:pPr>
      <w:r>
        <w:t xml:space="preserve">J. H. Hubbell and S. M. Seltzer,</w:t>
      </w:r>
      <w:r>
        <w:t xml:space="preserve"> </w:t>
      </w:r>
      <w:r>
        <w:rPr>
          <w:i/>
          <w:iCs/>
        </w:rPr>
        <w:t xml:space="preserve">Tables of X-Ray Mass Attenuation Coefficients and Mass Energy-Absorption Coefficients from 1 keV to 20 MeV for Elements Z = 1–92 and 48 Additional Substances of Dosimetric Interest</w:t>
      </w:r>
      <w:r>
        <w:t xml:space="preserve">, NISTIR 5632 (1995).</w:t>
      </w:r>
    </w:p>
    <w:p>
      <w:pPr>
        <w:pStyle w:val="Compact"/>
        <w:numPr>
          <w:ilvl w:val="0"/>
          <w:numId w:val="1009"/>
        </w:numPr>
      </w:pPr>
      <w:r>
        <w:t xml:space="preserve">S. Incerti et al.,</w:t>
      </w:r>
      <w:r>
        <w:t xml:space="preserve"> </w:t>
      </w:r>
      <w:r>
        <w:t xml:space="preserve">“Comparison of Geant4 very low energy cross-section models with experimental data in water,”</w:t>
      </w:r>
      <w:r>
        <w:t xml:space="preserve"> </w:t>
      </w:r>
      <w:r>
        <w:rPr>
          <w:i/>
          <w:iCs/>
        </w:rPr>
        <w:t xml:space="preserve">Med. Phys.</w:t>
      </w:r>
      <w:r>
        <w:t xml:space="preserve"> </w:t>
      </w:r>
      <w:r>
        <w:rPr>
          <w:b/>
          <w:bCs/>
        </w:rPr>
        <w:t xml:space="preserve">37</w:t>
      </w:r>
      <w:r>
        <w:t xml:space="preserve">, 4692–4708 (2010). DOI:</w:t>
      </w:r>
      <w:r>
        <w:t xml:space="preserve"> </w:t>
      </w:r>
      <w:hyperlink r:id="rId81">
        <w:r>
          <w:rPr>
            <w:rStyle w:val="Hyperlink"/>
          </w:rPr>
          <w:t xml:space="preserve">10.1118/1.3476457</w:t>
        </w:r>
      </w:hyperlink>
      <w:r>
        <w:t xml:space="preserve">.</w:t>
      </w:r>
    </w:p>
    <w:p>
      <w:pPr>
        <w:pStyle w:val="Compact"/>
        <w:numPr>
          <w:ilvl w:val="0"/>
          <w:numId w:val="1009"/>
        </w:numPr>
      </w:pPr>
      <w:r>
        <w:t xml:space="preserve">S. Incerti et al.,</w:t>
      </w:r>
      <w:r>
        <w:t xml:space="preserve"> </w:t>
      </w:r>
      <w:r>
        <w:t xml:space="preserve">“The Geant4-DNA project,”</w:t>
      </w:r>
      <w:r>
        <w:t xml:space="preserve"> </w:t>
      </w:r>
      <w:r>
        <w:rPr>
          <w:i/>
          <w:iCs/>
        </w:rPr>
        <w:t xml:space="preserve">Int. J. Model. Simul. Sci. Comput.</w:t>
      </w:r>
      <w:r>
        <w:t xml:space="preserve"> </w:t>
      </w:r>
      <w:r>
        <w:rPr>
          <w:b/>
          <w:bCs/>
        </w:rPr>
        <w:t xml:space="preserve">1</w:t>
      </w:r>
      <w:r>
        <w:t xml:space="preserve">, 157–178 (2010). DOI:</w:t>
      </w:r>
      <w:r>
        <w:t xml:space="preserve"> </w:t>
      </w:r>
      <w:hyperlink r:id="rId82">
        <w:r>
          <w:rPr>
            <w:rStyle w:val="Hyperlink"/>
          </w:rPr>
          <w:t xml:space="preserve">10.1142/S1793962310000122</w:t>
        </w:r>
      </w:hyperlink>
      <w:r>
        <w:t xml:space="preserve">.</w:t>
      </w:r>
    </w:p>
    <w:p>
      <w:pPr>
        <w:pStyle w:val="Compact"/>
        <w:numPr>
          <w:ilvl w:val="0"/>
          <w:numId w:val="1009"/>
        </w:numPr>
      </w:pPr>
      <w:r>
        <w:t xml:space="preserve">H. N. Tran et al.,</w:t>
      </w:r>
      <w:r>
        <w:t xml:space="preserve"> </w:t>
      </w:r>
      <w:r>
        <w:t xml:space="preserve">“Geant4 Monte Carlo simulation of absorbed dose and radiolysis yields enhancement from a gold nanoparticle under MeV proton irradiation,”</w:t>
      </w:r>
      <w:r>
        <w:t xml:space="preserve"> </w:t>
      </w:r>
      <w:r>
        <w:rPr>
          <w:i/>
          <w:iCs/>
        </w:rPr>
        <w:t xml:space="preserve">Nucl. Instrum. Methods Phys. Res. B</w:t>
      </w:r>
      <w:r>
        <w:t xml:space="preserve"> </w:t>
      </w:r>
      <w:r>
        <w:rPr>
          <w:b/>
          <w:bCs/>
        </w:rPr>
        <w:t xml:space="preserve">373</w:t>
      </w:r>
      <w:r>
        <w:t xml:space="preserve">, 126–139 (2016). DOI:</w:t>
      </w:r>
      <w:r>
        <w:t xml:space="preserve"> </w:t>
      </w:r>
      <w:hyperlink r:id="rId83">
        <w:r>
          <w:rPr>
            <w:rStyle w:val="Hyperlink"/>
          </w:rPr>
          <w:t xml:space="preserve">10.1016/j.nimb.2016.01.017</w:t>
        </w:r>
      </w:hyperlink>
      <w:r>
        <w:t xml:space="preserve">.</w:t>
      </w:r>
    </w:p>
    <w:p>
      <w:pPr>
        <w:pStyle w:val="Compact"/>
        <w:numPr>
          <w:ilvl w:val="0"/>
          <w:numId w:val="1009"/>
        </w:numPr>
      </w:pPr>
      <w:r>
        <w:t xml:space="preserve">D. E. Cullen, J. H. Hubbell, and L. Kissel,</w:t>
      </w:r>
      <w:r>
        <w:t xml:space="preserve"> </w:t>
      </w:r>
      <w:r>
        <w:rPr>
          <w:i/>
          <w:iCs/>
        </w:rPr>
        <w:t xml:space="preserve">EPDL97: The Evaluated Photon Data Library, ’97 Version</w:t>
      </w:r>
      <w:r>
        <w:t xml:space="preserve">, UCRL-50400 Vol. 6 Rev. 5, Lawrence Livermore National Laboratory (1997).</w:t>
      </w:r>
    </w:p>
    <w:bookmarkEnd w:id="84"/>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35" Target="media/rId35.png" /><Relationship Type="http://schemas.openxmlformats.org/officeDocument/2006/relationships/image" Id="rId42" Target="media/rId42.png" /><Relationship Type="http://schemas.openxmlformats.org/officeDocument/2006/relationships/image" Id="rId51" Target="media/rId51.png" /><Relationship Type="http://schemas.openxmlformats.org/officeDocument/2006/relationships/image" Id="rId56" Target="media/rId56.png" /><Relationship Type="http://schemas.openxmlformats.org/officeDocument/2006/relationships/image" Id="rId61" Target="media/rId61.png" /><Relationship Type="http://schemas.openxmlformats.org/officeDocument/2006/relationships/hyperlink" Id="rId73" Target="README.md" TargetMode="External" /><Relationship Type="http://schemas.openxmlformats.org/officeDocument/2006/relationships/hyperlink" Id="rId78" Target="https://doi.org/10.1016/0020-708X(82)90248-4" TargetMode="External" /><Relationship Type="http://schemas.openxmlformats.org/officeDocument/2006/relationships/hyperlink" Id="rId75" Target="https://doi.org/10.1016/S0168-9002(03)01368-8" TargetMode="External" /><Relationship Type="http://schemas.openxmlformats.org/officeDocument/2006/relationships/hyperlink" Id="rId77" Target="https://doi.org/10.1016/j.nima.2016.06.125" TargetMode="External" /><Relationship Type="http://schemas.openxmlformats.org/officeDocument/2006/relationships/hyperlink" Id="rId83" Target="https://doi.org/10.1016/j.nimb.2016.01.017" TargetMode="External" /><Relationship Type="http://schemas.openxmlformats.org/officeDocument/2006/relationships/hyperlink" Id="rId79" Target="https://doi.org/10.1088/0031-9155/44/1/001" TargetMode="External" /><Relationship Type="http://schemas.openxmlformats.org/officeDocument/2006/relationships/hyperlink" Id="rId76" Target="https://doi.org/10.1109/TNS.2006.869826" TargetMode="External" /><Relationship Type="http://schemas.openxmlformats.org/officeDocument/2006/relationships/hyperlink" Id="rId81" Target="https://doi.org/10.1118/1.3476457" TargetMode="External" /><Relationship Type="http://schemas.openxmlformats.org/officeDocument/2006/relationships/hyperlink" Id="rId82" Target="https://doi.org/10.1142/S1793962310000122" TargetMode="External" /><Relationship Type="http://schemas.openxmlformats.org/officeDocument/2006/relationships/hyperlink" Id="rId80" Target="https://physics.nist.gov/xcom" TargetMode="External" /><Relationship Type="http://schemas.openxmlformats.org/officeDocument/2006/relationships/hyperlink" Id="rId19" Target="python/shieldlab/core/materials.py" TargetMode="External" /><Relationship Type="http://schemas.openxmlformats.org/officeDocument/2006/relationships/hyperlink" Id="rId20" Target="src/DetectorConstruction.cc" TargetMode="External" /><Relationship Type="http://schemas.openxmlformats.org/officeDocument/2006/relationships/hyperlink" Id="rId18" Target="src/MaterialRegistry.cc" TargetMode="External" /></Relationships>
</file>

<file path=word/_rels/footnotes.xml.rels><?xml version="1.0" encoding="UTF-8"?><Relationships xmlns="http://schemas.openxmlformats.org/package/2006/relationships"><Relationship Type="http://schemas.openxmlformats.org/officeDocument/2006/relationships/hyperlink" Id="rId73" Target="README.md" TargetMode="External" /><Relationship Type="http://schemas.openxmlformats.org/officeDocument/2006/relationships/hyperlink" Id="rId78" Target="https://doi.org/10.1016/0020-708X(82)90248-4" TargetMode="External" /><Relationship Type="http://schemas.openxmlformats.org/officeDocument/2006/relationships/hyperlink" Id="rId75" Target="https://doi.org/10.1016/S0168-9002(03)01368-8" TargetMode="External" /><Relationship Type="http://schemas.openxmlformats.org/officeDocument/2006/relationships/hyperlink" Id="rId77" Target="https://doi.org/10.1016/j.nima.2016.06.125" TargetMode="External" /><Relationship Type="http://schemas.openxmlformats.org/officeDocument/2006/relationships/hyperlink" Id="rId83" Target="https://doi.org/10.1016/j.nimb.2016.01.017" TargetMode="External" /><Relationship Type="http://schemas.openxmlformats.org/officeDocument/2006/relationships/hyperlink" Id="rId79" Target="https://doi.org/10.1088/0031-9155/44/1/001" TargetMode="External" /><Relationship Type="http://schemas.openxmlformats.org/officeDocument/2006/relationships/hyperlink" Id="rId76" Target="https://doi.org/10.1109/TNS.2006.869826" TargetMode="External" /><Relationship Type="http://schemas.openxmlformats.org/officeDocument/2006/relationships/hyperlink" Id="rId81" Target="https://doi.org/10.1118/1.3476457" TargetMode="External" /><Relationship Type="http://schemas.openxmlformats.org/officeDocument/2006/relationships/hyperlink" Id="rId82" Target="https://doi.org/10.1142/S1793962310000122" TargetMode="External" /><Relationship Type="http://schemas.openxmlformats.org/officeDocument/2006/relationships/hyperlink" Id="rId80" Target="https://physics.nist.gov/xcom" TargetMode="External" /><Relationship Type="http://schemas.openxmlformats.org/officeDocument/2006/relationships/hyperlink" Id="rId19" Target="python/shieldlab/core/materials.py" TargetMode="External" /><Relationship Type="http://schemas.openxmlformats.org/officeDocument/2006/relationships/hyperlink" Id="rId20" Target="src/DetectorConstruction.cc" TargetMode="External" /><Relationship Type="http://schemas.openxmlformats.org/officeDocument/2006/relationships/hyperlink" Id="rId18" Target="src/MaterialRegistry.c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2026-05-18T20:25:04Z</dcterms:created>
  <dcterms:modified xsi:type="dcterms:W3CDTF">2026-05-18T20:25:04Z</dcterms:modified>
</cp:coreProperties>
</file>

<file path=docProps/custom.xml><?xml version="1.0" encoding="utf-8"?>
<Properties xmlns="http://schemas.openxmlformats.org/officeDocument/2006/custom-properties" xmlns:vt="http://schemas.openxmlformats.org/officeDocument/2006/docPropsVTypes"/>
</file>