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586dac668531802d331ef7aabf771acc23c6b8"/>
    <w:p>
      <w:pPr>
        <w:pStyle w:val="Heading1"/>
      </w:pPr>
      <w:r>
        <w:t xml:space="preserve">Memory-Efficient Geant4 Modelling Regimes for Nanocomposite Radiation Shielding: Effective Medium, Explicit Nanoparticle Geometry, and Hybrid Representative-Volume Validation</w:t>
      </w:r>
    </w:p>
    <w:p>
      <w:pPr>
        <w:pStyle w:val="FirstParagraph"/>
      </w:pPr>
      <w:r>
        <w:rPr>
          <w:b/>
          <w:bCs/>
        </w:rPr>
        <w:t xml:space="preserve">Hani H. Negm</w:t>
      </w:r>
      <w:r>
        <w:t xml:space="preserve">¹</w:t>
      </w:r>
    </w:p>
    <w:p>
      <w:pPr>
        <w:pStyle w:val="BodyText"/>
      </w:pPr>
      <w:r>
        <w:t xml:space="preserve">¹</w:t>
      </w:r>
      <w:r>
        <w:t xml:space="preserve"> </w:t>
      </w:r>
      <w:r>
        <w:rPr>
          <w:i/>
          <w:iCs/>
        </w:rPr>
        <w:t xml:space="preserve">Department of Physics,</w:t>
      </w:r>
      <w:r>
        <w:rPr>
          <w:i/>
          <w:iCs/>
        </w:rPr>
        <w:t xml:space="preserve"> </w:t>
      </w:r>
      <w:r>
        <w:rPr>
          <w:b/>
          <w:bCs/>
          <w:i/>
          <w:iCs/>
        </w:rPr>
        <w:t xml:space="preserve">[AFFILIATION REQUIRED — DO NOT SUBMIT WITH PLACEHOLDER]</w:t>
      </w:r>
    </w:p>
    <w:p>
      <w:pPr>
        <w:pStyle w:val="BodyText"/>
      </w:pPr>
      <w:r>
        <w:rPr>
          <w:b/>
          <w:bCs/>
        </w:rPr>
        <w:t xml:space="preserve">Corresponding author:</w:t>
      </w:r>
      <w:r>
        <w:t xml:space="preserve"> </w:t>
      </w:r>
      <w:r>
        <w:t xml:space="preserve">[email]</w:t>
      </w:r>
    </w:p>
    <w:p>
      <w:pPr>
        <w:pStyle w:val="BodyText"/>
      </w:pPr>
      <w:r>
        <w:rPr>
          <w:b/>
          <w:bCs/>
        </w:rPr>
        <w:t xml:space="preserve">Manuscript version:</w:t>
      </w:r>
      <w:r>
        <w:t xml:space="preserve"> </w:t>
      </w:r>
      <w:r>
        <w:t xml:space="preserve">v02 (design + benchmark protocol — no fabricated numerical results)</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Nanoparticle-loaded radiation-shielding materials are routinely simulated in Geant4 as elemental homogeneous mixtures, despite the term</w:t>
      </w:r>
      <w:r>
        <w:t xml:space="preserve"> </w:t>
      </w:r>
      <w:r>
        <w:rPr>
          <w:i/>
          <w:iCs/>
        </w:rPr>
        <w:t xml:space="preserve">nanocomposite</w:t>
      </w:r>
      <w:r>
        <w:t xml:space="preserve"> </w:t>
      </w:r>
      <w:r>
        <w:t xml:space="preserve">implying a resolved microstructure. The validity boundary of this homogenisation has not been systematically mapped against the explicit-geometry alternatives that Geant4 actually supports, and the computational cost of moving beyond homogenisation is rarely quantified. This paper presents a controlled benchmark of four Geant4 modelling regimes applied to the same nanocomposite formulations: (A) effective-medium mass-fraction</w:t>
      </w:r>
      <w:r>
        <w:t xml:space="preserve"> </w:t>
      </w:r>
      <w:r>
        <w:rPr>
          <w:rStyle w:val="VerbatimChar"/>
        </w:rPr>
        <w:t xml:space="preserve">G4Material</w:t>
      </w:r>
      <w:r>
        <w:t xml:space="preserve">; (B) explicit nanoparticle placement via</w:t>
      </w:r>
      <w:r>
        <w:t xml:space="preserve"> </w:t>
      </w:r>
      <w:r>
        <w:rPr>
          <w:rStyle w:val="VerbatimChar"/>
        </w:rPr>
        <w:t xml:space="preserve">G4PVParameterised</w:t>
      </w:r>
      <w:r>
        <w:t xml:space="preserve">; (C) voxelised</w:t>
      </w:r>
      <w:r>
        <w:t xml:space="preserve"> </w:t>
      </w:r>
      <w:r>
        <w:rPr>
          <w:rStyle w:val="VerbatimChar"/>
        </w:rPr>
        <w:t xml:space="preserve">G4MultiUnion</w:t>
      </w:r>
      <w:r>
        <w:t xml:space="preserve"> </w:t>
      </w:r>
      <w:r>
        <w:t xml:space="preserve">inclusion clusters; and (D) a hybrid representative-volume-element (RVE) workflow that performs explicit-geometry transport only inside a micrometre-scale validation cell and uses the result as a correction map for a macroscopic homogeneous slab. All four regimes use the same Geant4 11.4 build, the same physics list (</w:t>
      </w:r>
      <w:r>
        <w:rPr>
          <w:rStyle w:val="VerbatimChar"/>
        </w:rPr>
        <w:t xml:space="preserve">G4EmLivermorePhysics</w:t>
      </w:r>
      <w:r>
        <w:t xml:space="preserve"> </w:t>
      </w:r>
      <w:r>
        <w:t xml:space="preserve">for photons ≤ 1 MeV;</w:t>
      </w:r>
      <w:r>
        <w:t xml:space="preserve"> </w:t>
      </w:r>
      <w:r>
        <w:rPr>
          <w:rStyle w:val="VerbatimChar"/>
        </w:rPr>
        <w:t xml:space="preserve">G4EmStandardPhysics_option4</w:t>
      </w:r>
      <w:r>
        <w:t xml:space="preserve"> </w:t>
      </w:r>
      <w:r>
        <w:t xml:space="preserve">for higher energies), the same source spectra (mono-energetic photons spanning 30 keV–1.33 MeV plus a Cs-137 line), the same scoring volumes, and matched random-number sequences. Endpoints are: transmitted photon fluence, deposited dose in matrix and filler phases, radial dose-enhancement profile around inclusions, broad-beam buildup, runtime per 10⁶ histories, peak resident-set memory, and geometry-construction time. Validation is anchored to NIST XCOM mass attenuation coefficients (Berger et al., NIST SRD 8) and to the ShieldLab G4 analytical Phy-X/PSD-equivalent layer (1.0.0, v08). The expected outcome is a quantitative regime map: above ~100 keV and away from absorption edges, effective-medium modelling reproduces macroscopic transmission within the photon-benchmark tolerance already established for ShieldLab G4 while explicit geometry adds runtime and memory cost without measurable physics benefit; below ~100 keV with high-Z fillers, explicit nanoparticle geometry yields measurable interface-dose perturbations that homogenisation cannot capture. The hybrid RVE workflow is proposed as the production-grade methodology: it preserves full-shield throughput while quantifying the energy and composition regime in which microstructure changes local energy deposition. A reproducible benchmark harness (configuration files, macros, statistical analysis pipeline, and figure generation) is released as part of ShieldLab G4 v1.1 to enable independent replication.</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dose enhancement · Monte Carlo benchmarking · reproducible workflow</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where a representative volume element (RVE) approach is the only physically and computationally viable path.</w:t>
      </w:r>
    </w:p>
    <w:bookmarkEnd w:id="11"/>
    <w:bookmarkStart w:id="12" w:name="contribution-and-hypothesis"/>
    <w:p>
      <w:pPr>
        <w:pStyle w:val="Heading3"/>
      </w:pPr>
      <w:r>
        <w:t xml:space="preserve">1.3 Contribution and hypothesis</w:t>
      </w:r>
    </w:p>
    <w:p>
      <w:pPr>
        <w:pStyle w:val="FirstParagraph"/>
      </w:pPr>
      <w:r>
        <w:t xml:space="preserve">This paper contributes (i) a controlled four-regime benchmark for nanocomposite shielding in Geant4; (ii) a quantitative regime map separating composition/energy combinations for which homogenisation is sufficient from those for which it is not; (iii) a hybrid RVE-corrected workflow that delivers full-shield throughput with quantified microstructural uncertainty; (iv) an open, reproducible benchmark harness released with ShieldLab G4 v1.1.</w:t>
      </w:r>
    </w:p>
    <w:p>
      <w:pPr>
        <w:pStyle w:val="BodyText"/>
      </w:pPr>
      <w:r>
        <w:rPr>
          <w:b/>
          <w:bCs/>
        </w:rPr>
        <w:t xml:space="preserve">Hypothesis (H1).</w:t>
      </w:r>
      <w:r>
        <w:t xml:space="preserve"> </w:t>
      </w:r>
      <w:r>
        <w:t xml:space="preserve">For photon energies</w:t>
      </w:r>
      <w:r>
        <w:t xml:space="preserve"> </w:t>
      </w:r>
      <m:oMath>
        <m:r>
          <m:t>E</m:t>
        </m:r>
        <m:r>
          <m:rPr>
            <m:sty m:val="p"/>
          </m:rPr>
          <m:t>≳</m:t>
        </m:r>
        <m:r>
          <m:t>100</m:t>
        </m:r>
      </m:oMath>
      <w:r>
        <w:t xml:space="preserve"> </w:t>
      </w:r>
      <w:r>
        <w:t xml:space="preserve">keV away from absorption edges, and for nanoparticle radii</w:t>
      </w:r>
      <w:r>
        <w:t xml:space="preserve"> </w:t>
      </w:r>
      <m:oMath>
        <m:r>
          <m:t>r</m:t>
        </m:r>
      </m:oMath>
      <w:r>
        <w:t xml:space="preserve"> </w:t>
      </w:r>
      <w:r>
        <w:t xml:space="preserve">small compared with the photon MFP (</w:t>
      </w:r>
      <m:oMath>
        <m:r>
          <m:t>r</m:t>
        </m:r>
        <m:r>
          <m:rPr>
            <m:sty m:val="p"/>
          </m:rPr>
          <m:t>≪</m:t>
        </m:r>
        <m:r>
          <m:t>1</m:t>
        </m:r>
        <m:r>
          <m:rPr>
            <m:sty m:val="p"/>
          </m:rPr>
          <m:t>/</m:t>
        </m:r>
        <m:r>
          <m:t>μ</m:t>
        </m:r>
      </m:oMath>
      <w:r>
        <w:t xml:space="preserve">), the transmitted fluence through a macroscopic slab is independent of the choice of regime A, B, or C within the statistical uncertainty of</w:t>
      </w:r>
      <w:r>
        <w:t xml:space="preserve"> </w:t>
      </w:r>
      <m:oMath>
        <m:sSup>
          <m:e>
            <m:r>
              <m:t>10</m:t>
            </m:r>
          </m:e>
          <m:sup>
            <m:r>
              <m:t>6</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WO₃), explicit nanoparticle geometry produces a measurable radial dose-enhancement profile around individual particles that the effective-medium regime cannot reproduce, even when the macroscopic transmission agrees.</w:t>
      </w:r>
    </w:p>
    <w:p>
      <w:pPr>
        <w:pStyle w:val="BodyText"/>
      </w:pPr>
      <w:r>
        <w:rPr>
          <w:b/>
          <w:bCs/>
        </w:rPr>
        <w:t xml:space="preserve">Hypothesis (H3).</w:t>
      </w:r>
      <w:r>
        <w:t xml:space="preserve"> </w:t>
      </w:r>
      <w:r>
        <w:t xml:space="preserve">A hybrid regime D (homogeneous slab + RVE correction map) reproduces the explicit-RVE local metrics to within a stated tolerance while keeping macroscopic runtime within a small multiplier of regime A.</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2"/>
        </w:numPr>
      </w:pPr>
      <w:r>
        <w:t xml:space="preserve">The photon de Broglie wavelength is small compared with inter-atomic spacing (true for all E &gt; 1 keV considered here).</w:t>
      </w:r>
    </w:p>
    <w:p>
      <w:pPr>
        <w:pStyle w:val="Compact"/>
        <w:numPr>
          <w:ilvl w:val="0"/>
          <w:numId w:val="1002"/>
        </w:numPr>
      </w:pPr>
      <w:r>
        <w:t xml:space="preserve">Coherent (Rayleigh) inter-particle interference is negligible (true above ~10 keV for amorphous nanocomposites).</w:t>
      </w:r>
    </w:p>
    <w:p>
      <w:pPr>
        <w:pStyle w:val="Compact"/>
        <w:numPr>
          <w:ilvl w:val="0"/>
          <w:numId w:val="1002"/>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 although the photon MFP at 1 MeV in Bi₂O₃ is ≈ 1 cm (much greater than any nanoparticle), the</w:t>
      </w:r>
      <w:r>
        <w:t xml:space="preserve"> </w:t>
      </w:r>
      <w:r>
        <w:rPr>
          <w:i/>
          <w:iCs/>
        </w:rPr>
        <w:t xml:space="preserve">secondary-electron</w:t>
      </w:r>
      <w:r>
        <w:t xml:space="preserve"> </w:t>
      </w:r>
      <w:r>
        <w:t xml:space="preserve">range at 50 keV in Bi₂O₃ is ≈ 10 µm, comparable to inter-particle spacing at moderate loadings. Energy deposited by photoelectrons therefore exhibits spatial structure that is invisible to a homogeneous-material MC run.</w:t>
      </w:r>
    </w:p>
    <w:p>
      <w:pPr>
        <w:pStyle w:val="BodyText"/>
      </w:pPr>
      <w:r>
        <w:t xml:space="preserve">This is the physical origin of the</w:t>
      </w:r>
      <w:r>
        <w:t xml:space="preserve"> </w:t>
      </w:r>
      <w:r>
        <w:t xml:space="preserve">“regime map”</w:t>
      </w:r>
      <w:r>
        <w:t xml:space="preserve"> </w:t>
      </w:r>
      <w:r>
        <w:t xml:space="preserve">the paper aims to produce.</w:t>
      </w:r>
    </w:p>
    <w:bookmarkEnd w:id="14"/>
    <w:bookmarkStart w:id="15" w:name="effective-density"/>
    <w:p>
      <w:pPr>
        <w:pStyle w:val="Heading3"/>
      </w:pPr>
      <w:r>
        <w:t xml:space="preserve">2.2 Effective density</w:t>
      </w:r>
    </w:p>
    <w:p>
      <w:pPr>
        <w:pStyle w:val="FirstParagraph"/>
      </w:pPr>
      <w:r>
        <w:t xml:space="preserve">Geant4 requires density. The paper compares three density inputs:</w:t>
      </w:r>
    </w:p>
    <w:p>
      <w:pPr>
        <w:numPr>
          <w:ilvl w:val="0"/>
          <w:numId w:val="1003"/>
        </w:numPr>
      </w:pPr>
      <w:r>
        <w:rPr>
          <w:b/>
          <w:bCs/>
        </w:rPr>
        <w:t xml:space="preserve">Measured:</w:t>
      </w:r>
      <w:r>
        <w:t xml:space="preserve"> </w:t>
      </w:r>
      <w:r>
        <w:t xml:space="preserve">preferred for experimental validation; pycnometric, Archimedes, or X-ray.</w:t>
      </w:r>
    </w:p>
    <w:p>
      <w:pPr>
        <w:numPr>
          <w:ilvl w:val="0"/>
          <w:numId w:val="1003"/>
        </w:numPr>
      </w:pPr>
      <w:r>
        <w:rPr>
          <w:b/>
          <w:bCs/>
        </w:rPr>
        <w:t xml:space="preserve">Volume-fraction rule of mixtures</w:t>
      </w:r>
      <w:r>
        <w:t xml:space="preserve">, given filler volume fraction</w:t>
      </w:r>
      <w:r>
        <w:t xml:space="preserve"> </w:t>
      </w:r>
      <m:oMath>
        <m:sSub>
          <m:e>
            <m:r>
              <m:t>ϕ</m:t>
            </m:r>
          </m:e>
          <m:sub>
            <m:r>
              <m:t>f</m:t>
            </m:r>
          </m:sub>
        </m:sSub>
      </m:oMath>
      <w:r>
        <w:t xml:space="preserve">:</w:t>
      </w:r>
    </w:p>
    <w:p>
      <w:pPr>
        <w:pStyle w:val="BodyText"/>
      </w:pPr>
      <w:r>
        <w:t xml:space="preserve">$$\rho_\text{eff} = \phi_f \rho_f + (1 - \phi_f)\rho_m \tag{2}$$</w:t>
      </w:r>
    </w:p>
    <w:p>
      <w:pPr>
        <w:numPr>
          <w:ilvl w:val="0"/>
          <w:numId w:val="1003"/>
        </w:numPr>
      </w:pPr>
      <w:r>
        <w:rPr>
          <w:b/>
          <w:bCs/>
        </w:rPr>
        <w:t xml:space="preserve">Mass-fraction no-void estimate</w:t>
      </w:r>
      <w:r>
        <w:t xml:space="preserve">, given filler mass fraction</w:t>
      </w:r>
      <w:r>
        <w:t xml:space="preserve"> </w:t>
      </w:r>
      <m:oMath>
        <m:sSub>
          <m:e>
            <m:r>
              <m:t>w</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p>
            <m:e>
              <m:d>
                <m:dPr>
                  <m:begChr m:val="("/>
                  <m:sepChr m:val=""/>
                  <m:endChr m:val=")"/>
                  <m:grow/>
                </m:dPr>
                <m:e>
                  <m:f>
                    <m:fPr>
                      <m:type m:val="bar"/>
                    </m:fPr>
                    <m:num>
                      <m:sSub>
                        <m:e>
                          <m:r>
                            <m:t>w</m:t>
                          </m:r>
                        </m:e>
                        <m:sub>
                          <m:r>
                            <m:t>f</m:t>
                          </m:r>
                        </m:sub>
                      </m:sSub>
                    </m:num>
                    <m:den>
                      <m:sSub>
                        <m:e>
                          <m:r>
                            <m:t>ρ</m:t>
                          </m:r>
                        </m:e>
                        <m:sub>
                          <m:r>
                            <m:t>f</m:t>
                          </m:r>
                        </m:sub>
                      </m:sSub>
                    </m:den>
                  </m:f>
                  <m:r>
                    <m:rPr>
                      <m:sty m:val="p"/>
                    </m:rPr>
                    <m:t>+</m:t>
                  </m:r>
                  <m:f>
                    <m:fPr>
                      <m:type m:val="bar"/>
                    </m:fPr>
                    <m:num>
                      <m:r>
                        <m:t>1</m:t>
                      </m:r>
                      <m:r>
                        <m:rPr>
                          <m:sty m:val="p"/>
                        </m:rPr>
                        <m:t>−</m:t>
                      </m:r>
                      <m:sSub>
                        <m:e>
                          <m:r>
                            <m:t>w</m:t>
                          </m:r>
                        </m:e>
                        <m:sub>
                          <m:r>
                            <m:t>f</m:t>
                          </m:r>
                        </m:sub>
                      </m:sSub>
                    </m:num>
                    <m:den>
                      <m:sSub>
                        <m:e>
                          <m:r>
                            <m:t>ρ</m:t>
                          </m:r>
                        </m:e>
                        <m:sub>
                          <m:r>
                            <m:t>m</m:t>
                          </m:r>
                        </m:sub>
                      </m:sSub>
                    </m:den>
                  </m:f>
                </m:e>
              </m:d>
            </m:e>
            <m:sup>
              <m:r>
                <m:rPr>
                  <m:sty m:val="p"/>
                </m:rPr>
                <m:t>−</m:t>
              </m:r>
              <m:r>
                <m:t>1</m:t>
              </m:r>
            </m:sup>
          </m:sSup>
        </m:oMath>
      </m:oMathPara>
    </w:p>
    <w:p>
      <w:pPr>
        <w:numPr>
          <w:ilvl w:val="0"/>
          <w:numId w:val="1003"/>
        </w:numPr>
      </w:pPr>
      <w:r>
        <w:rPr>
          <w:b/>
          <w:bCs/>
        </w:rPr>
        <w:t xml:space="preserve">Porosity correction</w:t>
      </w:r>
      <w:r>
        <w:t xml:space="preserve">, given total porosity</w:t>
      </w:r>
      <w:r>
        <w:t xml:space="preserve"> </w:t>
      </w:r>
      <m:oMath>
        <m:r>
          <m:t>P</m:t>
        </m:r>
      </m:oMath>
      <w:r>
        <w:t xml:space="preserve">:</w:t>
      </w:r>
    </w:p>
    <w:p>
      <w:pPr>
        <w:pStyle w:val="BodyText"/>
      </w:pPr>
      <w:r>
        <w:t xml:space="preserve">$$\rho_\text{eff, porous} = (1-P)\,\rho_\text{eff} \tag{4}$$</w:t>
      </w:r>
    </w:p>
    <w:p>
      <w:pPr>
        <w:pStyle w:val="FirstParagraph"/>
      </w:pPr>
      <w:r>
        <w:t xml:space="preserve">For benchmarks in this paper, identical</w:t>
      </w:r>
      <w:r>
        <w:t xml:space="preserve"> </w:t>
      </w:r>
      <m:oMath>
        <m:sSub>
          <m:e>
            <m:r>
              <m:t>ρ</m:t>
            </m:r>
          </m:e>
          <m:sub>
            <m:r>
              <m:rPr>
                <m:nor/>
                <m:sty m:val="p"/>
              </m:rPr>
              <m:t>eff</m:t>
            </m:r>
          </m:sub>
        </m:sSub>
      </m:oMath>
      <w:r>
        <w:t xml:space="preserve"> </w:t>
      </w:r>
      <w:r>
        <w:t xml:space="preserve">is fed to all four regimes to isolate the geometric effect from the density effect.</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capped by available particle count</w:t>
      </w:r>
      <w:r>
        <w:t xml:space="preserve"> </w:t>
      </w:r>
      <m:oMath>
        <m:sSub>
          <m:e>
            <m:r>
              <m:t>N</m:t>
            </m:r>
          </m:e>
          <m:sub>
            <m:r>
              <m:rPr>
                <m:nor/>
                <m:sty m:val="p"/>
              </m:rPr>
              <m:t>cap</m:t>
            </m:r>
          </m:sub>
        </m:sSub>
      </m:oMath>
      <w:r>
        <w:t xml:space="preserve">. For</w:t>
      </w:r>
      <w:r>
        <w:t xml:space="preserve"> </w:t>
      </w:r>
      <m:oMath>
        <m:r>
          <m:t>r</m:t>
        </m:r>
        <m:r>
          <m:rPr>
            <m:sty m:val="p"/>
          </m:rPr>
          <m:t>=</m:t>
        </m:r>
        <m:r>
          <m:t>50</m:t>
        </m:r>
      </m:oMath>
      <w:r>
        <w:t xml:space="preserve"> </w:t>
      </w:r>
      <w:r>
        <w:t xml:space="preserve">nm and</w:t>
      </w:r>
      <w:r>
        <w:t xml:space="preserve"> </w:t>
      </w:r>
      <m:oMath>
        <m:sSub>
          <m:e>
            <m:r>
              <m:t>ϕ</m:t>
            </m:r>
          </m:e>
          <m:sub>
            <m:r>
              <m:t>f</m:t>
            </m:r>
          </m:sub>
        </m:sSub>
        <m:r>
          <m:rPr>
            <m:sty m:val="p"/>
          </m:rPr>
          <m:t>=</m:t>
        </m:r>
        <m:r>
          <m:t>0.05</m:t>
        </m:r>
      </m:oMath>
      <w:r>
        <w:t xml:space="preserve">,</w:t>
      </w:r>
      <w:r>
        <w:t xml:space="preserve"> </w:t>
      </w:r>
      <m:oMath>
        <m:acc>
          <m:accPr>
            <m:chr m:val="‾"/>
          </m:accPr>
          <m:e>
            <m:r>
              <m:t>d</m:t>
            </m:r>
          </m:e>
        </m:acc>
        <m:r>
          <m:rPr>
            <m:sty m:val="p"/>
          </m:rPr>
          <m:t>≈</m:t>
        </m:r>
        <m:r>
          <m:t>200</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contains</w:t>
      </w:r>
      <w:r>
        <w:t xml:space="preserve"> </w:t>
      </w:r>
      <m:oMath>
        <m:r>
          <m:rPr>
            <m:sty m:val="p"/>
          </m:rPr>
          <m:t>∼</m:t>
        </m:r>
        <m:sSup>
          <m:e>
            <m:r>
              <m:t>10</m:t>
            </m:r>
          </m:e>
          <m:sup>
            <m:r>
              <m:t>3</m:t>
            </m:r>
          </m:sup>
        </m:sSup>
      </m:oMath>
      <w:r>
        <w:t xml:space="preserve"> </w:t>
      </w:r>
      <w:r>
        <w:t xml:space="preserve">particles — tractable for Geant4. The paper documents the RVE-convergence study (§4.6).</w:t>
      </w:r>
    </w:p>
    <w:p>
      <w:r>
        <w:pict>
          <v:rect style="width:0;height:1.5pt" o:hralign="center" o:hrstd="t" o:hr="t"/>
        </w:pict>
      </w:r>
    </w:p>
    <w:bookmarkEnd w:id="16"/>
    <w:bookmarkEnd w:id="17"/>
    <w:bookmarkStart w:id="26" w:name="geant4-modelling-regimes"/>
    <w:p>
      <w:pPr>
        <w:pStyle w:val="Heading2"/>
      </w:pPr>
      <w:r>
        <w:t xml:space="preserve">3. Geant4 Modelling Regimes</w:t>
      </w:r>
    </w:p>
    <w:p>
      <w:pPr>
        <w:pStyle w:val="FirstParagraph"/>
      </w:pPr>
      <w:r>
        <w:t xml:space="preserve">Each regime is defined precisely so that an independent group can reproduce it.</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of thickness</w:t>
      </w:r>
      <w:r>
        <w:t xml:space="preserve"> </w:t>
      </w:r>
      <m:oMath>
        <m:r>
          <m:t>t</m:t>
        </m:r>
        <m:r>
          <m:rPr>
            <m:sty m:val="p"/>
          </m:rPr>
          <m:t>∈</m:t>
        </m:r>
        <m:r>
          <m:rPr>
            <m:sty m:val="p"/>
          </m:rPr>
          <m:t>{</m:t>
        </m:r>
        <m:r>
          <m:t>1</m:t>
        </m:r>
        <m:r>
          <m:rPr>
            <m:sty m:val="p"/>
          </m:rPr>
          <m:t>,</m:t>
        </m:r>
        <m:r>
          <m:t>5</m:t>
        </m:r>
        <m:r>
          <m:rPr>
            <m:sty m:val="p"/>
          </m:rPr>
          <m:t>,</m:t>
        </m:r>
        <m:r>
          <m:t>10</m:t>
        </m:r>
        <m:r>
          <m:rPr>
            <m:sty m:val="p"/>
          </m:rPr>
          <m:t>}</m:t>
        </m:r>
      </m:oMath>
      <w:r>
        <w:t xml:space="preserve"> </w:t>
      </w:r>
      <w:r>
        <w:t xml:space="preserve">cm and lateral size 20 cm is built in</w:t>
      </w:r>
      <w:r>
        <w:t xml:space="preserve"> </w:t>
      </w:r>
      <w:hyperlink r:id="rId20">
        <w:r>
          <w:rPr>
            <w:rStyle w:val="Hyperlink"/>
          </w:rPr>
          <w:t xml:space="preserve">src/DetectorConstruction.cc</w:t>
        </w:r>
      </w:hyperlink>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A new class</w:t>
      </w:r>
      <w:r>
        <w:t xml:space="preserve"> </w:t>
      </w:r>
      <w:r>
        <w:rPr>
          <w:rStyle w:val="VerbatimChar"/>
        </w:rPr>
        <w:t xml:space="preserve">NanoParticleParameterisation : public G4VPVParameterisation</w:t>
      </w:r>
      <w:r>
        <w:t xml:space="preserve"> </w:t>
      </w:r>
      <w:r>
        <w:t xml:space="preserve">is introduced (proposed file</w:t>
      </w:r>
      <w:r>
        <w:t xml:space="preserve"> </w:t>
      </w:r>
      <w:r>
        <w:rPr>
          <w:rStyle w:val="VerbatimChar"/>
        </w:rPr>
        <w:t xml:space="preserve">src/NanoParticleParameterisation.cc</w:t>
      </w:r>
      <w:r>
        <w:t xml:space="preserve">). It supplies particle positions sampled by random sequential addition (RSA) with periodic boundary conditions inside an RVE cube. Particle radii are drawn from a log-normal distribution truncated to the measured TEM size range. The parameterisation is wrapped in a</w:t>
      </w:r>
      <w:r>
        <w:t xml:space="preserve"> </w:t>
      </w:r>
      <w:r>
        <w:rPr>
          <w:rStyle w:val="VerbatimChar"/>
        </w:rPr>
        <w:t xml:space="preserve">G4PVParameterised</w:t>
      </w:r>
      <w:r>
        <w:t xml:space="preserve"> </w:t>
      </w:r>
      <w:r>
        <w:t xml:space="preserve">placement inside a matrix mother volume.</w:t>
      </w:r>
    </w:p>
    <w:p>
      <w:pPr>
        <w:pStyle w:val="SourceCode"/>
      </w:pPr>
      <w:r>
        <w:rPr>
          <w:rStyle w:val="KeywordTok"/>
        </w:rPr>
        <w:t xml:space="preserve">new</w:t>
      </w:r>
      <w:r>
        <w:rPr>
          <w:rStyle w:val="NormalTok"/>
        </w:rPr>
        <w:t xml:space="preserve"> G4PVParameterised</w:t>
      </w:r>
      <w:r>
        <w:rPr>
          <w:rStyle w:val="OperatorTok"/>
        </w:rPr>
        <w:t xml:space="preserve">(</w:t>
      </w:r>
      <w:r>
        <w:rPr>
          <w:rStyle w:val="StringTok"/>
        </w:rPr>
        <w:t xml:space="preserve">"NP"</w:t>
      </w:r>
      <w:r>
        <w:rPr>
          <w:rStyle w:val="OperatorTok"/>
        </w:rPr>
        <w:t xml:space="preserve">,</w:t>
      </w:r>
      <w:r>
        <w:rPr>
          <w:rStyle w:val="NormalTok"/>
        </w:rPr>
        <w:t xml:space="preserve"> npLogic</w:t>
      </w:r>
      <w:r>
        <w:rPr>
          <w:rStyle w:val="OperatorTok"/>
        </w:rPr>
        <w:t xml:space="preserve">,</w:t>
      </w:r>
      <w:r>
        <w:rPr>
          <w:rStyle w:val="NormalTok"/>
        </w:rPr>
        <w:t xml:space="preserve"> matrixLogic</w:t>
      </w:r>
      <w:r>
        <w:rPr>
          <w:rStyle w:val="OperatorTok"/>
        </w:rPr>
        <w:t xml:space="preserve">,</w:t>
      </w:r>
      <w:r>
        <w:rPr>
          <w:rStyle w:val="NormalTok"/>
        </w:rPr>
        <w:t xml:space="preserve"> kUndefined</w:t>
      </w:r>
      <w:r>
        <w:rPr>
          <w:rStyle w:val="OperatorTok"/>
        </w:rPr>
        <w:t xml:space="preserve">,</w:t>
      </w:r>
      <w:r>
        <w:br/>
      </w:r>
      <w:r>
        <w:rPr>
          <w:rStyle w:val="NormalTok"/>
        </w:rPr>
        <w:t xml:space="preserve">                      Ncap</w:t>
      </w:r>
      <w:r>
        <w:rPr>
          <w:rStyle w:val="OperatorTok"/>
        </w:rPr>
        <w:t xml:space="preserve">,</w:t>
      </w:r>
      <w:r>
        <w:rPr>
          <w:rStyle w:val="NormalTok"/>
        </w:rPr>
        <w:t xml:space="preserve"> </w:t>
      </w:r>
      <w:r>
        <w:rPr>
          <w:rStyle w:val="KeywordTok"/>
        </w:rPr>
        <w:t xml:space="preserve">new</w:t>
      </w:r>
      <w:r>
        <w:rPr>
          <w:rStyle w:val="NormalTok"/>
        </w:rPr>
        <w:t xml:space="preserve"> NanoParticleParameterisation</w:t>
      </w:r>
      <w:r>
        <w:rPr>
          <w:rStyle w:val="OperatorTok"/>
        </w:rPr>
        <w:t xml:space="preserve">(</w:t>
      </w:r>
      <w:r>
        <w:rPr>
          <w:rStyle w:val="NormalTok"/>
        </w:rPr>
        <w:t xml:space="preserve">positions</w:t>
      </w:r>
      <w:r>
        <w:rPr>
          <w:rStyle w:val="OperatorTok"/>
        </w:rPr>
        <w:t xml:space="preserve">));</w:t>
      </w:r>
    </w:p>
    <w:p>
      <w:pPr>
        <w:pStyle w:val="FirstParagraph"/>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 but memory grows linearly. The paper measures both.</w:t>
      </w:r>
    </w:p>
    <w:bookmarkEnd w:id="22"/>
    <w:bookmarkStart w:id="23"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is wrapped in a single</w:t>
      </w:r>
      <w:r>
        <w:t xml:space="preserve"> </w:t>
      </w:r>
      <w:r>
        <w:rPr>
          <w:rStyle w:val="VerbatimChar"/>
        </w:rPr>
        <w:t xml:space="preserve">G4MultiUnion</w:t>
      </w:r>
      <w:r>
        <w:t xml:space="preserve"> </w:t>
      </w:r>
      <w:r>
        <w:t xml:space="preserve">solid; one logical volume of filler material is placed once.</w:t>
      </w:r>
      <w:r>
        <w:t xml:space="preserve"> </w:t>
      </w:r>
      <w:r>
        <w:rPr>
          <w:rStyle w:val="VerbatimChar"/>
        </w:rPr>
        <w:t xml:space="preserve">Voxelize()</w:t>
      </w:r>
      <w:r>
        <w:t xml:space="preserve"> </w:t>
      </w:r>
      <w:r>
        <w:t xml:space="preserve">is called after all</w:t>
      </w:r>
      <w:r>
        <w:t xml:space="preserve"> </w:t>
      </w:r>
      <w:r>
        <w:rPr>
          <w:rStyle w:val="VerbatimChar"/>
        </w:rPr>
        <w:t xml:space="preserve">AddNode</w:t>
      </w:r>
      <w:r>
        <w:t xml:space="preserve"> </w:t>
      </w:r>
      <w:r>
        <w:t xml:space="preserve">calls. This regime represents fixed aggregates well and benchmarks how Geant4’s internal multi-union voxelisation scales relative to parameterised placement.</w:t>
      </w:r>
    </w:p>
    <w:p>
      <w:pPr>
        <w:pStyle w:val="BodyText"/>
      </w:pPr>
      <w:r>
        <w:rPr>
          <w:b/>
          <w:bCs/>
        </w:rPr>
        <w:t xml:space="preserve">Cost class:</w:t>
      </w:r>
      <w:r>
        <w:t xml:space="preserve"> </w:t>
      </w:r>
      <w:r>
        <w:t xml:space="preserve">geometry construction is O(</w:t>
      </w:r>
      <m:oMath>
        <m:r>
          <m:t>N</m:t>
        </m:r>
      </m:oMath>
      <w:r>
        <w:t xml:space="preserve">) once; subsequent navigation is voxelised. Single material per union limits multi-material aggregates.</w:t>
      </w:r>
    </w:p>
    <w:bookmarkEnd w:id="23"/>
    <w:bookmarkStart w:id="25" w:name="X28e5d7c1af9d254910d9891c1670c98df5a0d85"/>
    <w:p>
      <w:pPr>
        <w:pStyle w:val="Heading3"/>
      </w:pPr>
      <w:r>
        <w:t xml:space="preserve">3.4 Regime D — Hybrid RVE-Corrected Effective Medium</w:t>
      </w:r>
    </w:p>
    <w:p>
      <w:pPr>
        <w:pStyle w:val="FirstParagraph"/>
      </w:pPr>
      <w:r>
        <w:t xml:space="preserve">Workflow:</w:t>
      </w:r>
    </w:p>
    <w:p>
      <w:pPr>
        <w:numPr>
          <w:ilvl w:val="0"/>
          <w:numId w:val="1004"/>
        </w:numPr>
      </w:pPr>
      <w:r>
        <w:t xml:space="preserve">Run regime A for the full slab: extract transmission</w:t>
      </w:r>
      <w:r>
        <w:t xml:space="preserve"> </w:t>
      </w:r>
      <m:oMath>
        <m:sSub>
          <m:e>
            <m:r>
              <m:t>T</m:t>
            </m:r>
          </m:e>
          <m:sub>
            <m:r>
              <m:t>A</m:t>
            </m:r>
          </m:sub>
        </m:sSub>
        <m:r>
          <m:rPr>
            <m:sty m:val="p"/>
          </m:rPr>
          <m:t>(</m:t>
        </m:r>
        <m:r>
          <m:t>E</m:t>
        </m:r>
        <m:r>
          <m:rPr>
            <m:sty m:val="p"/>
          </m:rPr>
          <m:t>)</m:t>
        </m:r>
      </m:oMath>
      <w:r>
        <w:t xml:space="preserve">, broad-beam dose</w:t>
      </w:r>
      <w:r>
        <w:t xml:space="preserve"> </w:t>
      </w:r>
      <m:oMath>
        <m:sSub>
          <m:e>
            <m:r>
              <m:t>D</m:t>
            </m:r>
          </m:e>
          <m:sub>
            <m:r>
              <m:t>A</m:t>
            </m:r>
          </m:sub>
        </m:sSub>
        <m:r>
          <m:rPr>
            <m:sty m:val="p"/>
          </m:rPr>
          <m:t>(</m:t>
        </m:r>
        <m:r>
          <m:t>E</m:t>
        </m:r>
        <m:r>
          <m:rPr>
            <m:sty m:val="p"/>
          </m:rPr>
          <m:t>,</m:t>
        </m:r>
        <m:r>
          <m:t>t</m:t>
        </m:r>
        <m:r>
          <m:rPr>
            <m:sty m:val="p"/>
          </m:rPr>
          <m:t>)</m:t>
        </m:r>
      </m:oMath>
      <w:r>
        <w:t xml:space="preserve">.</w:t>
      </w:r>
    </w:p>
    <w:p>
      <w:pPr>
        <w:numPr>
          <w:ilvl w:val="0"/>
          <w:numId w:val="1004"/>
        </w:numPr>
      </w:pPr>
      <w:r>
        <w:t xml:space="preserve">Run regime B (or C) for a matched RVE cube: extract microscopic dose enhancement factor</w:t>
      </w:r>
    </w:p>
    <w:p>
      <w:pPr>
        <w:pStyle w:val="BodyText"/>
      </w:pPr>
      <m:oMathPara>
        <m:oMathParaPr>
          <m:jc m:val="center"/>
        </m:oMathParaPr>
        <m:oMath>
          <m:r>
            <m:rPr>
              <m:nor/>
              <m:sty m:val="p"/>
            </m:rPr>
            <m:t>DEF</m:t>
          </m:r>
          <m:r>
            <m:rPr>
              <m:sty m:val="p"/>
            </m:rPr>
            <m:t>(</m:t>
          </m:r>
          <m:r>
            <m:t>r</m:t>
          </m:r>
          <m:r>
            <m:rPr>
              <m:sty m:val="p"/>
            </m:rPr>
            <m:t>,</m:t>
          </m:r>
          <m:r>
            <m:t>E</m:t>
          </m:r>
          <m:r>
            <m:rPr>
              <m:sty m:val="p"/>
            </m:rPr>
            <m:t>,</m:t>
          </m:r>
          <m:sSub>
            <m:e>
              <m:r>
                <m:t>ϕ</m:t>
              </m:r>
            </m:e>
            <m:sub>
              <m:r>
                <m:t>f</m:t>
              </m:r>
            </m:sub>
          </m:sSub>
          <m:r>
            <m:rPr>
              <m:sty m:val="p"/>
            </m:rPr>
            <m:t>)</m:t>
          </m:r>
          <m:r>
            <m:rPr>
              <m:sty m:val="p"/>
            </m:rPr>
            <m:t>=</m:t>
          </m:r>
          <m:f>
            <m:fPr>
              <m:type m:val="bar"/>
            </m:fPr>
            <m:num>
              <m:sSub>
                <m:e>
                  <m:r>
                    <m:t>D</m:t>
                  </m:r>
                </m:e>
                <m:sub>
                  <m:r>
                    <m:rPr>
                      <m:nor/>
                      <m:sty m:val="p"/>
                    </m:rPr>
                    <m:t>matrix, explicit</m:t>
                  </m:r>
                </m:sub>
              </m:sSub>
              <m:r>
                <m:rPr>
                  <m:sty m:val="p"/>
                </m:rPr>
                <m:t>(</m:t>
              </m:r>
              <m:r>
                <m:t>r</m:t>
              </m:r>
              <m:r>
                <m:rPr>
                  <m:sty m:val="p"/>
                </m:rPr>
                <m:t>,</m:t>
              </m:r>
              <m:r>
                <m:t>E</m:t>
              </m:r>
              <m:r>
                <m:rPr>
                  <m:sty m:val="p"/>
                </m:rPr>
                <m:t>,</m:t>
              </m:r>
              <m:sSub>
                <m:e>
                  <m:r>
                    <m:t>ϕ</m:t>
                  </m:r>
                </m:e>
                <m:sub>
                  <m:r>
                    <m:t>f</m:t>
                  </m:r>
                </m:sub>
              </m:sSub>
              <m:r>
                <m:rPr>
                  <m:sty m:val="p"/>
                </m:rPr>
                <m:t>)</m:t>
              </m:r>
            </m:num>
            <m:den>
              <m:sSub>
                <m:e>
                  <m:r>
                    <m:t>D</m:t>
                  </m:r>
                </m:e>
                <m:sub>
                  <m:r>
                    <m:rPr>
                      <m:nor/>
                      <m:sty m:val="p"/>
                    </m:rPr>
                    <m:t>matrix, homogeneous</m:t>
                  </m:r>
                </m:sub>
              </m:sSub>
              <m:r>
                <m:rPr>
                  <m:sty m:val="p"/>
                </m:rPr>
                <m:t>(</m:t>
              </m:r>
              <m:r>
                <m:t>r</m:t>
              </m:r>
              <m:r>
                <m:rPr>
                  <m:sty m:val="p"/>
                </m:rPr>
                <m:t>,</m:t>
              </m:r>
              <m:r>
                <m:t>E</m:t>
              </m:r>
              <m:r>
                <m:rPr>
                  <m:sty m:val="p"/>
                </m:rPr>
                <m:t>,</m:t>
              </m:r>
              <m:sSub>
                <m:e>
                  <m:r>
                    <m:t>ϕ</m:t>
                  </m:r>
                </m:e>
                <m:sub>
                  <m:r>
                    <m:t>f</m:t>
                  </m:r>
                </m:sub>
              </m:sSub>
              <m:r>
                <m:rPr>
                  <m:sty m:val="p"/>
                </m:rPr>
                <m:t>)</m:t>
              </m:r>
            </m:den>
          </m:f>
          <m:r>
            <m:rPr>
              <m:sty m:val="p"/>
            </m:rPr>
            <m:t>,</m:t>
          </m:r>
        </m:oMath>
      </m:oMathPara>
    </w:p>
    <w:p>
      <w:pPr>
        <w:numPr>
          <w:ilvl w:val="0"/>
          <w:numId w:val="1000"/>
        </w:numPr>
      </w:pPr>
      <w:r>
        <w:t xml:space="preserve">as a function of distance</w:t>
      </w:r>
      <w:r>
        <w:t xml:space="preserve"> </w:t>
      </w:r>
      <m:oMath>
        <m:r>
          <m:t>r</m:t>
        </m:r>
      </m:oMath>
      <w:r>
        <w:t xml:space="preserve"> </w:t>
      </w:r>
      <w:r>
        <w:t xml:space="preserve">from the nearest particle surface.</w:t>
      </w:r>
    </w:p>
    <w:p>
      <w:pPr>
        <w:numPr>
          <w:ilvl w:val="0"/>
          <w:numId w:val="1004"/>
        </w:numPr>
      </w:pPr>
      <w:r>
        <w:t xml:space="preserve">Tabulate</w:t>
      </w:r>
      <w:r>
        <w:t xml:space="preserve"> </w:t>
      </w:r>
      <m:oMath>
        <m:r>
          <m:rPr>
            <m:nor/>
            <m:sty m:val="p"/>
          </m:rPr>
          <m:t>DEF</m:t>
        </m:r>
      </m:oMath>
      <w:r>
        <w:t xml:space="preserve"> </w:t>
      </w:r>
      <w:r>
        <w:t xml:space="preserve">as a function of</w:t>
      </w:r>
      <w:r>
        <w:t xml:space="preserve"> </w:t>
      </w:r>
      <m:oMath>
        <m:r>
          <m:rPr>
            <m:sty m:val="p"/>
          </m:rPr>
          <m:t>(</m:t>
        </m:r>
        <m:r>
          <m:t>E</m:t>
        </m:r>
        <m:r>
          <m:rPr>
            <m:sty m:val="p"/>
          </m:rPr>
          <m:t>,</m:t>
        </m:r>
        <m:sSub>
          <m:e>
            <m:r>
              <m:t>ϕ</m:t>
            </m:r>
          </m:e>
          <m:sub>
            <m:r>
              <m:t>f</m:t>
            </m:r>
          </m:sub>
        </m:sSub>
        <m:r>
          <m:rPr>
            <m:sty m:val="p"/>
          </m:rPr>
          <m:t>,</m:t>
        </m:r>
        <m:sSub>
          <m:e>
            <m:acc>
              <m:accPr>
                <m:chr m:val="‾"/>
              </m:accPr>
              <m:e>
                <m:r>
                  <m:t>r</m:t>
                </m:r>
              </m:e>
            </m:acc>
          </m:e>
          <m:sub>
            <m:r>
              <m:rPr>
                <m:nor/>
                <m:sty m:val="p"/>
              </m:rPr>
              <m:t>particle</m:t>
            </m:r>
          </m:sub>
        </m:sSub>
        <m:r>
          <m:rPr>
            <m:sty m:val="p"/>
          </m:rPr>
          <m:t>)</m:t>
        </m:r>
      </m:oMath>
      <w:r>
        <w:t xml:space="preserve"> </w:t>
      </w:r>
      <w:r>
        <w:t xml:space="preserve">and store as a JSON correction map under</w:t>
      </w:r>
      <w:r>
        <w:t xml:space="preserve"> </w:t>
      </w:r>
      <w:hyperlink r:id="rId24">
        <w:r>
          <w:rPr>
            <w:rStyle w:val="Hyperlink"/>
          </w:rPr>
          <w:t xml:space="preserve">python/shieldlab/data/</w:t>
        </w:r>
      </w:hyperlink>
      <w:r>
        <w:t xml:space="preserve">.</w:t>
      </w:r>
    </w:p>
    <w:p>
      <w:pPr>
        <w:numPr>
          <w:ilvl w:val="0"/>
          <w:numId w:val="1004"/>
        </w:numPr>
      </w:pPr>
      <w:r>
        <w:t xml:space="preserve">For any new full-shield calculation, run regime A and apply</w:t>
      </w:r>
      <w:r>
        <w:t xml:space="preserve"> </w:t>
      </w:r>
      <m:oMath>
        <m:r>
          <m:rPr>
            <m:nor/>
            <m:sty m:val="p"/>
          </m:rPr>
          <m:t>DEF</m:t>
        </m:r>
      </m:oMath>
      <w:r>
        <w:t xml:space="preserve"> </w:t>
      </w:r>
      <w:r>
        <w:t xml:space="preserve">as a post-processing correction to interface-relevant scoring (e.g., shield-to-tissue boundary dose).</w:t>
      </w:r>
    </w:p>
    <w:p>
      <w:pPr>
        <w:pStyle w:val="FirstParagraph"/>
      </w:pPr>
      <w:r>
        <w:t xml:space="preserve">Regime D is the</w:t>
      </w:r>
      <w:r>
        <w:t xml:space="preserve"> </w:t>
      </w:r>
      <w:r>
        <w:rPr>
          <w:i/>
          <w:iCs/>
        </w:rPr>
        <w:t xml:space="preserve">deliverable methodology</w:t>
      </w:r>
      <w:r>
        <w:t xml:space="preserve"> </w:t>
      </w:r>
      <w:r>
        <w:t xml:space="preserve">of the paper.</w:t>
      </w:r>
    </w:p>
    <w:p>
      <w:r>
        <w:pict>
          <v:rect style="width:0;height:1.5pt" o:hralign="center" o:hrstd="t" o:hr="t"/>
        </w:pict>
      </w:r>
    </w:p>
    <w:bookmarkEnd w:id="25"/>
    <w:bookmarkEnd w:id="26"/>
    <w:bookmarkStart w:id="35" w:name="benchmark-protocol"/>
    <w:p>
      <w:pPr>
        <w:pStyle w:val="Heading2"/>
      </w:pPr>
      <w:r>
        <w:t xml:space="preserve">4. Benchmark Protocol</w:t>
      </w:r>
    </w:p>
    <w:bookmarkStart w:id="27" w:name="materials"/>
    <w:p>
      <w:pPr>
        <w:pStyle w:val="Heading3"/>
      </w:pPr>
      <w:r>
        <w:t xml:space="preserve">4.1 Materials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Matrix</w:t>
            </w:r>
          </w:p>
        </w:tc>
        <w:tc>
          <w:tcPr/>
          <w:p>
            <w:pPr>
              <w:pStyle w:val="Compact"/>
            </w:pPr>
            <w:r>
              <w:t xml:space="preserve">Filler</w:t>
            </w:r>
          </w:p>
        </w:tc>
        <w:tc>
          <w:tcPr/>
          <w:p>
            <w:pPr>
              <w:pStyle w:val="Compact"/>
            </w:pPr>
            <m:oMath>
              <m:sSub>
                <m:e>
                  <m:r>
                    <m:t>w</m:t>
                  </m:r>
                </m:e>
                <m:sub>
                  <m:r>
                    <m:t>f</m:t>
                  </m:r>
                </m:sub>
              </m:sSub>
            </m:oMath>
          </w:p>
        </w:tc>
        <w:tc>
          <w:tcPr/>
          <w:p>
            <w:pPr>
              <w:pStyle w:val="Compact"/>
            </w:pPr>
            <w:r>
              <w:t xml:space="preserve">Estimated</w:t>
            </w:r>
            <w:r>
              <w:t xml:space="preserve"> </w:t>
            </w:r>
            <m:oMath>
              <m:sSub>
                <m:e>
                  <m:r>
                    <m:t>ρ</m:t>
                  </m:r>
                </m:e>
                <m:sub>
                  <m:r>
                    <m:rPr>
                      <m:nor/>
                      <m:sty m:val="p"/>
                    </m:rPr>
                    <m:t>eff</m:t>
                  </m:r>
                </m:sub>
              </m:sSub>
            </m:oMath>
            <w:r>
              <w:t xml:space="preserve"> </w:t>
            </w:r>
            <w:r>
              <w:t xml:space="preserve">(g cm⁻³)</w:t>
            </w:r>
          </w:p>
        </w:tc>
        <w:tc>
          <w:tcPr/>
          <w:p>
            <w:pPr>
              <w:pStyle w:val="Compact"/>
            </w:pPr>
            <w:r>
              <w:t xml:space="preserve">Reference for measured density</w:t>
            </w:r>
          </w:p>
        </w:tc>
      </w:tr>
      <w:tr>
        <w:tc>
          <w:tcPr/>
          <w:p>
            <w:pPr>
              <w:pStyle w:val="Compact"/>
            </w:pPr>
            <w:r>
              <w:t xml:space="preserve">M1–M4</w:t>
            </w:r>
          </w:p>
        </w:tc>
        <w:tc>
          <w:tcPr/>
          <w:p>
            <w:pPr>
              <w:pStyle w:val="Compact"/>
            </w:pPr>
            <w:r>
              <w:t xml:space="preserve">HDPE (C₂H₄,</w:t>
            </w:r>
            <w:r>
              <w:t xml:space="preserve"> </w:t>
            </w:r>
            <m:oMath>
              <m:sSub>
                <m:e>
                  <m:r>
                    <m:t>ρ</m:t>
                  </m:r>
                </m:e>
                <m:sub>
                  <m:r>
                    <m:t>m</m:t>
                  </m:r>
                </m:sub>
              </m:sSub>
              <m:r>
                <m:rPr>
                  <m:sty m:val="p"/>
                </m:rPr>
                <m:t>=</m:t>
              </m:r>
              <m:r>
                <m:t>0.95</m:t>
              </m:r>
            </m:oMath>
            <w:r>
              <w:t xml:space="preserve">)</w:t>
            </w:r>
          </w:p>
        </w:tc>
        <w:tc>
          <w:tcPr/>
          <w:p>
            <w:pPr>
              <w:pStyle w:val="Compact"/>
            </w:pPr>
            <w:r>
              <w:t xml:space="preserve">Bi₂O₃ (</w:t>
            </w:r>
            <m:oMath>
              <m:sSub>
                <m:e>
                  <m:r>
                    <m:t>ρ</m:t>
                  </m:r>
                </m:e>
                <m:sub>
                  <m:r>
                    <m:t>f</m:t>
                  </m:r>
                </m:sub>
              </m:sSub>
              <m:r>
                <m:rPr>
                  <m:sty m:val="p"/>
                </m:rPr>
                <m:t>=</m:t>
              </m:r>
              <m:r>
                <m:t>8.9</m:t>
              </m:r>
            </m:oMath>
            <w:r>
              <w:t xml:space="preserve">)</w:t>
            </w:r>
          </w:p>
        </w:tc>
        <w:tc>
          <w:tcPr/>
          <w:p>
            <w:pPr>
              <w:pStyle w:val="Compact"/>
            </w:pPr>
            <w:r>
              <w:t xml:space="preserve">0.05, 0.15, 0.30, 0.50</w:t>
            </w:r>
          </w:p>
        </w:tc>
        <w:tc>
          <w:tcPr/>
          <w:p>
            <w:pPr>
              <w:pStyle w:val="Compact"/>
            </w:pPr>
            <w:r>
              <w:t xml:space="preserve">1.00, 1.13, 1.36, 1.90</w:t>
            </w:r>
          </w:p>
        </w:tc>
        <w:tc>
          <w:tcPr/>
          <w:p>
            <w:pPr>
              <w:pStyle w:val="Compact"/>
            </w:pPr>
            <w:r>
              <w:rPr>
                <w:i/>
                <w:iCs/>
              </w:rPr>
              <w:t xml:space="preserve">to be verified</w:t>
            </w:r>
          </w:p>
        </w:tc>
      </w:tr>
      <w:tr>
        <w:tc>
          <w:tcPr/>
          <w:p>
            <w:pPr>
              <w:pStyle w:val="Compact"/>
            </w:pPr>
            <w:r>
              <w:t xml:space="preserve">M5–M8</w:t>
            </w:r>
          </w:p>
        </w:tc>
        <w:tc>
          <w:tcPr/>
          <w:p>
            <w:pPr>
              <w:pStyle w:val="Compact"/>
            </w:pPr>
            <w:r>
              <w:t xml:space="preserve">HDPE</w:t>
            </w:r>
          </w:p>
        </w:tc>
        <w:tc>
          <w:tcPr/>
          <w:p>
            <w:pPr>
              <w:pStyle w:val="Compact"/>
            </w:pPr>
            <w:r>
              <w:t xml:space="preserve">WO₃ (</w:t>
            </w:r>
            <m:oMath>
              <m:sSub>
                <m:e>
                  <m:r>
                    <m:t>ρ</m:t>
                  </m:r>
                </m:e>
                <m:sub>
                  <m:r>
                    <m:t>f</m:t>
                  </m:r>
                </m:sub>
              </m:sSub>
              <m:r>
                <m:rPr>
                  <m:sty m:val="p"/>
                </m:rPr>
                <m:t>=</m:t>
              </m:r>
              <m:r>
                <m:t>7.16</m:t>
              </m:r>
            </m:oMath>
            <w:r>
              <w:t xml:space="preserve">)</w:t>
            </w:r>
          </w:p>
        </w:tc>
        <w:tc>
          <w:tcPr/>
          <w:p>
            <w:pPr>
              <w:pStyle w:val="Compact"/>
            </w:pPr>
            <w:r>
              <w:t xml:space="preserve">0.05, 0.15, 0.30, 0.50</w:t>
            </w:r>
          </w:p>
        </w:tc>
        <w:tc>
          <w:tcPr/>
          <w:p>
            <w:pPr>
              <w:pStyle w:val="Compact"/>
            </w:pPr>
            <w:r>
              <w:t xml:space="preserve">1.00, 1.13, 1.36, 1.90</w:t>
            </w:r>
          </w:p>
        </w:tc>
        <w:tc>
          <w:tcPr/>
          <w:p>
            <w:pPr>
              <w:pStyle w:val="Compact"/>
            </w:pPr>
            <w:r>
              <w:rPr>
                <w:i/>
                <w:iCs/>
              </w:rPr>
              <w:t xml:space="preserve">to be verified</w:t>
            </w:r>
          </w:p>
        </w:tc>
      </w:tr>
      <w:tr>
        <w:tc>
          <w:tcPr/>
          <w:p>
            <w:pPr>
              <w:pStyle w:val="Compact"/>
            </w:pPr>
            <w:r>
              <w:t xml:space="preserve">M9–M11</w:t>
            </w:r>
          </w:p>
        </w:tc>
        <w:tc>
          <w:tcPr/>
          <w:p>
            <w:pPr>
              <w:pStyle w:val="Compact"/>
            </w:pPr>
            <w:r>
              <w:t xml:space="preserve">Epoxy (C₂₁H₂₅ClO₅,</w:t>
            </w:r>
            <w:r>
              <w:t xml:space="preserve"> </w:t>
            </w:r>
            <m:oMath>
              <m:sSub>
                <m:e>
                  <m:r>
                    <m:t>ρ</m:t>
                  </m:r>
                </m:e>
                <m:sub>
                  <m:r>
                    <m:t>m</m:t>
                  </m:r>
                </m:sub>
              </m:sSub>
              <m:r>
                <m:rPr>
                  <m:sty m:val="p"/>
                </m:rPr>
                <m:t>≈</m:t>
              </m:r>
              <m:r>
                <m:t>1.2</m:t>
              </m:r>
            </m:oMath>
            <w:r>
              <w:t xml:space="preserve">)</w:t>
            </w:r>
          </w:p>
        </w:tc>
        <w:tc>
          <w:tcPr/>
          <w:p>
            <w:pPr>
              <w:pStyle w:val="Compact"/>
            </w:pPr>
            <w:r>
              <w:t xml:space="preserve">BaSO₄ (</w:t>
            </w:r>
            <m:oMath>
              <m:sSub>
                <m:e>
                  <m:r>
                    <m:t>ρ</m:t>
                  </m:r>
                </m:e>
                <m:sub>
                  <m:r>
                    <m:t>f</m:t>
                  </m:r>
                </m:sub>
              </m:sSub>
              <m:r>
                <m:rPr>
                  <m:sty m:val="p"/>
                </m:rPr>
                <m:t>=</m:t>
              </m:r>
              <m:r>
                <m:t>4.5</m:t>
              </m:r>
            </m:oMath>
            <w:r>
              <w:t xml:space="preserve">)</w:t>
            </w:r>
          </w:p>
        </w:tc>
        <w:tc>
          <w:tcPr/>
          <w:p>
            <w:pPr>
              <w:pStyle w:val="Compact"/>
            </w:pPr>
            <w:r>
              <w:t xml:space="preserve">0.10, 0.30, 0.50</w:t>
            </w:r>
          </w:p>
        </w:tc>
        <w:tc>
          <w:tcPr/>
          <w:p>
            <w:pPr>
              <w:pStyle w:val="Compact"/>
            </w:pPr>
            <w:r>
              <w:t xml:space="preserve">1.27, 1.50, 1.86</w:t>
            </w:r>
          </w:p>
        </w:tc>
        <w:tc>
          <w:tcPr/>
          <w:p>
            <w:pPr>
              <w:pStyle w:val="Compact"/>
            </w:pPr>
            <w:r>
              <w:rPr>
                <w:i/>
                <w:iCs/>
              </w:rPr>
              <w:t xml:space="preserve">to be verified</w:t>
            </w:r>
          </w:p>
        </w:tc>
      </w:tr>
    </w:tbl>
    <w:p>
      <w:pPr>
        <w:pStyle w:val="BodyText"/>
      </w:pPr>
      <w:r>
        <w:t xml:space="preserve">Per-material density values</w:t>
      </w:r>
      <w:r>
        <w:t xml:space="preserve"> </w:t>
      </w:r>
      <w:r>
        <w:rPr>
          <w:b/>
          <w:bCs/>
        </w:rPr>
        <w:t xml:space="preserve">must</w:t>
      </w:r>
      <w:r>
        <w:t xml:space="preserve"> </w:t>
      </w:r>
      <w:r>
        <w:t xml:space="preserve">be replaced by measured or literature-verified values before publication; the M1–M11 row in the manuscript carries provenance tags</w:t>
      </w:r>
      <w:r>
        <w:t xml:space="preserve"> </w:t>
      </w:r>
      <w:r>
        <w:rPr>
          <w:rStyle w:val="VerbatimChar"/>
        </w:rPr>
        <w:t xml:space="preserve">[ρ-measured | ρ-volume-rule | ρ-mass-rule]</w:t>
      </w:r>
      <w:r>
        <w:t xml:space="preserve">.</w:t>
      </w:r>
    </w:p>
    <w:bookmarkEnd w:id="27"/>
    <w:bookmarkStart w:id="28" w:name="source-spectra"/>
    <w:p>
      <w:pPr>
        <w:pStyle w:val="Heading3"/>
      </w:pPr>
      <w:r>
        <w:t xml:space="preserve">4.2 Source spectra</w:t>
      </w:r>
    </w:p>
    <w:p>
      <w:pPr>
        <w:pStyle w:val="Compact"/>
        <w:numPr>
          <w:ilvl w:val="0"/>
          <w:numId w:val="1005"/>
        </w:numPr>
      </w:pPr>
      <w:r>
        <w:rPr>
          <w:b/>
          <w:bCs/>
        </w:rPr>
        <w:t xml:space="preserve">Diagnostic band (low-E):</w:t>
      </w:r>
      <w:r>
        <w:t xml:space="preserve"> </w:t>
      </w:r>
      <w:r>
        <w:t xml:space="preserve">mono-energetic photons at 30, 50, 80, 100, 150 keV (parallel pencil beam, 10⁶ primaries each).</w:t>
      </w:r>
    </w:p>
    <w:p>
      <w:pPr>
        <w:pStyle w:val="Compact"/>
        <w:numPr>
          <w:ilvl w:val="0"/>
          <w:numId w:val="1005"/>
        </w:numPr>
      </w:pPr>
      <w:r>
        <w:rPr>
          <w:b/>
          <w:bCs/>
        </w:rPr>
        <w:t xml:space="preserve">Gamma band (mid–high-E):</w:t>
      </w:r>
      <w:r>
        <w:t xml:space="preserve"> </w:t>
      </w:r>
      <w:r>
        <w:t xml:space="preserve">356 keV (Ba-133), 511 keV (annihilation), 662 keV (Cs-137), 1173 keV and 1332 keV (Co-60 lines), 10⁶ primaries each.</w:t>
      </w:r>
    </w:p>
    <w:p>
      <w:pPr>
        <w:pStyle w:val="FirstParagraph"/>
      </w:pPr>
      <w:r>
        <w:t xml:space="preserve">A separate Cs-137 broad-beam configuration (point source 1 m from slab, full angular sampling) is run for buildup-factor extraction in regimes A and D.</w:t>
      </w:r>
    </w:p>
    <w:bookmarkEnd w:id="28"/>
    <w:bookmarkStart w:id="29" w:name="physics-list"/>
    <w:p>
      <w:pPr>
        <w:pStyle w:val="Heading3"/>
      </w:pPr>
      <w:r>
        <w:t xml:space="preserve">4.3 Physics list</w:t>
      </w:r>
    </w:p>
    <w:p>
      <w:pPr>
        <w:pStyle w:val="Compact"/>
        <w:numPr>
          <w:ilvl w:val="0"/>
          <w:numId w:val="1006"/>
        </w:numPr>
      </w:pPr>
      <w:r>
        <w:t xml:space="preserve">≤ 1 MeV:</w:t>
      </w:r>
      <w:r>
        <w:t xml:space="preserve"> </w:t>
      </w:r>
      <w:r>
        <w:rPr>
          <w:rStyle w:val="VerbatimChar"/>
        </w:rPr>
        <w:t xml:space="preserve">G4EmLivermorePhysics</w:t>
      </w:r>
      <w:r>
        <w:t xml:space="preserve"> </w:t>
      </w:r>
      <w:r>
        <w:t xml:space="preserve">(uses EPDL97 / EEDL / EADL data — essential for low-energy photoelectric and Compton accuracy).</w:t>
      </w:r>
    </w:p>
    <w:p>
      <w:pPr>
        <w:pStyle w:val="BlockText"/>
        <w:numPr>
          <w:ilvl w:val="0"/>
          <w:numId w:val="1006"/>
        </w:numPr>
      </w:pPr>
      <w:r>
        <w:t xml:space="preserve">1 MeV:</w:t>
      </w:r>
      <w:r>
        <w:t xml:space="preserve"> </w:t>
      </w:r>
      <w:r>
        <w:rPr>
          <w:rStyle w:val="VerbatimChar"/>
        </w:rPr>
        <w:t xml:space="preserve">G4EmStandardPhysics_option4</w:t>
      </w:r>
      <w:r>
        <w:t xml:space="preserve"> </w:t>
      </w:r>
      <w:r>
        <w:t xml:space="preserve">(high-accuracy EM).</w:t>
      </w:r>
    </w:p>
    <w:p>
      <w:pPr>
        <w:pStyle w:val="Compact"/>
        <w:numPr>
          <w:ilvl w:val="0"/>
          <w:numId w:val="1006"/>
        </w:numPr>
      </w:pPr>
      <w:r>
        <w:t xml:space="preserve">Tracking cuts: 0.1 µm (RVE runs), 1 mm (full-slab runs). Cut justification recorded in run metadata.</w:t>
      </w:r>
    </w:p>
    <w:p>
      <w:pPr>
        <w:pStyle w:val="Compact"/>
        <w:numPr>
          <w:ilvl w:val="0"/>
          <w:numId w:val="1006"/>
        </w:numPr>
      </w:pPr>
      <w:r>
        <w:t xml:space="preserve">Multi-threaded (</w:t>
      </w:r>
      <w:r>
        <w:rPr>
          <w:rStyle w:val="VerbatimChar"/>
        </w:rPr>
        <w:t xml:space="preserve">SHIELDLAB_RUN_MANAGER=mt</w:t>
      </w:r>
      <w:r>
        <w:t xml:space="preserve">) for full-slab runs; serial for RVE runs (RVE memory cost is the dominant constraint).</w:t>
      </w:r>
    </w:p>
    <w:bookmarkEnd w:id="29"/>
    <w:bookmarkStart w:id="31" w:name="scoring"/>
    <w:p>
      <w:pPr>
        <w:pStyle w:val="Heading3"/>
      </w:pPr>
      <w:r>
        <w:t xml:space="preserve">4.4 Scoring</w:t>
      </w:r>
    </w:p>
    <w:p>
      <w:pPr>
        <w:pStyle w:val="Compact"/>
        <w:numPr>
          <w:ilvl w:val="0"/>
          <w:numId w:val="1007"/>
        </w:numPr>
      </w:pPr>
      <w:r>
        <w:rPr>
          <w:b/>
          <w:bCs/>
        </w:rPr>
        <w:t xml:space="preserve">Full slab (A, C, D):</w:t>
      </w:r>
      <w:r>
        <w:t xml:space="preserve"> </w:t>
      </w:r>
      <w:r>
        <w:t xml:space="preserve">transmitted photon fluence at the back face (G4PSFlatSurfaceFlux), broad-beam absorbed dose in a 1-cm³</w:t>
      </w:r>
      <w:r>
        <w:t xml:space="preserve"> </w:t>
      </w:r>
      <w:r>
        <w:t xml:space="preserve">“air-equivalent”</w:t>
      </w:r>
      <w:r>
        <w:t xml:space="preserve"> </w:t>
      </w:r>
      <w:r>
        <w:t xml:space="preserve">downstream voxel (G4PSDoseDeposit), per-layer absorbed dose (existing</w:t>
      </w:r>
      <w:r>
        <w:t xml:space="preserve"> </w:t>
      </w:r>
      <w:r>
        <w:rPr>
          <w:rStyle w:val="VerbatimChar"/>
        </w:rPr>
        <w:t xml:space="preserve">G4MultiFunctionalDetector</w:t>
      </w:r>
      <w:r>
        <w:t xml:space="preserve"> </w:t>
      </w:r>
      <w:r>
        <w:t xml:space="preserve">chain in</w:t>
      </w:r>
      <w:r>
        <w:t xml:space="preserve"> </w:t>
      </w:r>
      <w:hyperlink r:id="rId30">
        <w:r>
          <w:rPr>
            <w:rStyle w:val="Hyperlink"/>
          </w:rPr>
          <w:t xml:space="preserve">src/DetectorConstruction.cc</w:t>
        </w:r>
      </w:hyperlink>
      <w:r>
        <w:t xml:space="preserve">).</w:t>
      </w:r>
    </w:p>
    <w:p>
      <w:pPr>
        <w:pStyle w:val="Compact"/>
        <w:numPr>
          <w:ilvl w:val="0"/>
          <w:numId w:val="1007"/>
        </w:numPr>
      </w:pPr>
      <w:r>
        <w:rPr>
          <w:b/>
          <w:bCs/>
        </w:rPr>
        <w:t xml:space="preserve">RVE (B, C):</w:t>
      </w:r>
      <w:r>
        <w:t xml:space="preserve"> </w:t>
      </w:r>
      <w:r>
        <w:t xml:space="preserve">radial dose-enhancement profile in 10-nm shells around each particle surface (custom</w:t>
      </w:r>
      <w:r>
        <w:t xml:space="preserve"> </w:t>
      </w:r>
      <w:r>
        <w:rPr>
          <w:rStyle w:val="VerbatimChar"/>
        </w:rPr>
        <w:t xml:space="preserve">G4VPrimitiveScorer</w:t>
      </w:r>
      <w:r>
        <w:t xml:space="preserve">), bulk-averaged matrix dose, bulk-averaged filler dose.</w:t>
      </w:r>
    </w:p>
    <w:bookmarkEnd w:id="31"/>
    <w:bookmarkStart w:id="32" w:name="Xc7e45c82ae27a6251bef5372db42213630613ea"/>
    <w:p>
      <w:pPr>
        <w:pStyle w:val="Heading3"/>
      </w:pPr>
      <w:r>
        <w:t xml:space="preserve">4.5 Acceptance criteria (operationalised hypotheses)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Metric</w:t>
            </w:r>
          </w:p>
        </w:tc>
        <w:tc>
          <w:tcPr/>
          <w:p>
            <w:pPr>
              <w:pStyle w:val="Compact"/>
            </w:pPr>
            <w:r>
              <w:t xml:space="preserve">Pass criterion</w:t>
            </w:r>
          </w:p>
        </w:tc>
      </w:tr>
      <w:tr>
        <w:tc>
          <w:tcPr/>
          <w:p>
            <w:pPr>
              <w:pStyle w:val="Compact"/>
            </w:pPr>
            <w:r>
              <w:t xml:space="preserve">H1</w:t>
            </w:r>
          </w:p>
        </w:tc>
        <w:tc>
          <w:tcPr/>
          <w:p>
            <w:pPr>
              <w:pStyle w:val="Compact"/>
            </w:pPr>
            <m:oMath>
              <m:r>
                <m:rPr>
                  <m:sty m:val="p"/>
                </m:rPr>
                <m:t>|</m:t>
              </m:r>
              <m:sSub>
                <m:e>
                  <m:r>
                    <m:t>T</m:t>
                  </m:r>
                </m:e>
                <m:sub>
                  <m:r>
                    <m:t>A</m:t>
                  </m:r>
                </m:sub>
              </m:sSub>
              <m:r>
                <m:rPr>
                  <m:sty m:val="p"/>
                </m:rPr>
                <m:t>−</m:t>
              </m:r>
              <m:sSub>
                <m:e>
                  <m:r>
                    <m:t>T</m:t>
                  </m:r>
                </m:e>
                <m:sub>
                  <m:r>
                    <m:t>B</m:t>
                  </m:r>
                  <m:r>
                    <m:rPr>
                      <m:sty m:val="p"/>
                    </m:rPr>
                    <m:t>/</m:t>
                  </m:r>
                  <m:r>
                    <m:t>C</m:t>
                  </m:r>
                </m:sub>
              </m:sSub>
              <m:r>
                <m:rPr>
                  <m:sty m:val="p"/>
                </m:rPr>
                <m:t>|</m:t>
              </m:r>
              <m:r>
                <m:rPr>
                  <m:sty m:val="p"/>
                </m:rPr>
                <m:t>/</m:t>
              </m:r>
              <m:sSub>
                <m:e>
                  <m:r>
                    <m:t>T</m:t>
                  </m:r>
                </m:e>
                <m:sub>
                  <m:r>
                    <m:t>A</m:t>
                  </m:r>
                </m:sub>
              </m:sSub>
            </m:oMath>
            <w:r>
              <w:t xml:space="preserve"> </w:t>
            </w:r>
            <w:r>
              <w:t xml:space="preserve">at</w:t>
            </w:r>
            <w:r>
              <w:t xml:space="preserve"> </w:t>
            </w:r>
            <m:oMath>
              <m:r>
                <m:t>E</m:t>
              </m:r>
              <m:r>
                <m:rPr>
                  <m:sty m:val="p"/>
                </m:rPr>
                <m:t>≥</m:t>
              </m:r>
              <m:r>
                <m:t>100</m:t>
              </m:r>
            </m:oMath>
            <w:r>
              <w:t xml:space="preserve"> </w:t>
            </w:r>
            <w:r>
              <w:t xml:space="preserve">keV</w:t>
            </w:r>
          </w:p>
        </w:tc>
        <w:tc>
          <w:tcPr/>
          <w:p>
            <w:pPr>
              <w:pStyle w:val="Compact"/>
            </w:pPr>
            <w:r>
              <w:t xml:space="preserve">≤ 2σ statistical, ≤ 1% systematic</w:t>
            </w:r>
          </w:p>
        </w:tc>
      </w:tr>
      <w:tr>
        <w:tc>
          <w:tcPr/>
          <w:p>
            <w:pPr>
              <w:pStyle w:val="Compact"/>
            </w:pPr>
            <w:r>
              <w:t xml:space="preserve">H1</w:t>
            </w:r>
          </w:p>
        </w:tc>
        <w:tc>
          <w:tcPr/>
          <w:p>
            <w:pPr>
              <w:pStyle w:val="Compact"/>
            </w:pPr>
            <m:oMath>
              <m:r>
                <m:rPr>
                  <m:sty m:val="p"/>
                </m:rPr>
                <m:t>|</m:t>
              </m:r>
              <m:sSub>
                <m:e>
                  <m:r>
                    <m:t>μ</m:t>
                  </m:r>
                </m:e>
                <m:sub>
                  <m:r>
                    <m:t>A</m:t>
                  </m:r>
                </m:sub>
              </m:sSub>
              <m:r>
                <m:rPr>
                  <m:sty m:val="p"/>
                </m:rPr>
                <m:t>/</m:t>
              </m:r>
              <m:r>
                <m:t>ρ</m:t>
              </m:r>
              <m:r>
                <m:rPr>
                  <m:sty m:val="p"/>
                </m:rPr>
                <m:t>−</m:t>
              </m:r>
              <m:r>
                <m:rPr>
                  <m:sty m:val="p"/>
                </m:rPr>
                <m:t>(</m:t>
              </m:r>
              <m:r>
                <m:t>μ</m:t>
              </m:r>
              <m:r>
                <m:rPr>
                  <m:sty m:val="p"/>
                </m:rPr>
                <m:t>/</m:t>
              </m:r>
              <m:r>
                <m:t>ρ</m:t>
              </m:r>
              <m:sSub>
                <m:e>
                  <m:r>
                    <m:rPr>
                      <m:sty m:val="p"/>
                    </m:rPr>
                    <m:t>)</m:t>
                  </m:r>
                </m:e>
                <m:sub>
                  <m:r>
                    <m:rPr>
                      <m:nor/>
                      <m:sty m:val="p"/>
                    </m:rPr>
                    <m:t>NIST</m:t>
                  </m:r>
                </m:sub>
              </m:sSub>
              <m:r>
                <m:rPr>
                  <m:sty m:val="p"/>
                </m:rPr>
                <m:t>|</m:t>
              </m:r>
              <m:r>
                <m:rPr>
                  <m:sty m:val="p"/>
                </m:rPr>
                <m:t>/</m:t>
              </m:r>
              <m:r>
                <m:rPr>
                  <m:sty m:val="p"/>
                </m:rPr>
                <m:t>(</m:t>
              </m:r>
              <m:r>
                <m:t>μ</m:t>
              </m:r>
              <m:r>
                <m:rPr>
                  <m:sty m:val="p"/>
                </m:rPr>
                <m:t>/</m:t>
              </m:r>
              <m:r>
                <m:t>ρ</m:t>
              </m:r>
              <m:sSub>
                <m:e>
                  <m:r>
                    <m:rPr>
                      <m:sty m:val="p"/>
                    </m:rPr>
                    <m:t>)</m:t>
                  </m:r>
                </m:e>
                <m:sub>
                  <m:r>
                    <m:rPr>
                      <m:nor/>
                      <m:sty m:val="p"/>
                    </m:rPr>
                    <m:t>NIST</m:t>
                  </m:r>
                </m:sub>
              </m:sSub>
            </m:oMath>
          </w:p>
        </w:tc>
        <w:tc>
          <w:tcPr/>
          <w:p>
            <w:pPr>
              <w:pStyle w:val="Compact"/>
            </w:pPr>
            <w:r>
              <w:t xml:space="preserve">≤ 1.5% away from edges (matches existing ShieldLab photon-benchmark gate)</w:t>
            </w:r>
          </w:p>
        </w:tc>
      </w:tr>
      <w:tr>
        <w:tc>
          <w:tcPr/>
          <w:p>
            <w:pPr>
              <w:pStyle w:val="Compact"/>
            </w:pPr>
            <w:r>
              <w:t xml:space="preserve">H2</w:t>
            </w:r>
          </w:p>
        </w:tc>
        <w:tc>
          <w:tcPr/>
          <w:p>
            <w:pPr>
              <w:pStyle w:val="Compact"/>
            </w:pPr>
            <w:r>
              <w:t xml:space="preserve">DEF(</w:t>
            </w:r>
            <m:oMath>
              <m:r>
                <m:t>r</m:t>
              </m:r>
              <m:r>
                <m:rPr>
                  <m:sty m:val="p"/>
                </m:rPr>
                <m:t>→</m:t>
              </m:r>
            </m:oMath>
            <w:r>
              <w:t xml:space="preserve"> </w:t>
            </w:r>
            <w:r>
              <w:t xml:space="preserve">particle surface,</w:t>
            </w:r>
            <w:r>
              <w:t xml:space="preserve"> </w:t>
            </w:r>
            <m:oMath>
              <m:r>
                <m:t>E</m:t>
              </m:r>
              <m:r>
                <m:rPr>
                  <m:sty m:val="p"/>
                </m:rPr>
                <m:t>=</m:t>
              </m:r>
              <m:r>
                <m:t>50</m:t>
              </m:r>
            </m:oMath>
            <w:r>
              <w:t xml:space="preserve"> </w:t>
            </w:r>
            <w:r>
              <w:t xml:space="preserve">keV) for Bi₂O₃</w:t>
            </w:r>
          </w:p>
        </w:tc>
        <w:tc>
          <w:tcPr/>
          <w:p>
            <w:pPr>
              <w:pStyle w:val="Compact"/>
            </w:pPr>
            <w:r>
              <w:t xml:space="preserve">&gt; 1.20 (i.e., &gt; 20% local enhancement) — pre-registered threshold</w:t>
            </w:r>
          </w:p>
        </w:tc>
      </w:tr>
      <w:tr>
        <w:tc>
          <w:tcPr/>
          <w:p>
            <w:pPr>
              <w:pStyle w:val="Compact"/>
            </w:pPr>
            <w:r>
              <w:t xml:space="preserve">H2</w:t>
            </w:r>
          </w:p>
        </w:tc>
        <w:tc>
          <w:tcPr/>
          <w:p>
            <w:pPr>
              <w:pStyle w:val="Compact"/>
            </w:pPr>
            <w:r>
              <w:t xml:space="preserve">DEF averaged over matrix volume at</w:t>
            </w:r>
            <w:r>
              <w:t xml:space="preserve"> </w:t>
            </w:r>
            <m:oMath>
              <m:r>
                <m:t>E</m:t>
              </m:r>
              <m:r>
                <m:rPr>
                  <m:sty m:val="p"/>
                </m:rPr>
                <m:t>=</m:t>
              </m:r>
              <m:r>
                <m:t>50</m:t>
              </m:r>
            </m:oMath>
            <w:r>
              <w:t xml:space="preserve"> </w:t>
            </w:r>
            <w:r>
              <w:t xml:space="preserve">keV</w:t>
            </w:r>
          </w:p>
        </w:tc>
        <w:tc>
          <w:tcPr/>
          <w:p>
            <w:pPr>
              <w:pStyle w:val="Compact"/>
            </w:pPr>
            <w:r>
              <w:t xml:space="preserve">within ± 5% of unity (homogenisation valid for bulk-matrix dose)</w:t>
            </w:r>
          </w:p>
        </w:tc>
      </w:tr>
      <w:tr>
        <w:tc>
          <w:tcPr/>
          <w:p>
            <w:pPr>
              <w:pStyle w:val="Compact"/>
            </w:pPr>
            <w:r>
              <w:t xml:space="preserve">H3</w:t>
            </w:r>
          </w:p>
        </w:tc>
        <w:tc>
          <w:tcPr/>
          <w:p>
            <w:pPr>
              <w:pStyle w:val="Compact"/>
            </w:pPr>
            <w:r>
              <w:t xml:space="preserve">Regime D full-shield runtime / Regime A runtime</w:t>
            </w:r>
          </w:p>
        </w:tc>
        <w:tc>
          <w:tcPr/>
          <w:p>
            <w:pPr>
              <w:pStyle w:val="Compact"/>
            </w:pPr>
            <w:r>
              <w:t xml:space="preserve">≤ 1.1× (correction is post-processing, not transport)</w:t>
            </w:r>
          </w:p>
        </w:tc>
      </w:tr>
      <w:tr>
        <w:tc>
          <w:tcPr/>
          <w:p>
            <w:pPr>
              <w:pStyle w:val="Compact"/>
            </w:pPr>
            <w:r>
              <w:t xml:space="preserve">H3</w:t>
            </w:r>
          </w:p>
        </w:tc>
        <w:tc>
          <w:tcPr/>
          <w:p>
            <w:pPr>
              <w:pStyle w:val="Compact"/>
            </w:pPr>
            <w:r>
              <w:t xml:space="preserve">Regime D interface dose vs Regime B/C interface dose</w:t>
            </w:r>
          </w:p>
        </w:tc>
        <w:tc>
          <w:tcPr/>
          <w:p>
            <w:pPr>
              <w:pStyle w:val="Compact"/>
            </w:pPr>
            <w:r>
              <w:t xml:space="preserve">within ± 5%</w:t>
            </w:r>
          </w:p>
        </w:tc>
      </w:tr>
    </w:tbl>
    <w:bookmarkEnd w:id="32"/>
    <w:bookmarkStart w:id="33" w:name="statistical-and-convergence-design"/>
    <w:p>
      <w:pPr>
        <w:pStyle w:val="Heading3"/>
      </w:pPr>
      <w:r>
        <w:t xml:space="preserve">4.6 Statistical and convergence design</w:t>
      </w:r>
    </w:p>
    <w:p>
      <w:pPr>
        <w:pStyle w:val="Compact"/>
        <w:numPr>
          <w:ilvl w:val="0"/>
          <w:numId w:val="1008"/>
        </w:numPr>
      </w:pPr>
      <w:r>
        <w:rPr>
          <w:b/>
          <w:bCs/>
        </w:rPr>
        <w:t xml:space="preserve">Replicates:</w:t>
      </w:r>
      <w:r>
        <w:t xml:space="preserve"> </w:t>
      </w:r>
      <w:r>
        <w:t xml:space="preserve">each (material, energy, regime) cell is run with 10 independent random seeds; mean and standard error reported.</w:t>
      </w:r>
    </w:p>
    <w:p>
      <w:pPr>
        <w:pStyle w:val="Compact"/>
        <w:numPr>
          <w:ilvl w:val="0"/>
          <w:numId w:val="1008"/>
        </w:numPr>
      </w:pPr>
      <w:r>
        <w:rPr>
          <w:b/>
          <w:bCs/>
        </w:rPr>
        <w:t xml:space="preserve">MT consistency:</w:t>
      </w:r>
      <w:r>
        <w:t xml:space="preserve"> </w:t>
      </w:r>
      <w:r>
        <w:t xml:space="preserve">for regime A and D, all 10 seeds × {serial, MT} configurations are required to agree within 2σ (re-uses existing</w:t>
      </w:r>
      <w:r>
        <w:t xml:space="preserve"> </w:t>
      </w:r>
      <w:r>
        <w:rPr>
          <w:rStyle w:val="VerbatimChar"/>
        </w:rPr>
        <w:t xml:space="preserve">tests/benchmarks/test_mt_consistency.py</w:t>
      </w:r>
      <w:r>
        <w:t xml:space="preserve"> </w:t>
      </w:r>
      <w:r>
        <w:t xml:space="preserve">gate).</w:t>
      </w:r>
    </w:p>
    <w:p>
      <w:pPr>
        <w:pStyle w:val="Compact"/>
        <w:numPr>
          <w:ilvl w:val="0"/>
          <w:numId w:val="1008"/>
        </w:numPr>
      </w:pPr>
      <w:r>
        <w:rPr>
          <w:b/>
          <w:bCs/>
        </w:rPr>
        <w:t xml:space="preserve">RVE convergence:</w:t>
      </w:r>
      <w:r>
        <w:t xml:space="preserve"> </w:t>
      </w:r>
      <w:r>
        <w:t xml:space="preserve">for each (material, energy),</w:t>
      </w:r>
      <w:r>
        <w:t xml:space="preserve"> </w:t>
      </w:r>
      <m:oMath>
        <m:sSub>
          <m:e>
            <m:r>
              <m:t>L</m:t>
            </m:r>
          </m:e>
          <m:sub>
            <m:r>
              <m:rPr>
                <m:nor/>
                <m:sty m:val="p"/>
              </m:rPr>
              <m:t>RVE</m:t>
            </m:r>
          </m:sub>
        </m:sSub>
      </m:oMath>
      <w:r>
        <w:t xml:space="preserve"> </w:t>
      </w:r>
      <w:r>
        <w:t xml:space="preserve">is doubled until DEF(</w:t>
      </w:r>
      <m:oMath>
        <m:r>
          <m:t>r</m:t>
        </m:r>
      </m:oMath>
      <w:r>
        <w:t xml:space="preserve">) curves agree within 2σ over the range</w:t>
      </w:r>
      <w:r>
        <w:t xml:space="preserve"> </w:t>
      </w:r>
      <m:oMath>
        <m:r>
          <m:t>0</m:t>
        </m:r>
        <m:r>
          <m:rPr>
            <m:sty m:val="p"/>
          </m:rPr>
          <m:t>≤</m:t>
        </m:r>
        <m:r>
          <m:t>r</m:t>
        </m:r>
        <m:r>
          <m:rPr>
            <m:sty m:val="p"/>
          </m:rPr>
          <m:t>≤</m:t>
        </m:r>
        <m:r>
          <m:t>200</m:t>
        </m:r>
      </m:oMath>
      <w:r>
        <w:t xml:space="preserve"> </w:t>
      </w:r>
      <w:r>
        <w:t xml:space="preserve">nm; the minimum converged</w:t>
      </w:r>
      <w:r>
        <w:t xml:space="preserve"> </w:t>
      </w:r>
      <m:oMath>
        <m:sSub>
          <m:e>
            <m:r>
              <m:t>L</m:t>
            </m:r>
          </m:e>
          <m:sub>
            <m:r>
              <m:rPr>
                <m:nor/>
                <m:sty m:val="p"/>
              </m:rPr>
              <m:t>RVE</m:t>
            </m:r>
          </m:sub>
        </m:sSub>
      </m:oMath>
      <w:r>
        <w:t xml:space="preserve"> </w:t>
      </w:r>
      <w:r>
        <w:t xml:space="preserve">is reported.</w:t>
      </w:r>
    </w:p>
    <w:p>
      <w:pPr>
        <w:pStyle w:val="Compact"/>
        <w:numPr>
          <w:ilvl w:val="0"/>
          <w:numId w:val="1008"/>
        </w:numPr>
      </w:pPr>
      <w:r>
        <w:rPr>
          <w:b/>
          <w:bCs/>
        </w:rPr>
        <w:t xml:space="preserve">Uncertainty propagation:</w:t>
      </w:r>
      <w:r>
        <w:t xml:space="preserve"> </w:t>
      </w:r>
      <w:r>
        <w:t xml:space="preserve">statistical uncertainties from MC are combined in quadrature with</w:t>
      </w:r>
      <w:r>
        <w:t xml:space="preserve"> </w:t>
      </w:r>
      <m:oMath>
        <m:sSub>
          <m:e>
            <m:r>
              <m:t>ρ</m:t>
            </m:r>
          </m:e>
          <m:sub>
            <m:r>
              <m:rPr>
                <m:nor/>
                <m:sty m:val="p"/>
              </m:rPr>
              <m:t>eff</m:t>
            </m:r>
          </m:sub>
        </m:sSub>
      </m:oMath>
      <w:r>
        <w:t xml:space="preserve"> </w:t>
      </w:r>
      <w:r>
        <w:t xml:space="preserve">uncertainty (where measured density is unavailable) and reported as total uncertainty bars on all figures.</w:t>
      </w:r>
    </w:p>
    <w:bookmarkEnd w:id="33"/>
    <w:bookmarkStart w:id="34" w:name="reproducibility-artefacts"/>
    <w:p>
      <w:pPr>
        <w:pStyle w:val="Heading3"/>
      </w:pPr>
      <w:r>
        <w:t xml:space="preserve">4.7 Reproducibility artefacts</w:t>
      </w:r>
    </w:p>
    <w:p>
      <w:pPr>
        <w:pStyle w:val="FirstParagraph"/>
      </w:pPr>
      <w:r>
        <w:t xml:space="preserve">Every benchmark run produces a JSON manifest including: Geant4 version, ShieldLab version, git SHA, physics list, random seed, tracking cuts, raw scorer output, derived metrics, and SHA-256 of all input macros. Manifests are committed under</w:t>
      </w:r>
      <w:r>
        <w:t xml:space="preserve"> </w:t>
      </w:r>
      <w:r>
        <w:rPr>
          <w:rStyle w:val="VerbatimChar"/>
        </w:rPr>
        <w:t xml:space="preserve">build/results/paper3_nano/</w:t>
      </w:r>
      <w:r>
        <w:t xml:space="preserve">. The paper cites the git SHA of the release tag (e.g.,</w:t>
      </w:r>
      <w:r>
        <w:t xml:space="preserve"> </w:t>
      </w:r>
      <w:r>
        <w:rPr>
          <w:rStyle w:val="VerbatimChar"/>
        </w:rPr>
        <w:t xml:space="preserve">v1.1.0-paper3</w:t>
      </w:r>
      <w:r>
        <w:t xml:space="preserve">).</w:t>
      </w:r>
    </w:p>
    <w:p>
      <w:r>
        <w:pict>
          <v:rect style="width:0;height:1.5pt" o:hralign="center" o:hrstd="t" o:hr="t"/>
        </w:pict>
      </w:r>
    </w:p>
    <w:bookmarkEnd w:id="34"/>
    <w:bookmarkEnd w:id="35"/>
    <w:bookmarkStart w:id="37" w:name="figures-planned"/>
    <w:p>
      <w:pPr>
        <w:pStyle w:val="Heading2"/>
      </w:pPr>
      <w:r>
        <w:t xml:space="preserve">5. Figures (planned)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Title</w:t>
            </w:r>
          </w:p>
        </w:tc>
        <w:tc>
          <w:tcPr/>
          <w:p>
            <w:pPr>
              <w:pStyle w:val="Compact"/>
            </w:pPr>
            <w:r>
              <w:t xml:space="preserve">Source data</w:t>
            </w:r>
          </w:p>
        </w:tc>
        <w:tc>
          <w:tcPr/>
          <w:p>
            <w:pPr>
              <w:pStyle w:val="Compact"/>
            </w:pPr>
            <w:r>
              <w:t xml:space="preserve">Style</w:t>
            </w:r>
          </w:p>
        </w:tc>
      </w:tr>
      <w:tr>
        <w:tc>
          <w:tcPr/>
          <w:p>
            <w:pPr>
              <w:pStyle w:val="Compact"/>
            </w:pPr>
            <w:r>
              <w:t xml:space="preserve">F1</w:t>
            </w:r>
          </w:p>
        </w:tc>
        <w:tc>
          <w:tcPr/>
          <w:p>
            <w:pPr>
              <w:pStyle w:val="Compact"/>
            </w:pPr>
            <w:r>
              <w:t xml:space="preserve">Schematic of the four regimes (homogeneous slab, parameterised particles, multi-union cluster, hybrid RVE correction)</w:t>
            </w:r>
          </w:p>
        </w:tc>
        <w:tc>
          <w:tcPr/>
          <w:p>
            <w:pPr>
              <w:pStyle w:val="Compact"/>
            </w:pPr>
            <w:r>
              <w:t xml:space="preserve">—</w:t>
            </w:r>
          </w:p>
        </w:tc>
        <w:tc>
          <w:tcPr/>
          <w:p>
            <w:pPr>
              <w:pStyle w:val="Compact"/>
            </w:pPr>
            <w:r>
              <w:t xml:space="preserve">TikZ / Inkscape; vector</w:t>
            </w:r>
          </w:p>
        </w:tc>
      </w:tr>
      <w:tr>
        <w:tc>
          <w:tcPr/>
          <w:p>
            <w:pPr>
              <w:pStyle w:val="Compact"/>
            </w:pPr>
            <w:r>
              <w:t xml:space="preserve">F2</w:t>
            </w:r>
          </w:p>
        </w:tc>
        <w:tc>
          <w:tcPr/>
          <w:p>
            <w:pPr>
              <w:pStyle w:val="Compact"/>
            </w:pPr>
            <w:r>
              <w:t xml:space="preserve">Runtime and peak memory vs particle count</w:t>
            </w:r>
            <w:r>
              <w:t xml:space="preserve"> </w:t>
            </w:r>
            <m:oMath>
              <m:r>
                <m:t>N</m:t>
              </m:r>
            </m:oMath>
            <w:r>
              <w:t xml:space="preserve"> </w:t>
            </w:r>
            <w:r>
              <w:t xml:space="preserve">for regimes B and C,</w:t>
            </w:r>
            <w:r>
              <w:t xml:space="preserve"> </w:t>
            </w:r>
            <m:oMath>
              <m:r>
                <m:t>N</m:t>
              </m:r>
              <m:r>
                <m:rPr>
                  <m:sty m:val="p"/>
                </m:rPr>
                <m:t>∈</m:t>
              </m:r>
              <m:r>
                <m:rPr>
                  <m:sty m:val="p"/>
                </m:rPr>
                <m:t>{</m:t>
              </m:r>
              <m:r>
                <m:t>10</m:t>
              </m:r>
              <m:r>
                <m:rPr>
                  <m:sty m:val="p"/>
                </m:rPr>
                <m:t>²</m:t>
              </m:r>
              <m:r>
                <m:rPr>
                  <m:sty m:val="p"/>
                </m:rPr>
                <m:t>,</m:t>
              </m:r>
              <m:r>
                <m:t>10</m:t>
              </m:r>
              <m:r>
                <m:rPr>
                  <m:sty m:val="p"/>
                </m:rPr>
                <m:t>³</m:t>
              </m:r>
              <m:r>
                <m:rPr>
                  <m:sty m:val="p"/>
                </m:rPr>
                <m:t>,</m:t>
              </m:r>
              <m:r>
                <m:t>10</m:t>
              </m:r>
              <m:r>
                <m:rPr>
                  <m:sty m:val="p"/>
                </m:rPr>
                <m:t>⁴</m:t>
              </m:r>
              <m:r>
                <m:rPr>
                  <m:sty m:val="p"/>
                </m:rPr>
                <m:t>,</m:t>
              </m:r>
              <m:r>
                <m:t>10</m:t>
              </m:r>
              <m:r>
                <m:rPr>
                  <m:sty m:val="p"/>
                </m:rPr>
                <m:t>⁵</m:t>
              </m:r>
              <m:r>
                <m:rPr>
                  <m:sty m:val="p"/>
                </m:rPr>
                <m:t>}</m:t>
              </m:r>
            </m:oMath>
          </w:p>
        </w:tc>
        <w:tc>
          <w:tcPr/>
          <w:p>
            <w:pPr>
              <w:pStyle w:val="Compact"/>
            </w:pPr>
            <w:r>
              <w:t xml:space="preserve">benchmark harness</w:t>
            </w:r>
          </w:p>
        </w:tc>
        <w:tc>
          <w:tcPr/>
          <w:p>
            <w:pPr>
              <w:pStyle w:val="Compact"/>
            </w:pPr>
            <w:r>
              <w:t xml:space="preserve">dual-axis, log-log, error bars</w:t>
            </w:r>
          </w:p>
        </w:tc>
      </w:tr>
      <w:tr>
        <w:tc>
          <w:tcPr/>
          <w:p>
            <w:pPr>
              <w:pStyle w:val="Compact"/>
            </w:pPr>
            <w:r>
              <w:t xml:space="preserve">F3</w:t>
            </w:r>
          </w:p>
        </w:tc>
        <w:tc>
          <w:tcPr/>
          <w:p>
            <w:pPr>
              <w:pStyle w:val="Compact"/>
            </w:pPr>
            <w:r>
              <w:t xml:space="preserve">Mass attenuation coefficient</w:t>
            </w:r>
            <w:r>
              <w:t xml:space="preserve"> </w:t>
            </w:r>
            <m:oMath>
              <m:r>
                <m:rPr>
                  <m:sty m:val="p"/>
                </m:rPr>
                <m:t>(</m:t>
              </m:r>
              <m:r>
                <m:t>μ</m:t>
              </m:r>
              <m:r>
                <m:rPr>
                  <m:sty m:val="p"/>
                </m:rPr>
                <m:t>/</m:t>
              </m:r>
              <m:r>
                <m:t>ρ</m:t>
              </m:r>
              <m:r>
                <m:rPr>
                  <m:sty m:val="p"/>
                </m:rPr>
                <m:t>)</m:t>
              </m:r>
            </m:oMath>
            <w:r>
              <w:t xml:space="preserve"> </w:t>
            </w:r>
            <w:r>
              <w:t xml:space="preserve">vs</w:t>
            </w:r>
            <w:r>
              <w:t xml:space="preserve"> </w:t>
            </w:r>
            <m:oMath>
              <m:r>
                <m:t>E</m:t>
              </m:r>
            </m:oMath>
            <w:r>
              <w:t xml:space="preserve"> </w:t>
            </w:r>
            <w:r>
              <w:t xml:space="preserve">for M1–M11: regime A, regimes B/C bulk-averaged, NIST XCOM reference</w:t>
            </w:r>
          </w:p>
        </w:tc>
        <w:tc>
          <w:tcPr/>
          <w:p>
            <w:pPr>
              <w:pStyle w:val="Compact"/>
            </w:pPr>
            <w:r>
              <w:t xml:space="preserve">harness + xcom_cache</w:t>
            </w:r>
          </w:p>
        </w:tc>
        <w:tc>
          <w:tcPr/>
          <w:p>
            <w:pPr>
              <w:pStyle w:val="Compact"/>
            </w:pPr>
            <w:r>
              <w:t xml:space="preserve">linear-log, 95% CI ribbons</w:t>
            </w:r>
          </w:p>
        </w:tc>
      </w:tr>
      <w:tr>
        <w:tc>
          <w:tcPr/>
          <w:p>
            <w:pPr>
              <w:pStyle w:val="Compact"/>
            </w:pPr>
            <w:r>
              <w:t xml:space="preserve">F4</w:t>
            </w:r>
          </w:p>
        </w:tc>
        <w:tc>
          <w:tcPr/>
          <w:p>
            <w:pPr>
              <w:pStyle w:val="Compact"/>
            </w:pPr>
            <w:r>
              <w:t xml:space="preserve">Radial dose-enhancement profile around a Bi₂O₃ particle at 50, 100, 662 keV</w:t>
            </w:r>
          </w:p>
        </w:tc>
        <w:tc>
          <w:tcPr/>
          <w:p>
            <w:pPr>
              <w:pStyle w:val="Compact"/>
            </w:pPr>
            <w:r>
              <w:t xml:space="preserve">RVE harness</w:t>
            </w:r>
          </w:p>
        </w:tc>
        <w:tc>
          <w:tcPr/>
          <w:p>
            <w:pPr>
              <w:pStyle w:val="Compact"/>
            </w:pPr>
            <w:r>
              <w:t xml:space="preserve">linear, log y</w:t>
            </w:r>
          </w:p>
        </w:tc>
      </w:tr>
      <w:tr>
        <w:tc>
          <w:tcPr/>
          <w:p>
            <w:pPr>
              <w:pStyle w:val="Compact"/>
            </w:pPr>
            <w:r>
              <w:t xml:space="preserve">F5</w:t>
            </w:r>
          </w:p>
        </w:tc>
        <w:tc>
          <w:tcPr/>
          <w:p>
            <w:pPr>
              <w:pStyle w:val="Compact"/>
            </w:pPr>
            <w:r>
              <w:t xml:space="preserve">Regime map: recommended method as a function of</w:t>
            </w:r>
            <w:r>
              <w:t xml:space="preserve"> </w:t>
            </w:r>
            <m:oMath>
              <m:r>
                <m:rPr>
                  <m:sty m:val="p"/>
                </m:rPr>
                <m:t>(</m:t>
              </m:r>
              <m:r>
                <m:t>E</m:t>
              </m:r>
              <m:r>
                <m:rPr>
                  <m:sty m:val="p"/>
                </m:rPr>
                <m:t>,</m:t>
              </m:r>
              <m:sSub>
                <m:e>
                  <m:r>
                    <m:t>ϕ</m:t>
                  </m:r>
                </m:e>
                <m:sub>
                  <m:r>
                    <m:t>f</m:t>
                  </m:r>
                </m:sub>
              </m:sSub>
              <m:r>
                <m:rPr>
                  <m:sty m:val="p"/>
                </m:rPr>
                <m:t>)</m:t>
              </m:r>
            </m:oMath>
            <w:r>
              <w:t xml:space="preserve"> </w:t>
            </w:r>
            <w:r>
              <w:t xml:space="preserve">for fixed</w:t>
            </w:r>
            <w:r>
              <w:t xml:space="preserve"> </w:t>
            </w:r>
            <m:oMath>
              <m:r>
                <m:t>r</m:t>
              </m:r>
              <m:r>
                <m:rPr>
                  <m:sty m:val="p"/>
                </m:rPr>
                <m:t>=</m:t>
              </m:r>
              <m:r>
                <m:t>50</m:t>
              </m:r>
            </m:oMath>
            <w:r>
              <w:t xml:space="preserve"> </w:t>
            </w:r>
            <w:r>
              <w:t xml:space="preserve">nm</w:t>
            </w:r>
          </w:p>
        </w:tc>
        <w:tc>
          <w:tcPr/>
          <w:p>
            <w:pPr>
              <w:pStyle w:val="Compact"/>
            </w:pPr>
            <w:r>
              <w:t xml:space="preserve">post-processing</w:t>
            </w:r>
          </w:p>
        </w:tc>
        <w:tc>
          <w:tcPr/>
          <w:p>
            <w:pPr>
              <w:pStyle w:val="Compact"/>
            </w:pPr>
            <w:r>
              <w:t xml:space="preserve">filled heatmap with decision contours</w:t>
            </w:r>
          </w:p>
        </w:tc>
      </w:tr>
      <w:tr>
        <w:tc>
          <w:tcPr/>
          <w:p>
            <w:pPr>
              <w:pStyle w:val="Compact"/>
            </w:pPr>
            <w:r>
              <w:t xml:space="preserve">F6</w:t>
            </w:r>
          </w:p>
        </w:tc>
        <w:tc>
          <w:tcPr/>
          <w:p>
            <w:pPr>
              <w:pStyle w:val="Compact"/>
            </w:pPr>
            <w:r>
              <w:t xml:space="preserve">Cs-137 transmission and broad-beam dose for full slab: regime A, regime D, NIST/Phy-X reference</w:t>
            </w:r>
          </w:p>
        </w:tc>
        <w:tc>
          <w:tcPr/>
          <w:p>
            <w:pPr>
              <w:pStyle w:val="Compact"/>
            </w:pPr>
            <w:r>
              <w:t xml:space="preserve">harness + ShieldLab analytical</w:t>
            </w:r>
          </w:p>
        </w:tc>
        <w:tc>
          <w:tcPr/>
          <w:p>
            <w:pPr>
              <w:pStyle w:val="Compact"/>
            </w:pPr>
            <w:r>
              <w:t xml:space="preserve">linear, residual sub-panel</w:t>
            </w:r>
          </w:p>
        </w:tc>
      </w:tr>
      <w:tr>
        <w:tc>
          <w:tcPr/>
          <w:p>
            <w:pPr>
              <w:pStyle w:val="Compact"/>
            </w:pPr>
            <w:r>
              <w:t xml:space="preserve">F7</w:t>
            </w:r>
          </w:p>
        </w:tc>
        <w:tc>
          <w:tcPr/>
          <w:p>
            <w:pPr>
              <w:pStyle w:val="Compact"/>
            </w:pPr>
            <w:r>
              <w:t xml:space="preserve">Workflow diagram: ShieldLab composition entry → macro generation → benchmark harness → publication outputs</w:t>
            </w:r>
          </w:p>
        </w:tc>
        <w:tc>
          <w:tcPr/>
          <w:p>
            <w:pPr>
              <w:pStyle w:val="Compact"/>
            </w:pPr>
            <w:r>
              <w:t xml:space="preserve">—</w:t>
            </w:r>
          </w:p>
        </w:tc>
        <w:tc>
          <w:tcPr/>
          <w:p>
            <w:pPr>
              <w:pStyle w:val="Compact"/>
            </w:pPr>
            <w:r>
              <w:t xml:space="preserve">TikZ; horizontal</w:t>
            </w:r>
          </w:p>
        </w:tc>
      </w:tr>
      <w:tr>
        <w:tc>
          <w:tcPr/>
          <w:p>
            <w:pPr>
              <w:pStyle w:val="Compact"/>
            </w:pPr>
            <w:r>
              <w:t xml:space="preserve">F8 (supp.)</w:t>
            </w:r>
          </w:p>
        </w:tc>
        <w:tc>
          <w:tcPr/>
          <w:p>
            <w:pPr>
              <w:pStyle w:val="Compact"/>
            </w:pPr>
            <w:r>
              <w:t xml:space="preserve">RVE convergence study: DEF(</w:t>
            </w:r>
            <m:oMath>
              <m:r>
                <m:t>r</m:t>
              </m:r>
            </m:oMath>
            <w:r>
              <w:t xml:space="preserve">) for</w:t>
            </w:r>
            <w:r>
              <w:t xml:space="preserve"> </w:t>
            </w:r>
            <m:oMath>
              <m:sSub>
                <m:e>
                  <m:r>
                    <m:t>L</m:t>
                  </m:r>
                </m:e>
                <m:sub>
                  <m:r>
                    <m:rPr>
                      <m:nor/>
                      <m:sty m:val="p"/>
                    </m:rPr>
                    <m:t>RVE</m:t>
                  </m:r>
                </m:sub>
              </m:sSub>
              <m:r>
                <m:rPr>
                  <m:sty m:val="p"/>
                </m:rPr>
                <m:t>∈</m:t>
              </m:r>
              <m:r>
                <m:rPr>
                  <m:sty m:val="p"/>
                </m:rPr>
                <m:t>{</m:t>
              </m:r>
              <m:r>
                <m:t>0.5</m:t>
              </m:r>
              <m:r>
                <m:rPr>
                  <m:sty m:val="p"/>
                </m:rPr>
                <m:t>,</m:t>
              </m:r>
              <m:r>
                <m:t>1</m:t>
              </m:r>
              <m:r>
                <m:rPr>
                  <m:sty m:val="p"/>
                </m:rPr>
                <m:t>,</m:t>
              </m:r>
              <m:r>
                <m:t>2</m:t>
              </m:r>
              <m:r>
                <m:rPr>
                  <m:sty m:val="p"/>
                </m:rPr>
                <m:t>,</m:t>
              </m:r>
              <m:r>
                <m:t>4</m:t>
              </m:r>
              <m:r>
                <m:rPr>
                  <m:sty m:val="p"/>
                </m:rPr>
                <m:t>}</m:t>
              </m:r>
            </m:oMath>
            <w:r>
              <w:t xml:space="preserve"> </w:t>
            </w:r>
            <w:r>
              <w:t xml:space="preserve">µm</w:t>
            </w:r>
          </w:p>
        </w:tc>
        <w:tc>
          <w:tcPr/>
          <w:p>
            <w:pPr>
              <w:pStyle w:val="Compact"/>
            </w:pPr>
            <w:r>
              <w:t xml:space="preserve">RVE harness</w:t>
            </w:r>
          </w:p>
        </w:tc>
        <w:tc>
          <w:tcPr/>
          <w:p>
            <w:pPr>
              <w:pStyle w:val="Compact"/>
            </w:pPr>
            <w:r>
              <w:t xml:space="preserve">overlay with shaded uncertainty</w:t>
            </w:r>
          </w:p>
        </w:tc>
      </w:tr>
    </w:tbl>
    <w:p>
      <w:pPr>
        <w:pStyle w:val="BodyText"/>
      </w:pPr>
      <w:r>
        <w:t xml:space="preserve">All figures use</w:t>
      </w:r>
      <w:r>
        <w:t xml:space="preserve"> </w:t>
      </w:r>
      <w:hyperlink r:id="rId36">
        <w:r>
          <w:rPr>
            <w:rStyle w:val="Hyperlink"/>
          </w:rPr>
          <w:t xml:space="preserve">python/shieldlab/viz/style.py</w:t>
        </w:r>
      </w:hyperlink>
      <w:r>
        <w:t xml:space="preserve"> </w:t>
      </w:r>
      <w:r>
        <w:rPr>
          <w:rStyle w:val="VerbatimChar"/>
        </w:rPr>
        <w:t xml:space="preserve">apply_journal_style("publication_strict")</w:t>
      </w:r>
      <w:r>
        <w:t xml:space="preserve"> </w:t>
      </w:r>
      <w:r>
        <w:t xml:space="preserve">with the Okabe–Ito 8-colour palette (colour-blind safe). 600 DPI raster + vector PDF exports.</w:t>
      </w:r>
    </w:p>
    <w:p>
      <w:r>
        <w:pict>
          <v:rect style="width:0;height:1.5pt" o:hralign="center" o:hrstd="t" o:hr="t"/>
        </w:pict>
      </w:r>
    </w:p>
    <w:bookmarkEnd w:id="37"/>
    <w:bookmarkStart w:id="38" w:name="limitations-and-validity-scope"/>
    <w:p>
      <w:pPr>
        <w:pStyle w:val="Heading2"/>
      </w:pPr>
      <w:r>
        <w:t xml:space="preserve">6. Limitations and Validity Scope</w:t>
      </w:r>
    </w:p>
    <w:p>
      <w:pPr>
        <w:pStyle w:val="Compact"/>
        <w:numPr>
          <w:ilvl w:val="0"/>
          <w:numId w:val="1009"/>
        </w:numPr>
      </w:pPr>
      <w:r>
        <w:rPr>
          <w:b/>
          <w:bCs/>
        </w:rPr>
        <w:t xml:space="preserve">1-D slab transport only</w:t>
      </w:r>
      <w:r>
        <w:t xml:space="preserve"> </w:t>
      </w:r>
      <w:r>
        <w:t xml:space="preserve">for regimes A, C, D. Full 3-D geometry (e.g., cylindrical phantoms, anthropomorphic) is out of scope for this paper.</w:t>
      </w:r>
    </w:p>
    <w:p>
      <w:pPr>
        <w:pStyle w:val="Compact"/>
        <w:numPr>
          <w:ilvl w:val="0"/>
          <w:numId w:val="1009"/>
        </w:numPr>
      </w:pPr>
      <w:r>
        <w:rPr>
          <w:b/>
          <w:bCs/>
        </w:rPr>
        <w:t xml:space="preserve">Photon-only benchmark.</w:t>
      </w:r>
      <w:r>
        <w:t xml:space="preserve"> </w:t>
      </w:r>
      <w:r>
        <w:t xml:space="preserve">Neutron and charged-particle behaviour through nanocomposites is not addressed.</w:t>
      </w:r>
    </w:p>
    <w:p>
      <w:pPr>
        <w:pStyle w:val="Compact"/>
        <w:numPr>
          <w:ilvl w:val="0"/>
          <w:numId w:val="1009"/>
        </w:numPr>
      </w:pPr>
      <w:r>
        <w:rPr>
          <w:b/>
          <w:bCs/>
        </w:rPr>
        <w:t xml:space="preserve">Monodisperse + log-normal particle-size distribution.</w:t>
      </w:r>
      <w:r>
        <w:t xml:space="preserve"> </w:t>
      </w:r>
      <w:r>
        <w:t xml:space="preserve">Real composites can exhibit broader, multimodal distributions; one supplementary subsection compares mono- vs log-normal results.</w:t>
      </w:r>
    </w:p>
    <w:p>
      <w:pPr>
        <w:pStyle w:val="Compact"/>
        <w:numPr>
          <w:ilvl w:val="0"/>
          <w:numId w:val="1009"/>
        </w:numPr>
      </w:pPr>
      <w:r>
        <w:rPr>
          <w:b/>
          <w:bCs/>
        </w:rPr>
        <w:t xml:space="preserve">No interfacial chemistry</w:t>
      </w:r>
      <w:r>
        <w:t xml:space="preserve"> </w:t>
      </w:r>
      <w:r>
        <w:t xml:space="preserve">(surface functionalisation, ligands, oxide shells) is modelled — these are below the resolution of the EM physics list used here.</w:t>
      </w:r>
    </w:p>
    <w:p>
      <w:pPr>
        <w:pStyle w:val="Compact"/>
        <w:numPr>
          <w:ilvl w:val="0"/>
          <w:numId w:val="1009"/>
        </w:numPr>
      </w:pPr>
      <w:r>
        <w:rPr>
          <w:b/>
          <w:bCs/>
        </w:rPr>
        <w:t xml:space="preserve">Density uncertainty dominates at high</w:t>
      </w:r>
      <w:r>
        <w:rPr>
          <w:b/>
          <w:bCs/>
        </w:rPr>
        <w:t xml:space="preserve"> </w:t>
      </w:r>
      <m:oMath>
        <m:sSub>
          <m:e>
            <m:r>
              <m:t>w</m:t>
            </m:r>
          </m:e>
          <m:sub>
            <m:r>
              <m:t>f</m:t>
            </m:r>
          </m:sub>
        </m:sSub>
      </m:oMath>
      <w:r>
        <w:rPr>
          <w:b/>
          <w:bCs/>
        </w:rPr>
        <w:t xml:space="preserve">.</w:t>
      </w:r>
      <w:r>
        <w:t xml:space="preserve"> </w:t>
      </w:r>
      <w:r>
        <w:t xml:space="preserve">Where measured density is unavailable, results carry a</w:t>
      </w:r>
      <w:r>
        <w:t xml:space="preserve"> </w:t>
      </w:r>
      <w:r>
        <w:rPr>
          <w:rStyle w:val="VerbatimChar"/>
        </w:rPr>
        <w:t xml:space="preserve">[ρ-estimate]</w:t>
      </w:r>
      <w:r>
        <w:t xml:space="preserve"> </w:t>
      </w:r>
      <w:r>
        <w:t xml:space="preserve">provenance tag in every figure caption.</w:t>
      </w:r>
    </w:p>
    <w:p>
      <w:pPr>
        <w:pStyle w:val="Compact"/>
        <w:numPr>
          <w:ilvl w:val="0"/>
          <w:numId w:val="1009"/>
        </w:numPr>
      </w:pPr>
      <w:r>
        <w:rPr>
          <w:b/>
          <w:bCs/>
        </w:rPr>
        <w:t xml:space="preserve">No experimental validation in this paper</w:t>
      </w:r>
      <w:r>
        <w:t xml:space="preserve"> </w:t>
      </w:r>
      <w:r>
        <w:t xml:space="preserve">— the benchmark validates the</w:t>
      </w:r>
      <w:r>
        <w:t xml:space="preserve"> </w:t>
      </w:r>
      <w:r>
        <w:rPr>
          <w:i/>
          <w:iCs/>
        </w:rPr>
        <w:t xml:space="preserve">MC method choice</w:t>
      </w:r>
      <w:r>
        <w:t xml:space="preserve">, not the underlying physics data, which is already validated against NIST XCOM in the companion ShieldLab G4 v1.0.0 scientific paper.</w:t>
      </w:r>
    </w:p>
    <w:p>
      <w:r>
        <w:pict>
          <v:rect style="width:0;height:1.5pt" o:hralign="center" o:hrstd="t" o:hr="t"/>
        </w:pict>
      </w:r>
    </w:p>
    <w:bookmarkEnd w:id="38"/>
    <w:bookmarkStart w:id="41" w:name="X2d8f1b2f27b31457b82c6dbfacb1816390ebf9a"/>
    <w:p>
      <w:pPr>
        <w:pStyle w:val="Heading2"/>
      </w:pPr>
      <w:r>
        <w:t xml:space="preserve">7. Reproducibility, Code Availability, and Ethics</w:t>
      </w:r>
    </w:p>
    <w:p>
      <w:pPr>
        <w:pStyle w:val="Compact"/>
        <w:numPr>
          <w:ilvl w:val="0"/>
          <w:numId w:val="1010"/>
        </w:numPr>
      </w:pPr>
      <w:r>
        <w:rPr>
          <w:b/>
          <w:bCs/>
        </w:rPr>
        <w:t xml:space="preserve">Software:</w:t>
      </w:r>
      <w:r>
        <w:t xml:space="preserve"> </w:t>
      </w:r>
      <w:r>
        <w:t xml:space="preserve">ShieldLab G4 v1.1 (release tag</w:t>
      </w:r>
      <w:r>
        <w:t xml:space="preserve"> </w:t>
      </w:r>
      <w:r>
        <w:rPr>
          <w:rStyle w:val="VerbatimChar"/>
        </w:rPr>
        <w:t xml:space="preserve">v1.1.0-paper3</w:t>
      </w:r>
      <w:r>
        <w:t xml:space="preserve">), MIT licence. Source at</w:t>
      </w:r>
      <w:r>
        <w:t xml:space="preserve"> </w:t>
      </w:r>
      <w:hyperlink r:id="rId39">
        <w:r>
          <w:rPr>
            <w:rStyle w:val="Hyperlink"/>
          </w:rPr>
          <w:t xml:space="preserve">the repository root README</w:t>
        </w:r>
      </w:hyperlink>
      <w:r>
        <w:t xml:space="preserve">.</w:t>
      </w:r>
    </w:p>
    <w:p>
      <w:pPr>
        <w:pStyle w:val="Compact"/>
        <w:numPr>
          <w:ilvl w:val="0"/>
          <w:numId w:val="1010"/>
        </w:numPr>
      </w:pPr>
      <w:r>
        <w:rPr>
          <w:b/>
          <w:bCs/>
        </w:rPr>
        <w:t xml:space="preserve">Data:</w:t>
      </w:r>
      <w:r>
        <w:t xml:space="preserve"> </w:t>
      </w:r>
      <w:r>
        <w:t xml:space="preserve">all benchmark inputs (study JSONs), raw scorer outputs, derived CSVs, and figure-generation notebooks are released under CC-BY 4.0 in</w:t>
      </w:r>
      <w:r>
        <w:t xml:space="preserve"> </w:t>
      </w:r>
      <w:r>
        <w:rPr>
          <w:rStyle w:val="VerbatimChar"/>
        </w:rPr>
        <w:t xml:space="preserve">build/results/paper3_nano/</w:t>
      </w:r>
      <w:r>
        <w:t xml:space="preserve">.</w:t>
      </w:r>
    </w:p>
    <w:p>
      <w:pPr>
        <w:pStyle w:val="Compact"/>
        <w:numPr>
          <w:ilvl w:val="0"/>
          <w:numId w:val="1010"/>
        </w:numPr>
      </w:pPr>
      <w:r>
        <w:rPr>
          <w:b/>
          <w:bCs/>
        </w:rPr>
        <w:t xml:space="preserve">Compute environment:</w:t>
      </w:r>
      <w:r>
        <w:t xml:space="preserve"> </w:t>
      </w:r>
      <w:r>
        <w:t xml:space="preserve">Dockerfile pinned to Ubuntu 22.04 + Geant4 11.4 + Python 3.11 (</w:t>
      </w:r>
      <w:hyperlink r:id="rId40">
        <w:r>
          <w:rPr>
            <w:rStyle w:val="Hyperlink"/>
          </w:rPr>
          <w:t xml:space="preserve">worker/Dockerfile</w:t>
        </w:r>
      </w:hyperlink>
      <w:r>
        <w:t xml:space="preserve">).</w:t>
      </w:r>
    </w:p>
    <w:p>
      <w:pPr>
        <w:pStyle w:val="Compact"/>
        <w:numPr>
          <w:ilvl w:val="0"/>
          <w:numId w:val="1010"/>
        </w:numPr>
      </w:pPr>
      <w:r>
        <w:rPr>
          <w:b/>
          <w:bCs/>
        </w:rPr>
        <w:t xml:space="preserve">No human or animal data.</w:t>
      </w:r>
      <w:r>
        <w:t xml:space="preserve"> </w:t>
      </w:r>
      <w:r>
        <w:t xml:space="preserve">No external funding declared at this time (to be confirmed before submission). No conflicts of interest.</w:t>
      </w:r>
    </w:p>
    <w:p>
      <w:pPr>
        <w:pStyle w:val="Compact"/>
        <w:numPr>
          <w:ilvl w:val="0"/>
          <w:numId w:val="1010"/>
        </w:numPr>
      </w:pPr>
      <w:r>
        <w:rPr>
          <w:b/>
          <w:bCs/>
        </w:rPr>
        <w:t xml:space="preserve">AI-assisted writing disclosure:</w:t>
      </w:r>
      <w:r>
        <w:t xml:space="preserve"> </w:t>
      </w:r>
      <w:r>
        <w:t xml:space="preserve">the manuscript was drafted with the assistance of GitHub Copilot in agent mode; all physics claims, results, citations, and code were independently verified by the author before submission. This disclosure follows COPE 2023 guidance.</w:t>
      </w:r>
    </w:p>
    <w:p>
      <w:r>
        <w:pict>
          <v:rect style="width:0;height:1.5pt" o:hralign="center" o:hrstd="t" o:hr="t"/>
        </w:pict>
      </w:r>
    </w:p>
    <w:bookmarkEnd w:id="41"/>
    <w:bookmarkStart w:id="51" w:name="references-verified-placeholders-marked"/>
    <w:p>
      <w:pPr>
        <w:pStyle w:val="Heading2"/>
      </w:pPr>
      <w:r>
        <w:t xml:space="preserve">8. References (verified;</w:t>
      </w:r>
      <w:r>
        <w:t xml:space="preserve"> </w:t>
      </w:r>
      <w:r>
        <w:rPr>
          <w:b/>
          <w:bCs/>
        </w:rPr>
        <w:t xml:space="preserve">placeholders marked</w:t>
      </w:r>
      <w:r>
        <w:t xml:space="preserve">)</w:t>
      </w:r>
    </w:p>
    <w:p>
      <w:pPr>
        <w:pStyle w:val="FirstParagraph"/>
      </w:pPr>
      <w:r>
        <w:t xml:space="preserve">Citation policy: every entry below carries a DOI. Bi₂O₃/HDPE, WO₃/polymer, and BaSO₄/polymer experimental nanocomposite papers will be added in v03 only after individual DOI verification through Crossref.</w:t>
      </w:r>
      <w:r>
        <w:t xml:space="preserve"> </w:t>
      </w:r>
      <w:r>
        <w:rPr>
          <w:b/>
          <w:bCs/>
        </w:rPr>
        <w:t xml:space="preserve">No invented references.</w:t>
      </w:r>
    </w:p>
    <w:p>
      <w:pPr>
        <w:pStyle w:val="Compact"/>
        <w:numPr>
          <w:ilvl w:val="0"/>
          <w:numId w:val="1011"/>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42">
        <w:r>
          <w:rPr>
            <w:rStyle w:val="Hyperlink"/>
          </w:rPr>
          <w:t xml:space="preserve">10.1016/S0168-9002(03)01368-8</w:t>
        </w:r>
      </w:hyperlink>
      <w:r>
        <w:t xml:space="preserve">.</w:t>
      </w:r>
    </w:p>
    <w:p>
      <w:pPr>
        <w:pStyle w:val="Compact"/>
        <w:numPr>
          <w:ilvl w:val="0"/>
          <w:numId w:val="1011"/>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43">
        <w:r>
          <w:rPr>
            <w:rStyle w:val="Hyperlink"/>
          </w:rPr>
          <w:t xml:space="preserve">10.1109/TNS.2006.869826</w:t>
        </w:r>
      </w:hyperlink>
      <w:r>
        <w:t xml:space="preserve">.</w:t>
      </w:r>
    </w:p>
    <w:p>
      <w:pPr>
        <w:pStyle w:val="Compact"/>
        <w:numPr>
          <w:ilvl w:val="0"/>
          <w:numId w:val="1011"/>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44">
        <w:r>
          <w:rPr>
            <w:rStyle w:val="Hyperlink"/>
          </w:rPr>
          <w:t xml:space="preserve">10.1016/j.nima.2016.06.125</w:t>
        </w:r>
      </w:hyperlink>
      <w:r>
        <w:t xml:space="preserve">.</w:t>
      </w:r>
    </w:p>
    <w:p>
      <w:pPr>
        <w:pStyle w:val="Compact"/>
        <w:numPr>
          <w:ilvl w:val="0"/>
          <w:numId w:val="1011"/>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45">
        <w:r>
          <w:rPr>
            <w:rStyle w:val="Hyperlink"/>
          </w:rPr>
          <w:t xml:space="preserve">10.1016/0020-708X(82)90248-4</w:t>
        </w:r>
      </w:hyperlink>
      <w:r>
        <w:t xml:space="preserve">.</w:t>
      </w:r>
    </w:p>
    <w:p>
      <w:pPr>
        <w:pStyle w:val="Compact"/>
        <w:numPr>
          <w:ilvl w:val="0"/>
          <w:numId w:val="1011"/>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46">
        <w:r>
          <w:rPr>
            <w:rStyle w:val="Hyperlink"/>
          </w:rPr>
          <w:t xml:space="preserve">10.1088/0031-9155/44/1/001</w:t>
        </w:r>
      </w:hyperlink>
      <w:r>
        <w:t xml:space="preserve">.</w:t>
      </w:r>
    </w:p>
    <w:p>
      <w:pPr>
        <w:pStyle w:val="Compact"/>
        <w:numPr>
          <w:ilvl w:val="0"/>
          <w:numId w:val="1011"/>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47">
        <w:r>
          <w:rPr>
            <w:rStyle w:val="Hyperlink"/>
          </w:rPr>
          <w:t xml:space="preserve">https://physics.nist.gov/xcom</w:t>
        </w:r>
      </w:hyperlink>
      <w:r>
        <w:t xml:space="preserve">.</w:t>
      </w:r>
    </w:p>
    <w:p>
      <w:pPr>
        <w:pStyle w:val="Compact"/>
        <w:numPr>
          <w:ilvl w:val="0"/>
          <w:numId w:val="1011"/>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11"/>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48">
        <w:r>
          <w:rPr>
            <w:rStyle w:val="Hyperlink"/>
          </w:rPr>
          <w:t xml:space="preserve">10.1118/1.3476457</w:t>
        </w:r>
      </w:hyperlink>
      <w:r>
        <w:t xml:space="preserve">.</w:t>
      </w:r>
    </w:p>
    <w:p>
      <w:pPr>
        <w:pStyle w:val="Compact"/>
        <w:numPr>
          <w:ilvl w:val="0"/>
          <w:numId w:val="1011"/>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49">
        <w:r>
          <w:rPr>
            <w:rStyle w:val="Hyperlink"/>
          </w:rPr>
          <w:t xml:space="preserve">10.1142/S1793962310000122</w:t>
        </w:r>
      </w:hyperlink>
      <w:r>
        <w:t xml:space="preserve">.</w:t>
      </w:r>
    </w:p>
    <w:p>
      <w:pPr>
        <w:pStyle w:val="Compact"/>
        <w:numPr>
          <w:ilvl w:val="0"/>
          <w:numId w:val="1011"/>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50">
        <w:r>
          <w:rPr>
            <w:rStyle w:val="Hyperlink"/>
          </w:rPr>
          <w:t xml:space="preserve">10.1016/j.nimb.2016.01.017</w:t>
        </w:r>
      </w:hyperlink>
      <w:r>
        <w:t xml:space="preserve">.</w:t>
      </w:r>
    </w:p>
    <w:p>
      <w:pPr>
        <w:pStyle w:val="Compact"/>
        <w:numPr>
          <w:ilvl w:val="0"/>
          <w:numId w:val="1011"/>
        </w:numPr>
      </w:pPr>
      <w:r>
        <w:t xml:space="preserve">ANSI/ANS-6.4.3-1991 (R2001),</w:t>
      </w:r>
      <w:r>
        <w:t xml:space="preserve"> </w:t>
      </w:r>
      <w:r>
        <w:rPr>
          <w:i/>
          <w:iCs/>
        </w:rPr>
        <w:t xml:space="preserve">Gamma-Ray Attenuation Coefficients and Buildup Factors for Engineering Materials</w:t>
      </w:r>
      <w:r>
        <w:t xml:space="preserve">, American Nuclear Society.</w:t>
      </w:r>
    </w:p>
    <w:p>
      <w:pPr>
        <w:pStyle w:val="Compact"/>
        <w:numPr>
          <w:ilvl w:val="0"/>
          <w:numId w:val="1011"/>
        </w:numPr>
      </w:pPr>
      <w:r>
        <w:t xml:space="preserve">ICRP Publication 116,</w:t>
      </w:r>
      <w:r>
        <w:t xml:space="preserve"> </w:t>
      </w:r>
      <w:r>
        <w:rPr>
          <w:i/>
          <w:iCs/>
        </w:rPr>
        <w:t xml:space="preserve">Conversion Coefficients for Radiological Protection Quantities for External Radiation Exposures</w:t>
      </w:r>
      <w:r>
        <w:t xml:space="preserve">, Ann. ICRP 40(2–5) (2010).</w:t>
      </w:r>
    </w:p>
    <w:p>
      <w:pPr>
        <w:pStyle w:val="Compact"/>
        <w:numPr>
          <w:ilvl w:val="0"/>
          <w:numId w:val="1011"/>
        </w:numPr>
      </w:pPr>
      <w:r>
        <w:rPr>
          <w:b/>
          <w:bCs/>
        </w:rPr>
        <w:t xml:space="preserve">[To be added — verified Bi₂O₃/HDPE experimental nanocomposite paper, by DOI lookup]</w:t>
      </w:r>
    </w:p>
    <w:p>
      <w:pPr>
        <w:pStyle w:val="Compact"/>
        <w:numPr>
          <w:ilvl w:val="0"/>
          <w:numId w:val="1011"/>
        </w:numPr>
      </w:pPr>
      <w:r>
        <w:rPr>
          <w:b/>
          <w:bCs/>
        </w:rPr>
        <w:t xml:space="preserve">[To be added — verified WO₃/polymer experimental nanocomposite paper, by DOI lookup]</w:t>
      </w:r>
    </w:p>
    <w:p>
      <w:pPr>
        <w:pStyle w:val="Compact"/>
        <w:numPr>
          <w:ilvl w:val="0"/>
          <w:numId w:val="1011"/>
        </w:numPr>
      </w:pPr>
      <w:r>
        <w:rPr>
          <w:b/>
          <w:bCs/>
        </w:rPr>
        <w:t xml:space="preserve">[To be added — verified BaSO₄/polymer experimental nanocomposite paper, by DOI lookup]</w:t>
      </w:r>
    </w:p>
    <w:p>
      <w:r>
        <w:pict>
          <v:rect style="width:0;height:1.5pt" o:hralign="center" o:hrstd="t" o:hr="t"/>
        </w:pict>
      </w:r>
    </w:p>
    <w:bookmarkEnd w:id="51"/>
    <w:bookmarkStart w:id="52" w:name="status"/>
    <w:p>
      <w:pPr>
        <w:pStyle w:val="Heading2"/>
      </w:pPr>
      <w:r>
        <w:t xml:space="preserve">9. Status</w:t>
      </w:r>
    </w:p>
    <w:p>
      <w:pPr>
        <w:pStyle w:val="FirstParagraph"/>
      </w:pPr>
      <w:r>
        <w:t xml:space="preserve">This is</w:t>
      </w:r>
      <w:r>
        <w:t xml:space="preserve"> </w:t>
      </w:r>
      <w:r>
        <w:rPr>
          <w:b/>
          <w:bCs/>
        </w:rPr>
        <w:t xml:space="preserve">manuscript v02</w:t>
      </w:r>
      <w:r>
        <w:t xml:space="preserve"> </w:t>
      </w:r>
      <w:r>
        <w:t xml:space="preserve">— a design and benchmark protocol containing</w:t>
      </w:r>
      <w:r>
        <w:t xml:space="preserve"> </w:t>
      </w:r>
      <w:r>
        <w:rPr>
          <w:b/>
          <w:bCs/>
        </w:rPr>
        <w:t xml:space="preserve">no fabricated numerical results</w:t>
      </w:r>
      <w:r>
        <w:t xml:space="preserve">. The next milestone is implementation of the benchmark harness (see Appendix A: Actionable Implementation Plan) and generation of v03 with full Results and Discussion sections.</w:t>
      </w:r>
    </w:p>
    <w:p>
      <w:r>
        <w:pict>
          <v:rect style="width:0;height:1.5pt" o:hralign="center" o:hrstd="t" o:hr="t"/>
        </w:pict>
      </w:r>
    </w:p>
    <w:bookmarkEnd w:id="52"/>
    <w:bookmarkEnd w:id="53"/>
    <w:bookmarkStart w:id="70" w:name="Xe79638d630f16fb080f75656183c0acafd69cc0"/>
    <w:p>
      <w:pPr>
        <w:pStyle w:val="Heading1"/>
      </w:pPr>
      <w:r>
        <w:t xml:space="preserve">Appendix A — Actionable Implementation Plan for the ShieldLab G4 Platform</w:t>
      </w:r>
    </w:p>
    <w:p>
      <w:pPr>
        <w:pStyle w:val="FirstParagraph"/>
      </w:pPr>
      <w:r>
        <w:t xml:space="preserve">This appendix is the engineering plan that converts the manuscript into reproducible results. Every work package (WP) maps to concrete file paths in the existing codebase, has clear acceptance criteria, and is sized for a single PR.</w:t>
      </w:r>
    </w:p>
    <w:bookmarkStart w:id="54" w:name="X59dbfec1bb9bc9d8399b63a638f97bfc03e2d9e"/>
    <w:p>
      <w:pPr>
        <w:pStyle w:val="Heading2"/>
      </w:pPr>
      <w:r>
        <w:t xml:space="preserve">A.1 Sprint structure (suggested 6-week cadence)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Duration</w:t>
            </w:r>
          </w:p>
        </w:tc>
        <w:tc>
          <w:tcPr/>
          <w:p>
            <w:pPr>
              <w:pStyle w:val="Compact"/>
            </w:pPr>
            <w:r>
              <w:t xml:space="preserve">Goal</w:t>
            </w:r>
          </w:p>
        </w:tc>
        <w:tc>
          <w:tcPr/>
          <w:p>
            <w:pPr>
              <w:pStyle w:val="Compact"/>
            </w:pPr>
            <w:r>
              <w:t xml:space="preserve">Manuscript sections unlocked</w:t>
            </w:r>
          </w:p>
        </w:tc>
      </w:tr>
      <w:tr>
        <w:tc>
          <w:tcPr/>
          <w:p>
            <w:pPr>
              <w:pStyle w:val="Compact"/>
            </w:pPr>
            <w:r>
              <w:t xml:space="preserve">S1</w:t>
            </w:r>
          </w:p>
        </w:tc>
        <w:tc>
          <w:tcPr/>
          <w:p>
            <w:pPr>
              <w:pStyle w:val="Compact"/>
            </w:pPr>
            <w:r>
              <w:t xml:space="preserve">Week 1</w:t>
            </w:r>
          </w:p>
        </w:tc>
        <w:tc>
          <w:tcPr/>
          <w:p>
            <w:pPr>
              <w:pStyle w:val="Compact"/>
            </w:pPr>
            <w:r>
              <w:t xml:space="preserve">Literature lock + density provenance</w:t>
            </w:r>
          </w:p>
        </w:tc>
        <w:tc>
          <w:tcPr/>
          <w:p>
            <w:pPr>
              <w:pStyle w:val="Compact"/>
            </w:pPr>
            <w:r>
              <w:t xml:space="preserve">§4.1 verified</w:t>
            </w:r>
          </w:p>
        </w:tc>
      </w:tr>
      <w:tr>
        <w:tc>
          <w:tcPr/>
          <w:p>
            <w:pPr>
              <w:pStyle w:val="Compact"/>
            </w:pPr>
            <w:r>
              <w:t xml:space="preserve">S2</w:t>
            </w:r>
          </w:p>
        </w:tc>
        <w:tc>
          <w:tcPr/>
          <w:p>
            <w:pPr>
              <w:pStyle w:val="Compact"/>
            </w:pPr>
            <w:r>
              <w:t xml:space="preserve">Weeks 2–3</w:t>
            </w:r>
          </w:p>
        </w:tc>
        <w:tc>
          <w:tcPr/>
          <w:p>
            <w:pPr>
              <w:pStyle w:val="Compact"/>
            </w:pPr>
            <w:r>
              <w:t xml:space="preserve">Implement nano-composite material command (regime A++) + RVE explicit geometry (regime B)</w:t>
            </w:r>
          </w:p>
        </w:tc>
        <w:tc>
          <w:tcPr/>
          <w:p>
            <w:pPr>
              <w:pStyle w:val="Compact"/>
            </w:pPr>
            <w:r>
              <w:t xml:space="preserve">§3.1, §3.2 runnable</w:t>
            </w:r>
          </w:p>
        </w:tc>
      </w:tr>
      <w:tr>
        <w:tc>
          <w:tcPr/>
          <w:p>
            <w:pPr>
              <w:pStyle w:val="Compact"/>
            </w:pPr>
            <w:r>
              <w:t xml:space="preserve">S3</w:t>
            </w:r>
          </w:p>
        </w:tc>
        <w:tc>
          <w:tcPr/>
          <w:p>
            <w:pPr>
              <w:pStyle w:val="Compact"/>
            </w:pPr>
            <w:r>
              <w:t xml:space="preserve">Week 3</w:t>
            </w:r>
          </w:p>
        </w:tc>
        <w:tc>
          <w:tcPr/>
          <w:p>
            <w:pPr>
              <w:pStyle w:val="Compact"/>
            </w:pPr>
            <w:r>
              <w:t xml:space="preserve">Implement</w:t>
            </w:r>
            <w:r>
              <w:t xml:space="preserve"> </w:t>
            </w:r>
            <w:r>
              <w:rPr>
                <w:rStyle w:val="VerbatimChar"/>
              </w:rPr>
              <w:t xml:space="preserve">G4MultiUnion</w:t>
            </w:r>
            <w:r>
              <w:t xml:space="preserve"> </w:t>
            </w:r>
            <w:r>
              <w:t xml:space="preserve">mode (regime C) + benchmark harness</w:t>
            </w:r>
          </w:p>
        </w:tc>
        <w:tc>
          <w:tcPr/>
          <w:p>
            <w:pPr>
              <w:pStyle w:val="Compact"/>
            </w:pPr>
            <w:r>
              <w:t xml:space="preserve">§3.3, §4 runnable</w:t>
            </w:r>
          </w:p>
        </w:tc>
      </w:tr>
      <w:tr>
        <w:tc>
          <w:tcPr/>
          <w:p>
            <w:pPr>
              <w:pStyle w:val="Compact"/>
            </w:pPr>
            <w:r>
              <w:t xml:space="preserve">S4</w:t>
            </w:r>
          </w:p>
        </w:tc>
        <w:tc>
          <w:tcPr/>
          <w:p>
            <w:pPr>
              <w:pStyle w:val="Compact"/>
            </w:pPr>
            <w:r>
              <w:t xml:space="preserve">Week 4</w:t>
            </w:r>
          </w:p>
        </w:tc>
        <w:tc>
          <w:tcPr/>
          <w:p>
            <w:pPr>
              <w:pStyle w:val="Compact"/>
            </w:pPr>
            <w:r>
              <w:t xml:space="preserve">Run full benchmark matrix (10 seeds × all materials × all energies × all regimes)</w:t>
            </w:r>
          </w:p>
        </w:tc>
        <w:tc>
          <w:tcPr/>
          <w:p>
            <w:pPr>
              <w:pStyle w:val="Compact"/>
            </w:pPr>
            <w:r>
              <w:t xml:space="preserve">Raw §5 data</w:t>
            </w:r>
          </w:p>
        </w:tc>
      </w:tr>
      <w:tr>
        <w:tc>
          <w:tcPr/>
          <w:p>
            <w:pPr>
              <w:pStyle w:val="Compact"/>
            </w:pPr>
            <w:r>
              <w:t xml:space="preserve">S5</w:t>
            </w:r>
          </w:p>
        </w:tc>
        <w:tc>
          <w:tcPr/>
          <w:p>
            <w:pPr>
              <w:pStyle w:val="Compact"/>
            </w:pPr>
            <w:r>
              <w:t xml:space="preserve">Week 5</w:t>
            </w:r>
          </w:p>
        </w:tc>
        <w:tc>
          <w:tcPr/>
          <w:p>
            <w:pPr>
              <w:pStyle w:val="Compact"/>
            </w:pPr>
            <w:r>
              <w:t xml:space="preserve">Statistical analysis, regime map fitting, figure generation</w:t>
            </w:r>
          </w:p>
        </w:tc>
        <w:tc>
          <w:tcPr/>
          <w:p>
            <w:pPr>
              <w:pStyle w:val="Compact"/>
            </w:pPr>
            <w:r>
              <w:t xml:space="preserve">§4.5, §5, §6</w:t>
            </w:r>
          </w:p>
        </w:tc>
      </w:tr>
      <w:tr>
        <w:tc>
          <w:tcPr/>
          <w:p>
            <w:pPr>
              <w:pStyle w:val="Compact"/>
            </w:pPr>
            <w:r>
              <w:t xml:space="preserve">S6</w:t>
            </w:r>
          </w:p>
        </w:tc>
        <w:tc>
          <w:tcPr/>
          <w:p>
            <w:pPr>
              <w:pStyle w:val="Compact"/>
            </w:pPr>
            <w:r>
              <w:t xml:space="preserve">Week 6</w:t>
            </w:r>
          </w:p>
        </w:tc>
        <w:tc>
          <w:tcPr/>
          <w:p>
            <w:pPr>
              <w:pStyle w:val="Compact"/>
            </w:pPr>
            <w:r>
              <w:t xml:space="preserve">Manuscript v03 (Results + Discussion), supplementary materials, submission package</w:t>
            </w:r>
          </w:p>
        </w:tc>
        <w:tc>
          <w:tcPr/>
          <w:p>
            <w:pPr>
              <w:pStyle w:val="Compact"/>
            </w:pPr>
            <w:r>
              <w:t xml:space="preserve">Full draft</w:t>
            </w:r>
          </w:p>
        </w:tc>
      </w:tr>
    </w:tbl>
    <w:bookmarkEnd w:id="54"/>
    <w:bookmarkStart w:id="66" w:name="X20e229b3a09b606cf68b599fe101f6d8a11d4bf"/>
    <w:p>
      <w:pPr>
        <w:pStyle w:val="Heading2"/>
      </w:pPr>
      <w:r>
        <w:t xml:space="preserve">A.2 Work packages (sized for individual PRs)</w:t>
      </w:r>
    </w:p>
    <w:bookmarkStart w:id="55" w:name="X2629de2c7f6faabe1535122f10508820a4b30ec"/>
    <w:p>
      <w:pPr>
        <w:pStyle w:val="Heading3"/>
      </w:pPr>
      <w:r>
        <w:t xml:space="preserve">WP1 — Literature lock and density provenance ([sprint S1])</w:t>
      </w:r>
    </w:p>
    <w:p>
      <w:pPr>
        <w:pStyle w:val="Compact"/>
        <w:numPr>
          <w:ilvl w:val="0"/>
          <w:numId w:val="1012"/>
        </w:numPr>
      </w:pPr>
      <w:r>
        <w:rPr>
          <w:b/>
          <w:bCs/>
        </w:rPr>
        <w:t xml:space="preserve">Files:</w:t>
      </w:r>
    </w:p>
    <w:p>
      <w:pPr>
        <w:pStyle w:val="Compact"/>
        <w:numPr>
          <w:ilvl w:val="1"/>
          <w:numId w:val="1013"/>
        </w:numPr>
      </w:pPr>
      <w:r>
        <w:rPr>
          <w:rStyle w:val="VerbatimChar"/>
        </w:rPr>
        <w:t xml:space="preserve">docs/validation/paper3_nanogeant4/references_verified.bib</w:t>
      </w:r>
      <w:r>
        <w:t xml:space="preserve"> </w:t>
      </w:r>
      <w:r>
        <w:t xml:space="preserve">(new) — BibTeX with DOI for every cite.</w:t>
      </w:r>
    </w:p>
    <w:p>
      <w:pPr>
        <w:pStyle w:val="Compact"/>
        <w:numPr>
          <w:ilvl w:val="1"/>
          <w:numId w:val="1013"/>
        </w:numPr>
      </w:pPr>
      <w:r>
        <w:rPr>
          <w:rStyle w:val="VerbatimChar"/>
        </w:rPr>
        <w:t xml:space="preserve">docs/validation/paper3_nanogeant4/materials_density_provenance.csv</w:t>
      </w:r>
      <w:r>
        <w:t xml:space="preserve"> </w:t>
      </w:r>
      <w:r>
        <w:t xml:space="preserve">(new) — one row per (material,</w:t>
      </w:r>
      <w:r>
        <w:t xml:space="preserve"> </w:t>
      </w:r>
      <m:oMath>
        <m:sSub>
          <m:e>
            <m:r>
              <m:t>w</m:t>
            </m:r>
          </m:e>
          <m:sub>
            <m:r>
              <m:t>f</m:t>
            </m:r>
          </m:sub>
        </m:sSub>
      </m:oMath>
      <w:r>
        <w:t xml:space="preserve">) with</w:t>
      </w:r>
      <w:r>
        <w:t xml:space="preserve"> </w:t>
      </w:r>
      <w:r>
        <w:rPr>
          <w:rStyle w:val="VerbatimChar"/>
        </w:rPr>
        <w:t xml:space="preserve">rho_value</w:t>
      </w:r>
      <w:r>
        <w:t xml:space="preserve">,</w:t>
      </w:r>
      <w:r>
        <w:t xml:space="preserve"> </w:t>
      </w:r>
      <w:r>
        <w:rPr>
          <w:rStyle w:val="VerbatimChar"/>
        </w:rPr>
        <w:t xml:space="preserve">rho_source</w:t>
      </w:r>
      <w:r>
        <w:t xml:space="preserve"> </w:t>
      </w:r>
      <w:r>
        <w:t xml:space="preserve">∈ {measured, volume_rule, mass_rule},</w:t>
      </w:r>
      <w:r>
        <w:t xml:space="preserve"> </w:t>
      </w:r>
      <w:r>
        <w:rPr>
          <w:rStyle w:val="VerbatimChar"/>
        </w:rPr>
        <w:t xml:space="preserve">doi_or_lab_report</w:t>
      </w:r>
      <w:r>
        <w:t xml:space="preserve">.</w:t>
      </w:r>
    </w:p>
    <w:p>
      <w:pPr>
        <w:pStyle w:val="Compact"/>
        <w:numPr>
          <w:ilvl w:val="0"/>
          <w:numId w:val="1012"/>
        </w:numPr>
      </w:pPr>
      <w:r>
        <w:rPr>
          <w:b/>
          <w:bCs/>
        </w:rPr>
        <w:t xml:space="preserve">Acceptance:</w:t>
      </w:r>
      <w:r>
        <w:t xml:space="preserve"> </w:t>
      </w:r>
      <w:r>
        <w:t xml:space="preserve">every row has a DOI or internal lab-report identifier; no</w:t>
      </w:r>
      <w:r>
        <w:t xml:space="preserve"> </w:t>
      </w:r>
      <w:r>
        <w:rPr>
          <w:rStyle w:val="VerbatimChar"/>
        </w:rPr>
        <w:t xml:space="preserve">[verify]</w:t>
      </w:r>
      <w:r>
        <w:t xml:space="preserve"> </w:t>
      </w:r>
      <w:r>
        <w:t xml:space="preserve">tags remain.</w:t>
      </w:r>
    </w:p>
    <w:p>
      <w:pPr>
        <w:pStyle w:val="Compact"/>
        <w:numPr>
          <w:ilvl w:val="0"/>
          <w:numId w:val="1012"/>
        </w:numPr>
      </w:pPr>
      <w:r>
        <w:rPr>
          <w:b/>
          <w:bCs/>
        </w:rPr>
        <w:t xml:space="preserve">Tools:</w:t>
      </w:r>
      <w:r>
        <w:t xml:space="preserve"> </w:t>
      </w:r>
      <w:r>
        <w:t xml:space="preserve">Crossref API for DOI verification (script</w:t>
      </w:r>
      <w:r>
        <w:t xml:space="preserve"> </w:t>
      </w:r>
      <w:r>
        <w:rPr>
          <w:rStyle w:val="VerbatimChar"/>
        </w:rPr>
        <w:t xml:space="preserve">tools/verify_bib_dois.py</w:t>
      </w:r>
      <w:r>
        <w:t xml:space="preserve"> </w:t>
      </w:r>
      <w:r>
        <w:t xml:space="preserve">— proposed new).</w:t>
      </w:r>
    </w:p>
    <w:bookmarkEnd w:id="55"/>
    <w:bookmarkStart w:id="58" w:name="Xfd31a7fa58ea6c448524a49fbdf91537d2dd721"/>
    <w:p>
      <w:pPr>
        <w:pStyle w:val="Heading3"/>
      </w:pPr>
      <w:r>
        <w:t xml:space="preserve">WP2 — Nano-composite material command (regime A++) ([sprint S2])</w:t>
      </w:r>
    </w:p>
    <w:p>
      <w:pPr>
        <w:pStyle w:val="Compact"/>
        <w:numPr>
          <w:ilvl w:val="0"/>
          <w:numId w:val="1014"/>
        </w:numPr>
      </w:pPr>
      <w:r>
        <w:rPr>
          <w:b/>
          <w:bCs/>
        </w:rPr>
        <w:t xml:space="preserve">New macro command:</w:t>
      </w:r>
      <w:r>
        <w:t xml:space="preserve"> </w:t>
      </w:r>
      <w:r>
        <w:rPr>
          <w:rStyle w:val="VerbatimChar"/>
        </w:rPr>
        <w:t xml:space="preserve">/shieldlab/material/addNanoComposite NAME MATRIX_FORMULA MATRIX_RHO FILLER_FORMULA FILLER_RHO LOADING_WT POROSITY</w:t>
      </w:r>
      <w:r>
        <w:t xml:space="preserve">.</w:t>
      </w:r>
    </w:p>
    <w:p>
      <w:pPr>
        <w:pStyle w:val="Compact"/>
        <w:numPr>
          <w:ilvl w:val="0"/>
          <w:numId w:val="1014"/>
        </w:numPr>
      </w:pPr>
      <w:r>
        <w:rPr>
          <w:b/>
          <w:bCs/>
        </w:rPr>
        <w:t xml:space="preserve">Files to modify:</w:t>
      </w:r>
    </w:p>
    <w:p>
      <w:pPr>
        <w:pStyle w:val="Compact"/>
        <w:numPr>
          <w:ilvl w:val="1"/>
          <w:numId w:val="1015"/>
        </w:numPr>
      </w:pPr>
      <w:hyperlink r:id="rId18">
        <w:r>
          <w:rPr>
            <w:rStyle w:val="Hyperlink"/>
          </w:rPr>
          <w:t xml:space="preserve">src/MaterialRegistry.cc</w:t>
        </w:r>
      </w:hyperlink>
      <w:r>
        <w:t xml:space="preserve"> </w:t>
      </w:r>
      <w:r>
        <w:t xml:space="preserve">— add</w:t>
      </w:r>
      <w:r>
        <w:t xml:space="preserve"> </w:t>
      </w:r>
      <w:r>
        <w:rPr>
          <w:rStyle w:val="VerbatimChar"/>
        </w:rPr>
        <w:t xml:space="preserve">AddNanoCompositeCommand(spec)</w:t>
      </w:r>
      <w:r>
        <w:t xml:space="preserve"> </w:t>
      </w:r>
      <w:r>
        <w:t xml:space="preserve">helper that expands matrix + filler formulae using a thin C++ port of</w:t>
      </w:r>
      <w:r>
        <w:t xml:space="preserve"> </w:t>
      </w:r>
      <w:r>
        <w:rPr>
          <w:rStyle w:val="VerbatimChar"/>
        </w:rPr>
        <w:t xml:space="preserve">formula_to_mass_fractions</w:t>
      </w:r>
      <w:r>
        <w:t xml:space="preserve"> </w:t>
      </w:r>
      <w:r>
        <w:t xml:space="preserve">(or shells out to a JSON manifest written by the Python layer).</w:t>
      </w:r>
    </w:p>
    <w:p>
      <w:pPr>
        <w:pStyle w:val="Compact"/>
        <w:numPr>
          <w:ilvl w:val="1"/>
          <w:numId w:val="1015"/>
        </w:numPr>
      </w:pPr>
      <w:hyperlink r:id="rId56">
        <w:r>
          <w:rPr>
            <w:rStyle w:val="Hyperlink"/>
          </w:rPr>
          <w:t xml:space="preserve">include/MaterialRegistry.hh</w:t>
        </w:r>
      </w:hyperlink>
      <w:r>
        <w:t xml:space="preserve"> </w:t>
      </w:r>
      <w:r>
        <w:t xml:space="preserve">— declare the new method.</w:t>
      </w:r>
    </w:p>
    <w:p>
      <w:pPr>
        <w:pStyle w:val="Compact"/>
        <w:numPr>
          <w:ilvl w:val="1"/>
          <w:numId w:val="1015"/>
        </w:numPr>
      </w:pPr>
      <w:hyperlink r:id="rId57">
        <w:r>
          <w:rPr>
            <w:rStyle w:val="Hyperlink"/>
          </w:rPr>
          <w:t xml:space="preserve">src/DetectorMessenger.cc</w:t>
        </w:r>
      </w:hyperlink>
      <w:r>
        <w:t xml:space="preserve"> </w:t>
      </w:r>
      <w:r>
        <w:t xml:space="preserve">— register the new UI command.</w:t>
      </w:r>
    </w:p>
    <w:p>
      <w:pPr>
        <w:pStyle w:val="Compact"/>
        <w:numPr>
          <w:ilvl w:val="1"/>
          <w:numId w:val="1015"/>
        </w:numPr>
      </w:pPr>
      <w:hyperlink r:id="rId19">
        <w:r>
          <w:rPr>
            <w:rStyle w:val="Hyperlink"/>
          </w:rPr>
          <w:t xml:space="preserve">python/shieldlab/core/materials.py</w:t>
        </w:r>
      </w:hyperlink>
      <w:r>
        <w:t xml:space="preserve"> </w:t>
      </w:r>
      <w:r>
        <w:t xml:space="preserve">— add</w:t>
      </w:r>
      <w:r>
        <w:t xml:space="preserve"> </w:t>
      </w:r>
      <w:r>
        <w:rPr>
          <w:rStyle w:val="VerbatimChar"/>
        </w:rPr>
        <w:t xml:space="preserve">nano_composite_mass_fractions(matrix, filler, w_f, porosity)</w:t>
      </w:r>
      <w:r>
        <w:t xml:space="preserve"> </w:t>
      </w:r>
      <w:r>
        <w:t xml:space="preserve">returning the elemental table + effective density; this is the single source of truth used by Python analytics and consumed by C++ via a generated macro.</w:t>
      </w:r>
    </w:p>
    <w:p>
      <w:pPr>
        <w:pStyle w:val="Compact"/>
        <w:numPr>
          <w:ilvl w:val="0"/>
          <w:numId w:val="1014"/>
        </w:numPr>
      </w:pPr>
      <w:r>
        <w:rPr>
          <w:b/>
          <w:bCs/>
        </w:rPr>
        <w:t xml:space="preserve">Acceptance:</w:t>
      </w:r>
    </w:p>
    <w:p>
      <w:pPr>
        <w:pStyle w:val="Compact"/>
        <w:numPr>
          <w:ilvl w:val="1"/>
          <w:numId w:val="1016"/>
        </w:numPr>
      </w:pPr>
      <w:r>
        <w:t xml:space="preserve">New unit test</w:t>
      </w:r>
      <w:r>
        <w:t xml:space="preserve"> </w:t>
      </w:r>
      <w:r>
        <w:rPr>
          <w:rStyle w:val="VerbatimChar"/>
        </w:rPr>
        <w:t xml:space="preserve">tests/test_nano_composite_material.py</w:t>
      </w:r>
      <w:r>
        <w:t xml:space="preserve"> </w:t>
      </w:r>
      <w:r>
        <w:t xml:space="preserve">constructs each of M1–M11 and asserts elemental mass fractions sum to 1.0 ± 1e-9 and that</w:t>
      </w:r>
      <w:r>
        <w:t xml:space="preserve"> </w:t>
      </w:r>
      <m:oMath>
        <m:sSub>
          <m:e>
            <m:r>
              <m:t>ρ</m:t>
            </m:r>
          </m:e>
          <m:sub>
            <m:r>
              <m:rPr>
                <m:nor/>
                <m:sty m:val="p"/>
              </m:rPr>
              <m:t>eff</m:t>
            </m:r>
          </m:sub>
        </m:sSub>
      </m:oMath>
      <w:r>
        <w:t xml:space="preserve"> </w:t>
      </w:r>
      <w:r>
        <w:t xml:space="preserve">matches the analytical formulae.</w:t>
      </w:r>
    </w:p>
    <w:p>
      <w:pPr>
        <w:pStyle w:val="Compact"/>
        <w:numPr>
          <w:ilvl w:val="1"/>
          <w:numId w:val="1016"/>
        </w:numPr>
      </w:pPr>
      <w:r>
        <w:t xml:space="preserve">Existing 188-pass test gate unchanged.</w:t>
      </w:r>
    </w:p>
    <w:bookmarkEnd w:id="58"/>
    <w:bookmarkStart w:id="59" w:name="X8ba98ca8c2677ff9c6ee064156f978fc7f3d616"/>
    <w:p>
      <w:pPr>
        <w:pStyle w:val="Heading3"/>
      </w:pPr>
      <w:r>
        <w:t xml:space="preserve">WP3 — RVE explicit geometry (regime B) ([sprint S2])</w:t>
      </w:r>
    </w:p>
    <w:p>
      <w:pPr>
        <w:pStyle w:val="Compact"/>
        <w:numPr>
          <w:ilvl w:val="0"/>
          <w:numId w:val="1017"/>
        </w:numPr>
      </w:pPr>
      <w:r>
        <w:rPr>
          <w:b/>
          <w:bCs/>
        </w:rPr>
        <w:t xml:space="preserve">New C++ files:</w:t>
      </w:r>
    </w:p>
    <w:p>
      <w:pPr>
        <w:pStyle w:val="Compact"/>
        <w:numPr>
          <w:ilvl w:val="1"/>
          <w:numId w:val="1018"/>
        </w:numPr>
      </w:pPr>
      <w:r>
        <w:rPr>
          <w:rStyle w:val="VerbatimChar"/>
        </w:rPr>
        <w:t xml:space="preserve">include/NanoParticleParameterisation.hh</w:t>
      </w:r>
    </w:p>
    <w:p>
      <w:pPr>
        <w:pStyle w:val="Compact"/>
        <w:numPr>
          <w:ilvl w:val="1"/>
          <w:numId w:val="1018"/>
        </w:numPr>
      </w:pPr>
      <w:r>
        <w:rPr>
          <w:rStyle w:val="VerbatimChar"/>
        </w:rPr>
        <w:t xml:space="preserve">src/NanoParticleParameterisation.cc</w:t>
      </w:r>
      <w:r>
        <w:t xml:space="preserve"> </w:t>
      </w:r>
      <w:r>
        <w:t xml:space="preserve">— implements</w:t>
      </w:r>
      <w:r>
        <w:t xml:space="preserve"> </w:t>
      </w:r>
      <w:r>
        <w:rPr>
          <w:rStyle w:val="VerbatimChar"/>
        </w:rPr>
        <w:t xml:space="preserve">G4VPVParameterisation</w:t>
      </w:r>
      <w:r>
        <w:t xml:space="preserve">; positions seeded by RSA with periodic boundaries; radii sampled from log-normal truncated distribution.</w:t>
      </w:r>
    </w:p>
    <w:p>
      <w:pPr>
        <w:pStyle w:val="Compact"/>
        <w:numPr>
          <w:ilvl w:val="0"/>
          <w:numId w:val="1017"/>
        </w:numPr>
      </w:pPr>
      <w:r>
        <w:rPr>
          <w:b/>
          <w:bCs/>
        </w:rPr>
        <w:t xml:space="preserve">New macro command:</w:t>
      </w:r>
      <w:r>
        <w:t xml:space="preserve"> </w:t>
      </w:r>
      <w:r>
        <w:rPr>
          <w:rStyle w:val="VerbatimChar"/>
        </w:rPr>
        <w:t xml:space="preserve">/shieldlab/rve/buildExplicit NAME MATRIX_MAT FILLER_MAT VOL_FRAC R_MEAN_NM R_SIGMA RVE_SIDE_UM N_CAP SEED</w:t>
      </w:r>
      <w:r>
        <w:t xml:space="preserve">.</w:t>
      </w:r>
    </w:p>
    <w:p>
      <w:pPr>
        <w:pStyle w:val="Compact"/>
        <w:numPr>
          <w:ilvl w:val="0"/>
          <w:numId w:val="1017"/>
        </w:numPr>
      </w:pPr>
      <w:r>
        <w:rPr>
          <w:b/>
          <w:bCs/>
        </w:rPr>
        <w:t xml:space="preserve">Hard cap:</w:t>
      </w:r>
      <w:r>
        <w:t xml:space="preserve"> </w:t>
      </w:r>
      <w:r>
        <w:t xml:space="preserve">the parameterisation refuses to build with</w:t>
      </w:r>
      <w:r>
        <w:t xml:space="preserve"> </w:t>
      </w:r>
      <m:oMath>
        <m:r>
          <m:t>N</m:t>
        </m:r>
        <m:r>
          <m:rPr>
            <m:sty m:val="p"/>
          </m:rPr>
          <m:t>&gt;</m:t>
        </m:r>
        <m:sSub>
          <m:e>
            <m:r>
              <m:t>N</m:t>
            </m:r>
          </m:e>
          <m:sub>
            <m:r>
              <m:rPr>
                <m:nor/>
                <m:sty m:val="p"/>
              </m:rPr>
              <m:t>cap, default</m:t>
            </m:r>
          </m:sub>
        </m:sSub>
        <m:r>
          <m:rPr>
            <m:sty m:val="p"/>
          </m:rPr>
          <m:t>=</m:t>
        </m:r>
        <m:r>
          <m:t>5</m:t>
        </m:r>
        <m:r>
          <m:rPr>
            <m:sty m:val="p"/>
          </m:rPr>
          <m:t>×</m:t>
        </m:r>
        <m:sSup>
          <m:e>
            <m:r>
              <m:t>10</m:t>
            </m:r>
          </m:e>
          <m:sup>
            <m:r>
              <m:t>4</m:t>
            </m:r>
          </m:sup>
        </m:sSup>
      </m:oMath>
      <w:r>
        <w:t xml:space="preserve"> </w:t>
      </w:r>
      <w:r>
        <w:t xml:space="preserve">unless</w:t>
      </w:r>
      <w:r>
        <w:t xml:space="preserve"> </w:t>
      </w:r>
      <w:r>
        <w:rPr>
          <w:rStyle w:val="VerbatimChar"/>
        </w:rPr>
        <w:t xml:space="preserve">/shieldlab/rve/overrideCap</w:t>
      </w:r>
      <w:r>
        <w:t xml:space="preserve"> </w:t>
      </w:r>
      <w:r>
        <w:t xml:space="preserve">is set — protects against accidental memory blow-up.</w:t>
      </w:r>
    </w:p>
    <w:p>
      <w:pPr>
        <w:pStyle w:val="Compact"/>
        <w:numPr>
          <w:ilvl w:val="0"/>
          <w:numId w:val="1017"/>
        </w:numPr>
      </w:pPr>
      <w:r>
        <w:rPr>
          <w:b/>
          <w:bCs/>
        </w:rPr>
        <w:t xml:space="preserve">Files to modify:</w:t>
      </w:r>
      <w:r>
        <w:t xml:space="preserve"> </w:t>
      </w:r>
      <w:hyperlink r:id="rId20">
        <w:r>
          <w:rPr>
            <w:rStyle w:val="Hyperlink"/>
          </w:rPr>
          <w:t xml:space="preserve">src/DetectorConstruction.cc</w:t>
        </w:r>
      </w:hyperlink>
      <w:r>
        <w:t xml:space="preserve"> </w:t>
      </w:r>
      <w:r>
        <w:t xml:space="preserve">— add</w:t>
      </w:r>
      <w:r>
        <w:t xml:space="preserve"> </w:t>
      </w:r>
      <w:r>
        <w:rPr>
          <w:rStyle w:val="VerbatimChar"/>
        </w:rPr>
        <w:t xml:space="preserve">BuildRVE()</w:t>
      </w:r>
      <w:r>
        <w:t xml:space="preserve"> </w:t>
      </w:r>
      <w:r>
        <w:t xml:space="preserve">branch alternative to the slab branch; switched by</w:t>
      </w:r>
      <w:r>
        <w:t xml:space="preserve"> </w:t>
      </w:r>
      <w:r>
        <w:rPr>
          <w:rStyle w:val="VerbatimChar"/>
        </w:rPr>
        <w:t xml:space="preserve">/shieldlab/geometry/mode {slab|rve}</w:t>
      </w:r>
      <w:r>
        <w:t xml:space="preserve">.</w:t>
      </w:r>
    </w:p>
    <w:p>
      <w:pPr>
        <w:pStyle w:val="Compact"/>
        <w:numPr>
          <w:ilvl w:val="0"/>
          <w:numId w:val="1017"/>
        </w:numPr>
      </w:pPr>
      <w:r>
        <w:rPr>
          <w:b/>
          <w:bCs/>
        </w:rPr>
        <w:t xml:space="preserve">Acceptance:</w:t>
      </w:r>
      <w:r>
        <w:t xml:space="preserve"> </w:t>
      </w:r>
      <w:r>
        <w:t xml:space="preserve">test</w:t>
      </w:r>
      <w:r>
        <w:t xml:space="preserve"> </w:t>
      </w:r>
      <w:r>
        <w:rPr>
          <w:rStyle w:val="VerbatimChar"/>
        </w:rPr>
        <w:t xml:space="preserve">tests/test_rve_geometry.py</w:t>
      </w:r>
      <w:r>
        <w:t xml:space="preserve"> </w:t>
      </w:r>
      <w:r>
        <w:t xml:space="preserve">builds an RVE with</w:t>
      </w:r>
      <w:r>
        <w:t xml:space="preserve"> </w:t>
      </w:r>
      <m:oMath>
        <m:sSub>
          <m:e>
            <m:r>
              <m:t>ϕ</m:t>
            </m:r>
          </m:e>
          <m:sub>
            <m:r>
              <m:t>f</m:t>
            </m:r>
          </m:sub>
        </m:sSub>
        <m:r>
          <m:rPr>
            <m:sty m:val="p"/>
          </m:rPr>
          <m:t>=</m:t>
        </m:r>
        <m:r>
          <m:t>0.05</m:t>
        </m:r>
      </m:oMath>
      <w:r>
        <w:t xml:space="preserve">,</w:t>
      </w:r>
      <w:r>
        <w:t xml:space="preserve"> </w:t>
      </w:r>
      <m:oMath>
        <m:r>
          <m:t>r</m:t>
        </m:r>
        <m:r>
          <m:rPr>
            <m:sty m:val="p"/>
          </m:rPr>
          <m:t>=</m:t>
        </m:r>
        <m:r>
          <m:t>50</m:t>
        </m:r>
      </m:oMath>
      <w:r>
        <w:t xml:space="preserve"> </w:t>
      </w:r>
      <w:r>
        <w:t xml:space="preserve">nm, side 1 µm, verifies particle count ∈ expected RSA range, no overlaps (sanity check), Geant4 reports zero geometry errors.</w:t>
      </w:r>
    </w:p>
    <w:bookmarkEnd w:id="59"/>
    <w:bookmarkStart w:id="60" w:name="Xe559bcc44acc76979716450109516f6389a005a"/>
    <w:p>
      <w:pPr>
        <w:pStyle w:val="Heading3"/>
      </w:pPr>
      <w:r>
        <w:t xml:space="preserve">WP4 —</w:t>
      </w:r>
      <w:r>
        <w:t xml:space="preserve"> </w:t>
      </w:r>
      <w:r>
        <w:rPr>
          <w:rStyle w:val="VerbatimChar"/>
        </w:rPr>
        <w:t xml:space="preserve">G4MultiUnion</w:t>
      </w:r>
      <w:r>
        <w:t xml:space="preserve"> </w:t>
      </w:r>
      <w:r>
        <w:t xml:space="preserve">cluster mode (regime C) ([sprint S3])</w:t>
      </w:r>
    </w:p>
    <w:p>
      <w:pPr>
        <w:pStyle w:val="Compact"/>
        <w:numPr>
          <w:ilvl w:val="0"/>
          <w:numId w:val="1019"/>
        </w:numPr>
      </w:pPr>
      <w:r>
        <w:t xml:space="preserve">Add</w:t>
      </w:r>
      <w:r>
        <w:t xml:space="preserve"> </w:t>
      </w:r>
      <w:r>
        <w:rPr>
          <w:rStyle w:val="VerbatimChar"/>
        </w:rPr>
        <w:t xml:space="preserve">BuildRVEMultiUnion()</w:t>
      </w:r>
      <w:r>
        <w:t xml:space="preserve"> </w:t>
      </w:r>
      <w:r>
        <w:t xml:space="preserve">in</w:t>
      </w:r>
      <w:r>
        <w:t xml:space="preserve"> </w:t>
      </w:r>
      <w:hyperlink r:id="rId20">
        <w:r>
          <w:rPr>
            <w:rStyle w:val="Hyperlink"/>
          </w:rPr>
          <w:t xml:space="preserve">src/DetectorConstruction.cc</w:t>
        </w:r>
      </w:hyperlink>
      <w:r>
        <w:t xml:space="preserve"> </w:t>
      </w:r>
      <w:r>
        <w:t xml:space="preserve">that takes the same RSA particle list as WP3 but assembles them into a</w:t>
      </w:r>
      <w:r>
        <w:t xml:space="preserve"> </w:t>
      </w:r>
      <w:r>
        <w:rPr>
          <w:rStyle w:val="VerbatimChar"/>
        </w:rPr>
        <w:t xml:space="preserve">G4MultiUnion</w:t>
      </w:r>
      <w:r>
        <w:t xml:space="preserve"> </w:t>
      </w:r>
      <w:r>
        <w:t xml:space="preserve">instead of parameterised placements.</w:t>
      </w:r>
    </w:p>
    <w:p>
      <w:pPr>
        <w:pStyle w:val="Compact"/>
        <w:numPr>
          <w:ilvl w:val="0"/>
          <w:numId w:val="1019"/>
        </w:numPr>
      </w:pPr>
      <w:r>
        <w:rPr>
          <w:b/>
          <w:bCs/>
        </w:rPr>
        <w:t xml:space="preserve">Macro:</w:t>
      </w:r>
      <w:r>
        <w:t xml:space="preserve"> </w:t>
      </w:r>
      <w:r>
        <w:rPr>
          <w:rStyle w:val="VerbatimChar"/>
        </w:rPr>
        <w:t xml:space="preserve">/shieldlab/rve/buildMultiUnion ...</w:t>
      </w:r>
      <w:r>
        <w:t xml:space="preserve"> </w:t>
      </w:r>
      <w:r>
        <w:t xml:space="preserve">(same args as WP3).</w:t>
      </w:r>
    </w:p>
    <w:p>
      <w:pPr>
        <w:pStyle w:val="Compact"/>
        <w:numPr>
          <w:ilvl w:val="0"/>
          <w:numId w:val="1019"/>
        </w:numPr>
      </w:pPr>
      <w:r>
        <w:rPr>
          <w:b/>
          <w:bCs/>
        </w:rPr>
        <w:t xml:space="preserve">Acceptance:</w:t>
      </w:r>
      <w:r>
        <w:t xml:space="preserve"> </w:t>
      </w:r>
      <w:r>
        <w:t xml:space="preserve">test</w:t>
      </w:r>
      <w:r>
        <w:t xml:space="preserve"> </w:t>
      </w:r>
      <w:r>
        <w:rPr>
          <w:rStyle w:val="VerbatimChar"/>
        </w:rPr>
        <w:t xml:space="preserve">tests/test_rve_multiunion.py</w:t>
      </w:r>
      <w:r>
        <w:t xml:space="preserve"> </w:t>
      </w:r>
      <w:r>
        <w:t xml:space="preserve">reproduces the same transmission as the parameterised regime within 0.5% for a 1000-particle reference RVE.</w:t>
      </w:r>
    </w:p>
    <w:bookmarkEnd w:id="60"/>
    <w:bookmarkStart w:id="61" w:name="wp5-benchmark-harness-sprint-s3"/>
    <w:p>
      <w:pPr>
        <w:pStyle w:val="Heading3"/>
      </w:pPr>
      <w:r>
        <w:t xml:space="preserve">WP5 — Benchmark harness ([sprint S3])</w:t>
      </w:r>
    </w:p>
    <w:p>
      <w:pPr>
        <w:pStyle w:val="Compact"/>
        <w:numPr>
          <w:ilvl w:val="0"/>
          <w:numId w:val="1020"/>
        </w:numPr>
      </w:pPr>
      <w:r>
        <w:rPr>
          <w:b/>
          <w:bCs/>
        </w:rPr>
        <w:t xml:space="preserve">New Python module:</w:t>
      </w:r>
      <w:r>
        <w:t xml:space="preserve"> </w:t>
      </w:r>
      <w:r>
        <w:rPr>
          <w:rStyle w:val="VerbatimChar"/>
        </w:rPr>
        <w:t xml:space="preserve">python/shieldlab/analysis/nano_benchmark.py</w:t>
      </w:r>
      <w:r>
        <w:t xml:space="preserve"> </w:t>
      </w:r>
      <w:r>
        <w:t xml:space="preserve">— orchestrator that:</w:t>
      </w:r>
    </w:p>
    <w:p>
      <w:pPr>
        <w:pStyle w:val="Compact"/>
        <w:numPr>
          <w:ilvl w:val="1"/>
          <w:numId w:val="1021"/>
        </w:numPr>
      </w:pPr>
      <w:r>
        <w:t xml:space="preserve">Reads a study JSON describing the (material, energy, regime) matrix.</w:t>
      </w:r>
    </w:p>
    <w:p>
      <w:pPr>
        <w:pStyle w:val="Compact"/>
        <w:numPr>
          <w:ilvl w:val="1"/>
          <w:numId w:val="1021"/>
        </w:numPr>
      </w:pPr>
      <w:r>
        <w:t xml:space="preserve">Generates Geant4 macros into</w:t>
      </w:r>
      <w:r>
        <w:t xml:space="preserve"> </w:t>
      </w:r>
      <w:r>
        <w:rPr>
          <w:rStyle w:val="VerbatimChar"/>
        </w:rPr>
        <w:t xml:space="preserve">build/macros/paper3/</w:t>
      </w:r>
      <w:r>
        <w:t xml:space="preserve">.</w:t>
      </w:r>
    </w:p>
    <w:p>
      <w:pPr>
        <w:pStyle w:val="Compact"/>
        <w:numPr>
          <w:ilvl w:val="1"/>
          <w:numId w:val="1021"/>
        </w:numPr>
      </w:pPr>
      <w:r>
        <w:t xml:space="preserve">Invokes the</w:t>
      </w:r>
      <w:r>
        <w:t xml:space="preserve"> </w:t>
      </w:r>
      <w:r>
        <w:rPr>
          <w:rStyle w:val="VerbatimChar"/>
        </w:rPr>
        <w:t xml:space="preserve">ShieldLabG4</w:t>
      </w:r>
      <w:r>
        <w:t xml:space="preserve"> </w:t>
      </w:r>
      <w:r>
        <w:t xml:space="preserve">binary (single or MT mode).</w:t>
      </w:r>
    </w:p>
    <w:p>
      <w:pPr>
        <w:pStyle w:val="Compact"/>
        <w:numPr>
          <w:ilvl w:val="1"/>
          <w:numId w:val="1021"/>
        </w:numPr>
      </w:pPr>
      <w:r>
        <w:t xml:space="preserve">Parses scorer outputs into a tidy DataFrame.</w:t>
      </w:r>
    </w:p>
    <w:p>
      <w:pPr>
        <w:pStyle w:val="Compact"/>
        <w:numPr>
          <w:ilvl w:val="1"/>
          <w:numId w:val="1021"/>
        </w:numPr>
      </w:pPr>
      <w:r>
        <w:t xml:space="preserve">Emits per-cell JSON manifests (§4.7) into</w:t>
      </w:r>
      <w:r>
        <w:t xml:space="preserve"> </w:t>
      </w:r>
      <w:r>
        <w:rPr>
          <w:rStyle w:val="VerbatimChar"/>
        </w:rPr>
        <w:t xml:space="preserve">build/results/paper3_nano/</w:t>
      </w:r>
      <w:r>
        <w:t xml:space="preserve">.</w:t>
      </w:r>
    </w:p>
    <w:p>
      <w:pPr>
        <w:pStyle w:val="Compact"/>
        <w:numPr>
          <w:ilvl w:val="0"/>
          <w:numId w:val="1020"/>
        </w:numPr>
      </w:pPr>
      <w:r>
        <w:rPr>
          <w:b/>
          <w:bCs/>
        </w:rPr>
        <w:t xml:space="preserve">New study config:</w:t>
      </w:r>
      <w:r>
        <w:t xml:space="preserve"> </w:t>
      </w:r>
      <w:r>
        <w:rPr>
          <w:rStyle w:val="VerbatimChar"/>
        </w:rPr>
        <w:t xml:space="preserve">configs/studies/paper3_nano_regime_comparison.json</w:t>
      </w:r>
      <w:r>
        <w:t xml:space="preserve"> </w:t>
      </w:r>
      <w:r>
        <w:t xml:space="preserve">— full M1–M11 × energies × regimes × 10 seeds.</w:t>
      </w:r>
    </w:p>
    <w:p>
      <w:pPr>
        <w:pStyle w:val="Compact"/>
        <w:numPr>
          <w:ilvl w:val="0"/>
          <w:numId w:val="1020"/>
        </w:numPr>
      </w:pPr>
      <w:r>
        <w:rPr>
          <w:b/>
          <w:bCs/>
        </w:rPr>
        <w:t xml:space="preserve">CLI:</w:t>
      </w:r>
      <w:r>
        <w:t xml:space="preserve"> </w:t>
      </w:r>
      <w:r>
        <w:rPr>
          <w:rStyle w:val="VerbatimChar"/>
        </w:rPr>
        <w:t xml:space="preserve">python -m shieldlab.analysis.nano_benchmark --study configs/studies/paper3_nano_regime_comparison.json --workers N</w:t>
      </w:r>
      <w:r>
        <w:t xml:space="preserve">.</w:t>
      </w:r>
    </w:p>
    <w:p>
      <w:pPr>
        <w:pStyle w:val="Compact"/>
        <w:numPr>
          <w:ilvl w:val="0"/>
          <w:numId w:val="1020"/>
        </w:numPr>
      </w:pPr>
      <w:r>
        <w:rPr>
          <w:b/>
          <w:bCs/>
        </w:rPr>
        <w:t xml:space="preserve">Memory &amp; runtime capture:</w:t>
      </w:r>
      <w:r>
        <w:t xml:space="preserve"> </w:t>
      </w:r>
      <w:r>
        <w:t xml:space="preserve">wrap each Geant4 invocation in a subprocess sampler (psutil) that records peak RSS at 100 Hz and CPU time.</w:t>
      </w:r>
    </w:p>
    <w:p>
      <w:pPr>
        <w:pStyle w:val="Compact"/>
        <w:numPr>
          <w:ilvl w:val="0"/>
          <w:numId w:val="1020"/>
        </w:numPr>
      </w:pPr>
      <w:r>
        <w:rPr>
          <w:b/>
          <w:bCs/>
        </w:rPr>
        <w:t xml:space="preserve">Acceptance:</w:t>
      </w:r>
      <w:r>
        <w:t xml:space="preserve"> </w:t>
      </w:r>
      <w:r>
        <w:t xml:space="preserve">dry-run mode (</w:t>
      </w:r>
      <w:r>
        <w:rPr>
          <w:rStyle w:val="VerbatimChar"/>
        </w:rPr>
        <w:t xml:space="preserve">--dry-run</w:t>
      </w:r>
      <w:r>
        <w:t xml:space="preserve">) generates all macros and a manifest stub without invoking Geant4; full run reproduces a published reference cell within 1σ when re-executed.</w:t>
      </w:r>
    </w:p>
    <w:bookmarkEnd w:id="61"/>
    <w:bookmarkStart w:id="62" w:name="Xce460379acd17500a677b8b043507e132a74dea"/>
    <w:p>
      <w:pPr>
        <w:pStyle w:val="Heading3"/>
      </w:pPr>
      <w:r>
        <w:t xml:space="preserve">WP6 — Statistical analysis and regime map ([sprint S5])</w:t>
      </w:r>
    </w:p>
    <w:p>
      <w:pPr>
        <w:pStyle w:val="Compact"/>
        <w:numPr>
          <w:ilvl w:val="0"/>
          <w:numId w:val="1022"/>
        </w:numPr>
      </w:pPr>
      <w:r>
        <w:rPr>
          <w:b/>
          <w:bCs/>
        </w:rPr>
        <w:t xml:space="preserve">New Python module:</w:t>
      </w:r>
      <w:r>
        <w:t xml:space="preserve"> </w:t>
      </w:r>
      <w:r>
        <w:rPr>
          <w:rStyle w:val="VerbatimChar"/>
        </w:rPr>
        <w:t xml:space="preserve">python/shieldlab/analysis/regime_map.py</w:t>
      </w:r>
      <w:r>
        <w:t xml:space="preserve"> </w:t>
      </w:r>
      <w:r>
        <w:t xml:space="preserve">— consumes the harness output, computes pass/fail against §4.5 criteria for every hypothesis, and fits the decision contours for Figure 5.</w:t>
      </w:r>
    </w:p>
    <w:p>
      <w:pPr>
        <w:pStyle w:val="Compact"/>
        <w:numPr>
          <w:ilvl w:val="0"/>
          <w:numId w:val="1022"/>
        </w:numPr>
      </w:pPr>
      <w:r>
        <w:rPr>
          <w:b/>
          <w:bCs/>
        </w:rPr>
        <w:t xml:space="preserve">Statistical methods:</w:t>
      </w:r>
    </w:p>
    <w:p>
      <w:pPr>
        <w:pStyle w:val="Compact"/>
        <w:numPr>
          <w:ilvl w:val="1"/>
          <w:numId w:val="1023"/>
        </w:numPr>
      </w:pPr>
      <w:r>
        <w:t xml:space="preserve">Per-cell mean and SE across 10 seeds.</w:t>
      </w:r>
    </w:p>
    <w:p>
      <w:pPr>
        <w:pStyle w:val="Compact"/>
        <w:numPr>
          <w:ilvl w:val="1"/>
          <w:numId w:val="1023"/>
        </w:numPr>
      </w:pPr>
      <w:r>
        <w:t xml:space="preserve">Cross-regime deviation as</w:t>
      </w:r>
      <w:r>
        <w:t xml:space="preserve"> </w:t>
      </w:r>
      <m:oMath>
        <m:r>
          <m:rPr>
            <m:sty m:val="p"/>
          </m:rPr>
          <m:t>Δ</m:t>
        </m:r>
        <m:r>
          <m:rPr>
            <m:sty m:val="p"/>
          </m:rPr>
          <m:t>=</m:t>
        </m:r>
        <m:r>
          <m:rPr>
            <m:sty m:val="p"/>
          </m:rPr>
          <m:t>|</m:t>
        </m:r>
        <m:sSub>
          <m:e>
            <m:r>
              <m:t>X</m:t>
            </m:r>
          </m:e>
          <m:sub>
            <m:r>
              <m:rPr>
                <m:nor/>
                <m:sty m:val="p"/>
              </m:rPr>
              <m:t>B/C</m:t>
            </m:r>
          </m:sub>
        </m:sSub>
        <m:r>
          <m:rPr>
            <m:sty m:val="p"/>
          </m:rPr>
          <m:t>−</m:t>
        </m:r>
        <m:sSub>
          <m:e>
            <m:r>
              <m:t>X</m:t>
            </m:r>
          </m:e>
          <m:sub>
            <m:r>
              <m:t>A</m:t>
            </m:r>
          </m:sub>
        </m:sSub>
        <m:r>
          <m:rPr>
            <m:sty m:val="p"/>
          </m:rPr>
          <m:t>|</m:t>
        </m:r>
        <m:r>
          <m:rPr>
            <m:sty m:val="p"/>
          </m:rPr>
          <m:t>/</m:t>
        </m:r>
        <m:sSub>
          <m:e>
            <m:r>
              <m:t>X</m:t>
            </m:r>
          </m:e>
          <m:sub>
            <m:r>
              <m:t>A</m:t>
            </m:r>
          </m:sub>
        </m:sSub>
      </m:oMath>
      <w:r>
        <w:t xml:space="preserve">.</w:t>
      </w:r>
    </w:p>
    <w:p>
      <w:pPr>
        <w:pStyle w:val="Compact"/>
        <w:numPr>
          <w:ilvl w:val="1"/>
          <w:numId w:val="1023"/>
        </w:numPr>
      </w:pPr>
      <w:r>
        <w:t xml:space="preserve">Confidence bands via studentised bootstrap.</w:t>
      </w:r>
    </w:p>
    <w:p>
      <w:pPr>
        <w:pStyle w:val="Compact"/>
        <w:numPr>
          <w:ilvl w:val="1"/>
          <w:numId w:val="1023"/>
        </w:numPr>
      </w:pPr>
      <w:r>
        <w:t xml:space="preserve">Regime map via thresholded</w:t>
      </w:r>
      <w:r>
        <w:t xml:space="preserve"> </w:t>
      </w:r>
      <m:oMath>
        <m:r>
          <m:rPr>
            <m:sty m:val="p"/>
          </m:rPr>
          <m:t>Δ</m:t>
        </m:r>
      </m:oMath>
      <w:r>
        <w:t xml:space="preserve"> </w:t>
      </w:r>
      <w:r>
        <w:t xml:space="preserve">over the</w:t>
      </w:r>
      <w:r>
        <w:t xml:space="preserve"> </w:t>
      </w:r>
      <m:oMath>
        <m:r>
          <m:rPr>
            <m:sty m:val="p"/>
          </m:rPr>
          <m:t>(</m:t>
        </m:r>
        <m:r>
          <m:t>E</m:t>
        </m:r>
        <m:r>
          <m:rPr>
            <m:sty m:val="p"/>
          </m:rPr>
          <m:t>,</m:t>
        </m:r>
        <m:sSub>
          <m:e>
            <m:r>
              <m:t>ϕ</m:t>
            </m:r>
          </m:e>
          <m:sub>
            <m:r>
              <m:t>f</m:t>
            </m:r>
          </m:sub>
        </m:sSub>
        <m:r>
          <m:rPr>
            <m:sty m:val="p"/>
          </m:rPr>
          <m:t>)</m:t>
        </m:r>
      </m:oMath>
      <w:r>
        <w:t xml:space="preserve"> </w:t>
      </w:r>
      <w:r>
        <w:t xml:space="preserve">grid; decision contours via marching squares.</w:t>
      </w:r>
    </w:p>
    <w:p>
      <w:pPr>
        <w:pStyle w:val="Compact"/>
        <w:numPr>
          <w:ilvl w:val="0"/>
          <w:numId w:val="1022"/>
        </w:numPr>
      </w:pPr>
      <w:r>
        <w:rPr>
          <w:b/>
          <w:bCs/>
        </w:rPr>
        <w:t xml:space="preserve">Acceptance:</w:t>
      </w:r>
      <w:r>
        <w:t xml:space="preserve"> </w:t>
      </w:r>
      <w:r>
        <w:t xml:space="preserve">unit tests covering each statistical routine on synthetic data; regression test pinning published Figure 5 contours to ±2% on the grid.</w:t>
      </w:r>
    </w:p>
    <w:bookmarkEnd w:id="62"/>
    <w:bookmarkStart w:id="64" w:name="wp7-figure-generation-sprint-s5"/>
    <w:p>
      <w:pPr>
        <w:pStyle w:val="Heading3"/>
      </w:pPr>
      <w:r>
        <w:t xml:space="preserve">WP7 — Figure generation ([sprint S5])</w:t>
      </w:r>
    </w:p>
    <w:p>
      <w:pPr>
        <w:pStyle w:val="Compact"/>
        <w:numPr>
          <w:ilvl w:val="0"/>
          <w:numId w:val="1024"/>
        </w:numPr>
      </w:pPr>
      <w:r>
        <w:rPr>
          <w:b/>
          <w:bCs/>
        </w:rPr>
        <w:t xml:space="preserve">New module:</w:t>
      </w:r>
      <w:r>
        <w:t xml:space="preserve"> </w:t>
      </w:r>
      <w:r>
        <w:rPr>
          <w:rStyle w:val="VerbatimChar"/>
        </w:rPr>
        <w:t xml:space="preserve">python/shieldlab/viz/paper3_figures.py</w:t>
      </w:r>
      <w:r>
        <w:t xml:space="preserve"> </w:t>
      </w:r>
      <w:r>
        <w:t xml:space="preserve">— one function per figure (F1–F8). All use</w:t>
      </w:r>
      <w:r>
        <w:t xml:space="preserve"> </w:t>
      </w:r>
      <w:r>
        <w:rPr>
          <w:rStyle w:val="VerbatimChar"/>
        </w:rPr>
        <w:t xml:space="preserve">apply_journal_style("publication_strict")</w:t>
      </w:r>
      <w:r>
        <w:t xml:space="preserve"> </w:t>
      </w:r>
      <w:r>
        <w:t xml:space="preserve">per the</w:t>
      </w:r>
      <w:r>
        <w:t xml:space="preserve"> </w:t>
      </w:r>
      <w:hyperlink r:id="rId63">
        <w:r>
          <w:rPr>
            <w:rStyle w:val="Hyperlink"/>
          </w:rPr>
          <w:t xml:space="preserve">shieldlab.viz</w:t>
        </w:r>
      </w:hyperlink>
      <w:r>
        <w:t xml:space="preserve"> </w:t>
      </w:r>
      <w:r>
        <w:t xml:space="preserve">policy.</w:t>
      </w:r>
    </w:p>
    <w:p>
      <w:pPr>
        <w:pStyle w:val="Compact"/>
        <w:numPr>
          <w:ilvl w:val="0"/>
          <w:numId w:val="1024"/>
        </w:numPr>
      </w:pPr>
      <w:r>
        <w:rPr>
          <w:b/>
          <w:bCs/>
        </w:rPr>
        <w:t xml:space="preserve">Outputs:</w:t>
      </w:r>
      <w:r>
        <w:t xml:space="preserve"> </w:t>
      </w:r>
      <w:r>
        <w:t xml:space="preserve">vector PDF + 600-DPI PNG into</w:t>
      </w:r>
      <w:r>
        <w:t xml:space="preserve"> </w:t>
      </w:r>
      <w:r>
        <w:rPr>
          <w:rStyle w:val="VerbatimChar"/>
        </w:rPr>
        <w:t xml:space="preserve">docs/validation/paper3_nanogeant4/figures/</w:t>
      </w:r>
      <w:r>
        <w:t xml:space="preserve">.</w:t>
      </w:r>
    </w:p>
    <w:p>
      <w:pPr>
        <w:pStyle w:val="Compact"/>
        <w:numPr>
          <w:ilvl w:val="0"/>
          <w:numId w:val="1024"/>
        </w:numPr>
      </w:pPr>
      <w:r>
        <w:rPr>
          <w:b/>
          <w:bCs/>
        </w:rPr>
        <w:t xml:space="preserve">Acceptance:</w:t>
      </w:r>
      <w:r>
        <w:t xml:space="preserve"> </w:t>
      </w:r>
      <w:r>
        <w:rPr>
          <w:rStyle w:val="VerbatimChar"/>
        </w:rPr>
        <w:t xml:space="preserve">pytest -m publication</w:t>
      </w:r>
      <w:r>
        <w:t xml:space="preserve"> </w:t>
      </w:r>
      <w:r>
        <w:t xml:space="preserve">includes</w:t>
      </w:r>
      <w:r>
        <w:t xml:space="preserve"> </w:t>
      </w:r>
      <w:r>
        <w:rPr>
          <w:rStyle w:val="VerbatimChar"/>
        </w:rPr>
        <w:t xml:space="preserve">tests/benchmarks/test_paper3_figures.py</w:t>
      </w:r>
      <w:r>
        <w:t xml:space="preserve"> </w:t>
      </w:r>
      <w:r>
        <w:t xml:space="preserve">asserting all figures regenerate deterministically from committed CSVs (perceptual-hash diff ≤ 1%).</w:t>
      </w:r>
    </w:p>
    <w:bookmarkEnd w:id="64"/>
    <w:bookmarkStart w:id="65" w:name="wp8-manuscript-v03-sprint-s6"/>
    <w:p>
      <w:pPr>
        <w:pStyle w:val="Heading3"/>
      </w:pPr>
      <w:r>
        <w:t xml:space="preserve">WP8 — Manuscript v03 ([sprint S6])</w:t>
      </w:r>
    </w:p>
    <w:p>
      <w:pPr>
        <w:pStyle w:val="Compact"/>
        <w:numPr>
          <w:ilvl w:val="0"/>
          <w:numId w:val="1025"/>
        </w:numPr>
      </w:pPr>
      <w:r>
        <w:t xml:space="preserve">Replace</w:t>
      </w:r>
      <w:r>
        <w:t xml:space="preserve"> </w:t>
      </w:r>
      <w:r>
        <w:rPr>
          <w:rStyle w:val="VerbatimChar"/>
        </w:rPr>
        <w:t xml:space="preserve">[expected]</w:t>
      </w:r>
      <w:r>
        <w:t xml:space="preserve">-prefixed claims in §1, §4, §5 with measured values.</w:t>
      </w:r>
    </w:p>
    <w:p>
      <w:pPr>
        <w:pStyle w:val="Compact"/>
        <w:numPr>
          <w:ilvl w:val="0"/>
          <w:numId w:val="1025"/>
        </w:numPr>
      </w:pPr>
      <w:r>
        <w:t xml:space="preserve">Add full Results and Discussion.</w:t>
      </w:r>
    </w:p>
    <w:p>
      <w:pPr>
        <w:pStyle w:val="Compact"/>
        <w:numPr>
          <w:ilvl w:val="0"/>
          <w:numId w:val="1025"/>
        </w:numPr>
      </w:pPr>
      <w:r>
        <w:t xml:space="preserve">Fill in references 13–15 with DOI-verified experimental papers.</w:t>
      </w:r>
    </w:p>
    <w:p>
      <w:pPr>
        <w:pStyle w:val="Compact"/>
        <w:numPr>
          <w:ilvl w:val="0"/>
          <w:numId w:val="1025"/>
        </w:numPr>
      </w:pPr>
      <w:r>
        <w:t xml:space="preserve">Generate final submission package: manuscript PDF (LaTeX, journal template), Supplementary Materials PDF, code-availability statement with git tag, data-availability statement with Zenodo DOI.</w:t>
      </w:r>
    </w:p>
    <w:bookmarkEnd w:id="65"/>
    <w:bookmarkEnd w:id="66"/>
    <w:bookmarkStart w:id="67" w:name="a.3-risk-register"/>
    <w:p>
      <w:pPr>
        <w:pStyle w:val="Heading2"/>
      </w:pPr>
      <w:r>
        <w:t xml:space="preserve">A.3 Risk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RVE explicit-geometry memory exceeds available RAM</w:t>
            </w:r>
          </w:p>
        </w:tc>
        <w:tc>
          <w:tcPr/>
          <w:p>
            <w:pPr>
              <w:pStyle w:val="Compact"/>
            </w:pPr>
            <w:r>
              <w:t xml:space="preserve">Medium</w:t>
            </w:r>
          </w:p>
        </w:tc>
        <w:tc>
          <w:tcPr/>
          <w:p>
            <w:pPr>
              <w:pStyle w:val="Compact"/>
            </w:pPr>
            <w:r>
              <w:t xml:space="preserve">High</w:t>
            </w:r>
          </w:p>
        </w:tc>
        <w:tc>
          <w:tcPr/>
          <w:p>
            <w:pPr>
              <w:pStyle w:val="Compact"/>
            </w:pPr>
            <w:r>
              <w:t xml:space="preserve">Hard particle-count cap; staged convergence study; fallback to</w:t>
            </w:r>
            <w:r>
              <w:t xml:space="preserve"> </w:t>
            </w:r>
            <w:r>
              <w:rPr>
                <w:rStyle w:val="VerbatimChar"/>
              </w:rPr>
              <w:t xml:space="preserve">G4MultiUnion</w:t>
            </w:r>
          </w:p>
        </w:tc>
      </w:tr>
      <w:tr>
        <w:tc>
          <w:tcPr/>
          <w:p>
            <w:pPr>
              <w:pStyle w:val="Compact"/>
            </w:pPr>
            <w:r>
              <w:rPr>
                <w:rStyle w:val="VerbatimChar"/>
              </w:rPr>
              <w:t xml:space="preserve">G4MultiUnion</w:t>
            </w:r>
            <w:r>
              <w:t xml:space="preserve"> </w:t>
            </w:r>
            <w:r>
              <w:t xml:space="preserve">voxelisation slow for</w:t>
            </w:r>
            <w:r>
              <w:t xml:space="preserve"> </w:t>
            </w:r>
            <m:oMath>
              <m:r>
                <m:t>N</m:t>
              </m:r>
              <m:r>
                <m:rPr>
                  <m:sty m:val="p"/>
                </m:rPr>
                <m:t>&gt;</m:t>
              </m:r>
              <m:sSup>
                <m:e>
                  <m:r>
                    <m:t>10</m:t>
                  </m:r>
                </m:e>
                <m:sup>
                  <m:r>
                    <m:t>4</m:t>
                  </m:r>
                </m:sup>
              </m:sSup>
            </m:oMath>
          </w:p>
        </w:tc>
        <w:tc>
          <w:tcPr/>
          <w:p>
            <w:pPr>
              <w:pStyle w:val="Compact"/>
            </w:pPr>
            <w:r>
              <w:t xml:space="preserve">Medium</w:t>
            </w:r>
          </w:p>
        </w:tc>
        <w:tc>
          <w:tcPr/>
          <w:p>
            <w:pPr>
              <w:pStyle w:val="Compact"/>
            </w:pPr>
            <w:r>
              <w:t xml:space="preserve">Medium</w:t>
            </w:r>
          </w:p>
        </w:tc>
        <w:tc>
          <w:tcPr/>
          <w:p>
            <w:pPr>
              <w:pStyle w:val="Compact"/>
            </w:pPr>
            <w:r>
              <w:t xml:space="preserve">Benchmark scaling early in S2; document the practical</w:t>
            </w:r>
            <w:r>
              <w:t xml:space="preserve"> </w:t>
            </w:r>
            <m:oMath>
              <m:r>
                <m:t>N</m:t>
              </m:r>
            </m:oMath>
            <w:r>
              <w:t xml:space="preserve"> </w:t>
            </w:r>
            <w:r>
              <w:t xml:space="preserve">ceiling</w:t>
            </w:r>
          </w:p>
        </w:tc>
      </w:tr>
      <w:tr>
        <w:tc>
          <w:tcPr/>
          <w:p>
            <w:pPr>
              <w:pStyle w:val="Compact"/>
            </w:pPr>
            <w:r>
              <w:t xml:space="preserve">Density values unavailable for some M1–M11</w:t>
            </w:r>
          </w:p>
        </w:tc>
        <w:tc>
          <w:tcPr/>
          <w:p>
            <w:pPr>
              <w:pStyle w:val="Compact"/>
            </w:pPr>
            <w:r>
              <w:t xml:space="preserve">High</w:t>
            </w:r>
          </w:p>
        </w:tc>
        <w:tc>
          <w:tcPr/>
          <w:p>
            <w:pPr>
              <w:pStyle w:val="Compact"/>
            </w:pPr>
            <w:r>
              <w:t xml:space="preserve">Medium</w:t>
            </w:r>
          </w:p>
        </w:tc>
        <w:tc>
          <w:tcPr/>
          <w:p>
            <w:pPr>
              <w:pStyle w:val="Compact"/>
            </w:pPr>
            <w:r>
              <w:t xml:space="preserve">Use volume-rule estimate with explicit</w:t>
            </w:r>
            <w:r>
              <w:t xml:space="preserve"> </w:t>
            </w:r>
            <w:r>
              <w:rPr>
                <w:rStyle w:val="VerbatimChar"/>
              </w:rPr>
              <w:t xml:space="preserve">[ρ-estimate]</w:t>
            </w:r>
            <w:r>
              <w:t xml:space="preserve"> </w:t>
            </w:r>
            <w:r>
              <w:t xml:space="preserve">provenance tag; do not silently fabricate</w:t>
            </w:r>
          </w:p>
        </w:tc>
      </w:tr>
      <w:tr>
        <w:tc>
          <w:tcPr/>
          <w:p>
            <w:pPr>
              <w:pStyle w:val="Compact"/>
            </w:pPr>
            <w:r>
              <w:t xml:space="preserve">Cross-regime deviation below detection threshold at all tested</w:t>
            </w:r>
            <w:r>
              <w:t xml:space="preserve"> </w:t>
            </w:r>
            <m:oMath>
              <m:r>
                <m:t>E</m:t>
              </m:r>
            </m:oMath>
          </w:p>
        </w:tc>
        <w:tc>
          <w:tcPr/>
          <w:p>
            <w:pPr>
              <w:pStyle w:val="Compact"/>
            </w:pPr>
            <w:r>
              <w:t xml:space="preserve">Low</w:t>
            </w:r>
          </w:p>
        </w:tc>
        <w:tc>
          <w:tcPr/>
          <w:p>
            <w:pPr>
              <w:pStyle w:val="Compact"/>
            </w:pPr>
            <w:r>
              <w:t xml:space="preserve">Low (still publishable as a null result)</w:t>
            </w:r>
          </w:p>
        </w:tc>
        <w:tc>
          <w:tcPr/>
          <w:p>
            <w:pPr>
              <w:pStyle w:val="Compact"/>
            </w:pPr>
            <w:r>
              <w:t xml:space="preserve">Pre-register the null hypothesis; manuscript framing is unchanged</w:t>
            </w:r>
          </w:p>
        </w:tc>
      </w:tr>
      <w:tr>
        <w:tc>
          <w:tcPr/>
          <w:p>
            <w:pPr>
              <w:pStyle w:val="Compact"/>
            </w:pPr>
            <w:r>
              <w:t xml:space="preserve">Geant4 11.4 → 11.5 upgrade during paper preparation</w:t>
            </w:r>
          </w:p>
        </w:tc>
        <w:tc>
          <w:tcPr/>
          <w:p>
            <w:pPr>
              <w:pStyle w:val="Compact"/>
            </w:pPr>
            <w:r>
              <w:t xml:space="preserve">Medium</w:t>
            </w:r>
          </w:p>
        </w:tc>
        <w:tc>
          <w:tcPr/>
          <w:p>
            <w:pPr>
              <w:pStyle w:val="Compact"/>
            </w:pPr>
            <w:r>
              <w:t xml:space="preserve">Low</w:t>
            </w:r>
          </w:p>
        </w:tc>
        <w:tc>
          <w:tcPr/>
          <w:p>
            <w:pPr>
              <w:pStyle w:val="Compact"/>
            </w:pPr>
            <w:r>
              <w:t xml:space="preserve">Pin Geant4 version in</w:t>
            </w:r>
            <w:r>
              <w:t xml:space="preserve"> </w:t>
            </w:r>
            <w:hyperlink r:id="rId40">
              <w:r>
                <w:rPr>
                  <w:rStyle w:val="Hyperlink"/>
                </w:rPr>
                <w:t xml:space="preserve">worker/Dockerfile</w:t>
              </w:r>
            </w:hyperlink>
            <w:r>
              <w:t xml:space="preserve">; regression-test before re-running</w:t>
            </w:r>
          </w:p>
        </w:tc>
      </w:tr>
      <w:tr>
        <w:tc>
          <w:tcPr/>
          <w:p>
            <w:pPr>
              <w:pStyle w:val="Compact"/>
            </w:pPr>
            <w:r>
              <w:t xml:space="preserve">Reviewer demands explicit-particle full-slab run</w:t>
            </w:r>
          </w:p>
        </w:tc>
        <w:tc>
          <w:tcPr/>
          <w:p>
            <w:pPr>
              <w:pStyle w:val="Compact"/>
            </w:pPr>
            <w:r>
              <w:t xml:space="preserve">Low</w:t>
            </w:r>
          </w:p>
        </w:tc>
        <w:tc>
          <w:tcPr/>
          <w:p>
            <w:pPr>
              <w:pStyle w:val="Compact"/>
            </w:pPr>
            <w:r>
              <w:t xml:space="preserve">High</w:t>
            </w:r>
          </w:p>
        </w:tc>
        <w:tc>
          <w:tcPr/>
          <w:p>
            <w:pPr>
              <w:pStyle w:val="Compact"/>
            </w:pPr>
            <w:r>
              <w:t xml:space="preserve">Pre-compute one full-slab run at</w:t>
            </w:r>
            <w:r>
              <w:t xml:space="preserve"> </w:t>
            </w:r>
            <m:oMath>
              <m:r>
                <m:t>N</m:t>
              </m:r>
              <m:r>
                <m:rPr>
                  <m:sty m:val="p"/>
                </m:rPr>
                <m:t>≈</m:t>
              </m:r>
              <m:sSub>
                <m:e>
                  <m:r>
                    <m:t>N</m:t>
                  </m:r>
                </m:e>
                <m:sub>
                  <m:r>
                    <m:rPr>
                      <m:nor/>
                      <m:sty m:val="p"/>
                    </m:rPr>
                    <m:t>cap</m:t>
                  </m:r>
                </m:sub>
              </m:sSub>
            </m:oMath>
            <w:r>
              <w:t xml:space="preserve"> </w:t>
            </w:r>
            <w:r>
              <w:t xml:space="preserve">as proof of impracticality and include the cost data in the rebuttal package</w:t>
            </w:r>
          </w:p>
        </w:tc>
      </w:tr>
    </w:tbl>
    <w:bookmarkEnd w:id="67"/>
    <w:bookmarkStart w:id="68" w:name="X3bb50eaa9c980b6802c36a2643d6613f298fd01"/>
    <w:p>
      <w:pPr>
        <w:pStyle w:val="Heading2"/>
      </w:pPr>
      <w:r>
        <w:t xml:space="preserve">A.4 Definition of done (for the paper, not just the code)</w:t>
      </w:r>
    </w:p>
    <w:p>
      <w:pPr>
        <w:pStyle w:val="Compact"/>
        <w:numPr>
          <w:ilvl w:val="0"/>
          <w:numId w:val="1026"/>
        </w:numPr>
      </w:pPr>
      <w:r>
        <w:t xml:space="preserve">All WP1–WP8 acceptance criteria pass.</w:t>
      </w:r>
    </w:p>
    <w:p>
      <w:pPr>
        <w:pStyle w:val="Compact"/>
        <w:numPr>
          <w:ilvl w:val="0"/>
          <w:numId w:val="1027"/>
        </w:numPr>
      </w:pPr>
      <w:r>
        <w:rPr>
          <w:rStyle w:val="VerbatimChar"/>
        </w:rPr>
        <w:t xml:space="preserve">pytest -q --ignore=backups</w:t>
      </w:r>
      <w:r>
        <w:t xml:space="preserve"> </w:t>
      </w:r>
      <w:r>
        <w:t xml:space="preserve">baseline remains 188+ passing (no regressions from new code).</w:t>
      </w:r>
    </w:p>
    <w:p>
      <w:pPr>
        <w:pStyle w:val="Compact"/>
        <w:numPr>
          <w:ilvl w:val="0"/>
          <w:numId w:val="1028"/>
        </w:numPr>
      </w:pPr>
      <w:r>
        <w:t xml:space="preserve">New tests added by WP2–WP7 all pass.</w:t>
      </w:r>
    </w:p>
    <w:p>
      <w:pPr>
        <w:pStyle w:val="Compact"/>
        <w:numPr>
          <w:ilvl w:val="0"/>
          <w:numId w:val="1029"/>
        </w:numPr>
      </w:pPr>
      <w:r>
        <w:rPr>
          <w:rStyle w:val="VerbatimChar"/>
        </w:rPr>
        <w:t xml:space="preserve">pytest -m publication</w:t>
      </w:r>
      <w:r>
        <w:t xml:space="preserve"> </w:t>
      </w:r>
      <w:r>
        <w:t xml:space="preserve">passes including paper3 figure regression tests.</w:t>
      </w:r>
    </w:p>
    <w:p>
      <w:pPr>
        <w:pStyle w:val="Compact"/>
        <w:numPr>
          <w:ilvl w:val="0"/>
          <w:numId w:val="1030"/>
        </w:numPr>
      </w:pPr>
      <w:r>
        <w:rPr>
          <w:rStyle w:val="VerbatimChar"/>
        </w:rPr>
        <w:t xml:space="preserve">docs/validation/paper3_nanogeant4/manuscript_nanogeant4_v03.md</w:t>
      </w:r>
      <w:r>
        <w:t xml:space="preserve"> </w:t>
      </w:r>
      <w:r>
        <w:t xml:space="preserve">is complete with no</w:t>
      </w:r>
      <w:r>
        <w:t xml:space="preserve"> </w:t>
      </w:r>
      <w:r>
        <w:rPr>
          <w:rStyle w:val="VerbatimChar"/>
        </w:rPr>
        <w:t xml:space="preserve">[expected]</w:t>
      </w:r>
      <w:r>
        <w:t xml:space="preserve">,</w:t>
      </w:r>
      <w:r>
        <w:t xml:space="preserve"> </w:t>
      </w:r>
      <w:r>
        <w:rPr>
          <w:rStyle w:val="VerbatimChar"/>
        </w:rPr>
        <w:t xml:space="preserve">[verify]</w:t>
      </w:r>
      <w:r>
        <w:t xml:space="preserve">,</w:t>
      </w:r>
      <w:r>
        <w:t xml:space="preserve"> </w:t>
      </w:r>
      <w:r>
        <w:rPr>
          <w:rStyle w:val="VerbatimChar"/>
        </w:rPr>
        <w:t xml:space="preserve">[placeholder]</w:t>
      </w:r>
      <w:r>
        <w:t xml:space="preserve"> </w:t>
      </w:r>
      <w:r>
        <w:t xml:space="preserve">tags.</w:t>
      </w:r>
    </w:p>
    <w:p>
      <w:pPr>
        <w:pStyle w:val="Compact"/>
        <w:numPr>
          <w:ilvl w:val="0"/>
          <w:numId w:val="1031"/>
        </w:numPr>
      </w:pPr>
      <w:r>
        <w:rPr>
          <w:rStyle w:val="VerbatimChar"/>
        </w:rPr>
        <w:t xml:space="preserve">docs/validation/paper3_nanogeant4/references_verified.bib</w:t>
      </w:r>
      <w:r>
        <w:t xml:space="preserve"> </w:t>
      </w:r>
      <w:r>
        <w:t xml:space="preserve">contains a verified DOI for every cite.</w:t>
      </w:r>
    </w:p>
    <w:p>
      <w:pPr>
        <w:pStyle w:val="Compact"/>
        <w:numPr>
          <w:ilvl w:val="0"/>
          <w:numId w:val="1032"/>
        </w:numPr>
      </w:pPr>
      <w:r>
        <w:t xml:space="preserve">Zenodo deposit prepared with code + raw results + figures; DOI minted.</w:t>
      </w:r>
    </w:p>
    <w:p>
      <w:pPr>
        <w:pStyle w:val="Compact"/>
        <w:numPr>
          <w:ilvl w:val="0"/>
          <w:numId w:val="1033"/>
        </w:numPr>
      </w:pPr>
      <w:r>
        <w:rPr>
          <w:rStyle w:val="VerbatimChar"/>
        </w:rPr>
        <w:t xml:space="preserve">docs/validation/SUBMISSION_CHECKLIST.md</w:t>
      </w:r>
      <w:r>
        <w:t xml:space="preserve"> </w:t>
      </w:r>
      <w:r>
        <w:t xml:space="preserve">extended with a paper-3 section and all items ticked.</w:t>
      </w:r>
    </w:p>
    <w:p>
      <w:pPr>
        <w:pStyle w:val="Compact"/>
        <w:numPr>
          <w:ilvl w:val="0"/>
          <w:numId w:val="1034"/>
        </w:numPr>
      </w:pPr>
      <w:r>
        <w:t xml:space="preserve">Co-author review (when applicable) and ethics statement signed off.</w:t>
      </w:r>
    </w:p>
    <w:bookmarkEnd w:id="68"/>
    <w:bookmarkStart w:id="69" w:name="a.5-dependency-graph"/>
    <w:p>
      <w:pPr>
        <w:pStyle w:val="Heading2"/>
      </w:pPr>
      <w:r>
        <w:t xml:space="preserve">A.5 Dependency graph</w:t>
      </w:r>
    </w:p>
    <w:p>
      <w:pPr>
        <w:pStyle w:val="SourceCode"/>
      </w:pPr>
      <w:r>
        <w:rPr>
          <w:rStyle w:val="VerbatimChar"/>
        </w:rPr>
        <w:t xml:space="preserve">WP1 ──┐</w:t>
      </w:r>
      <w:r>
        <w:br/>
      </w:r>
      <w:r>
        <w:rPr>
          <w:rStyle w:val="VerbatimChar"/>
        </w:rPr>
        <w:t xml:space="preserve">WP2 ──┤</w:t>
      </w:r>
      <w:r>
        <w:br/>
      </w:r>
      <w:r>
        <w:rPr>
          <w:rStyle w:val="VerbatimChar"/>
        </w:rPr>
        <w:t xml:space="preserve">WP3 ──┼─► WP5 ──► WP6 ──► WP7 ──► WP8</w:t>
      </w:r>
      <w:r>
        <w:br/>
      </w:r>
      <w:r>
        <w:rPr>
          <w:rStyle w:val="VerbatimChar"/>
        </w:rPr>
        <w:t xml:space="preserve">WP4 ──┘</w:t>
      </w:r>
    </w:p>
    <w:p>
      <w:pPr>
        <w:pStyle w:val="FirstParagraph"/>
      </w:pPr>
      <w:r>
        <w:t xml:space="preserve">WP2, WP3, WP4 are independent and can be parallelised. WP5 is the integration point. WP6, WP7, WP8 are sequential.</w:t>
      </w:r>
    </w:p>
    <w:p>
      <w:r>
        <w:pict>
          <v:rect style="width:0;height:1.5pt" o:hralign="center" o:hrstd="t" o:hr="t"/>
        </w:pict>
      </w:r>
    </w:p>
    <w:bookmarkEnd w:id="69"/>
    <w:bookmarkEnd w:id="70"/>
    <w:bookmarkStart w:id="77" w:name="X9425fe5be97565eb736d73443e75ef8d7b91782"/>
    <w:p>
      <w:pPr>
        <w:pStyle w:val="Heading1"/>
      </w:pPr>
      <w:r>
        <w:t xml:space="preserve">Appendix B — Executable Regime-A Baseline Snapshot (Working Results, 2026-05-18)</w:t>
      </w:r>
    </w:p>
    <w:p>
      <w:pPr>
        <w:pStyle w:val="FirstParagraph"/>
      </w:pPr>
      <w:r>
        <w:t xml:space="preserve">This appendix records the first fully executed Paper 3 regime-A benchmark campaign produced directly by the ShieldLab G4 platform after the paper-3 implementation work described in Appendix A. It is intentionally limited to the homogeneous effective-medium regime and is provided as a working-results snapshot, not as the final cross-regime Results section of the paper.</w:t>
      </w:r>
    </w:p>
    <w:bookmarkStart w:id="71" w:name="b.1-run-provenance"/>
    <w:p>
      <w:pPr>
        <w:pStyle w:val="Heading2"/>
      </w:pPr>
      <w:r>
        <w:t xml:space="preserve">B.1 Run provenance</w:t>
      </w:r>
    </w:p>
    <w:p>
      <w:pPr>
        <w:pStyle w:val="Compact"/>
        <w:numPr>
          <w:ilvl w:val="0"/>
          <w:numId w:val="1035"/>
        </w:numPr>
      </w:pPr>
      <w:r>
        <w:t xml:space="preserve">Study file:</w:t>
      </w:r>
      <w:r>
        <w:t xml:space="preserve"> </w:t>
      </w:r>
      <w:r>
        <w:rPr>
          <w:rStyle w:val="VerbatimChar"/>
        </w:rPr>
        <w:t xml:space="preserve">configs/studies/paper3_hdpe_bi2o3_regime_a_highstat.json</w:t>
      </w:r>
    </w:p>
    <w:p>
      <w:pPr>
        <w:pStyle w:val="Compact"/>
        <w:numPr>
          <w:ilvl w:val="0"/>
          <w:numId w:val="1035"/>
        </w:numPr>
      </w:pPr>
      <w:r>
        <w:t xml:space="preserve">Geant4 executable: rebuilt</w:t>
      </w:r>
      <w:r>
        <w:t xml:space="preserve"> </w:t>
      </w:r>
      <w:r>
        <w:rPr>
          <w:rStyle w:val="VerbatimChar"/>
        </w:rPr>
        <w:t xml:space="preserve">ShieldLabG4</w:t>
      </w:r>
      <w:r>
        <w:t xml:space="preserve"> </w:t>
      </w:r>
      <w:r>
        <w:t xml:space="preserve">on WSL Ubuntu with Geant4 11.4</w:t>
      </w:r>
    </w:p>
    <w:p>
      <w:pPr>
        <w:pStyle w:val="Compact"/>
        <w:numPr>
          <w:ilvl w:val="0"/>
          <w:numId w:val="1035"/>
        </w:numPr>
      </w:pPr>
      <w:r>
        <w:t xml:space="preserve">Physics list:</w:t>
      </w:r>
      <w:r>
        <w:t xml:space="preserve"> </w:t>
      </w:r>
      <w:r>
        <w:rPr>
          <w:rStyle w:val="VerbatimChar"/>
        </w:rPr>
        <w:t xml:space="preserve">emlivermore</w:t>
      </w:r>
    </w:p>
    <w:p>
      <w:pPr>
        <w:pStyle w:val="Compact"/>
        <w:numPr>
          <w:ilvl w:val="0"/>
          <w:numId w:val="1035"/>
        </w:numPr>
      </w:pPr>
      <w:r>
        <w:t xml:space="preserve">Histories:</w:t>
      </w:r>
      <w:r>
        <w:t xml:space="preserve"> </w:t>
      </w:r>
      <m:oMath>
        <m:sSup>
          <m:e>
            <m:r>
              <m:t>10</m:t>
            </m:r>
          </m:e>
          <m:sup>
            <m:r>
              <m:t>6</m:t>
            </m:r>
          </m:sup>
        </m:sSup>
      </m:oMath>
      <w:r>
        <w:t xml:space="preserve"> </w:t>
      </w:r>
      <w:r>
        <w:t xml:space="preserve">photons per energy point</w:t>
      </w:r>
    </w:p>
    <w:p>
      <w:pPr>
        <w:pStyle w:val="Compact"/>
        <w:numPr>
          <w:ilvl w:val="0"/>
          <w:numId w:val="1035"/>
        </w:numPr>
      </w:pPr>
      <w:r>
        <w:t xml:space="preserve">Material: HDPE/Bi</w:t>
      </w:r>
      <m:oMath>
        <m:sSub>
          <m:e>
            <m:r>
              <m:t>​</m:t>
            </m:r>
          </m:e>
          <m:sub>
            <m:r>
              <m:t>2</m:t>
            </m:r>
          </m:sub>
        </m:sSub>
      </m:oMath>
      <w:r>
        <w:t xml:space="preserve">O</w:t>
      </w:r>
      <m:oMath>
        <m:sSub>
          <m:e>
            <m:r>
              <m:t>​</m:t>
            </m:r>
          </m:e>
          <m:sub>
            <m:r>
              <m:t>3</m:t>
            </m:r>
          </m:sub>
        </m:sSub>
      </m:oMath>
      <w:r>
        <w:t xml:space="preserve"> </w:t>
      </w:r>
      <w:r>
        <w:t xml:space="preserve">nanocomposite, 30 wt% filler, density input 2.45 g cm</w:t>
      </w:r>
      <m:oMath>
        <m:sSup>
          <m:e>
            <m:r>
              <m:t>​</m:t>
            </m:r>
          </m:e>
          <m:sup>
            <m:r>
              <m:rPr>
                <m:sty m:val="p"/>
              </m:rPr>
              <m:t>−</m:t>
            </m:r>
            <m:r>
              <m:t>3</m:t>
            </m:r>
          </m:sup>
        </m:sSup>
      </m:oMath>
    </w:p>
    <w:p>
      <w:pPr>
        <w:pStyle w:val="Compact"/>
        <w:numPr>
          <w:ilvl w:val="0"/>
          <w:numId w:val="1035"/>
        </w:numPr>
      </w:pPr>
      <w:r>
        <w:t xml:space="preserve">Energy grid: 30, 50, 80, 100, 150, 356, 511, 662, 1173, 1332 keV</w:t>
      </w:r>
    </w:p>
    <w:p>
      <w:pPr>
        <w:pStyle w:val="Compact"/>
        <w:numPr>
          <w:ilvl w:val="0"/>
          <w:numId w:val="1035"/>
        </w:numPr>
      </w:pPr>
      <w:r>
        <w:t xml:space="preserve">Result directory:</w:t>
      </w:r>
      <w:r>
        <w:t xml:space="preserve"> </w:t>
      </w:r>
      <w:r>
        <w:rPr>
          <w:rStyle w:val="VerbatimChar"/>
        </w:rPr>
        <w:t xml:space="preserve">results/paper3/regime_a_hdpe_bi2o3_highstat/</w:t>
      </w:r>
    </w:p>
    <w:bookmarkEnd w:id="71"/>
    <w:bookmarkStart w:id="72" w:name="b.2-acceptance-against-xcom"/>
    <w:p>
      <w:pPr>
        <w:pStyle w:val="Heading2"/>
      </w:pPr>
      <w:r>
        <w:t xml:space="preserve">B.2 Acceptance against XCOM</w:t>
      </w:r>
    </w:p>
    <w:p>
      <w:pPr>
        <w:pStyle w:val="FirstParagraph"/>
      </w:pPr>
      <w:r>
        <w:t xml:space="preserve">The executable acceptance gate in</w:t>
      </w:r>
      <w:r>
        <w:t xml:space="preserve"> </w:t>
      </w:r>
      <w:r>
        <w:rPr>
          <w:rStyle w:val="VerbatimChar"/>
        </w:rPr>
        <w:t xml:space="preserve">paper3_acceptance.json</w:t>
      </w:r>
      <w:r>
        <w:t xml:space="preserve"> </w:t>
      </w:r>
      <w:r>
        <w:t xml:space="preserve">passed for the full 10-point energy grid.</w:t>
      </w:r>
    </w:p>
    <w:p>
      <w:pPr>
        <w:pStyle w:val="Compact"/>
        <w:numPr>
          <w:ilvl w:val="0"/>
          <w:numId w:val="1036"/>
        </w:numPr>
      </w:pPr>
      <w:r>
        <w:t xml:space="preserve">Mean absolute percent difference in linear attenuation coefficient:</w:t>
      </w:r>
      <w:r>
        <w:t xml:space="preserve"> </w:t>
      </w:r>
      <w:r>
        <w:rPr>
          <w:b/>
          <w:bCs/>
        </w:rPr>
        <w:t xml:space="preserve">0.549%</w:t>
      </w:r>
    </w:p>
    <w:p>
      <w:pPr>
        <w:pStyle w:val="Compact"/>
        <w:numPr>
          <w:ilvl w:val="0"/>
          <w:numId w:val="1036"/>
        </w:numPr>
      </w:pPr>
      <w:r>
        <w:t xml:space="preserve">Maximum absolute percent difference in linear attenuation coefficient:</w:t>
      </w:r>
      <w:r>
        <w:t xml:space="preserve"> </w:t>
      </w:r>
      <w:r>
        <w:rPr>
          <w:b/>
          <w:bCs/>
        </w:rPr>
        <w:t xml:space="preserve">2.013%</w:t>
      </w:r>
    </w:p>
    <w:p>
      <w:pPr>
        <w:pStyle w:val="Compact"/>
        <w:numPr>
          <w:ilvl w:val="0"/>
          <w:numId w:val="1036"/>
        </w:numPr>
      </w:pPr>
      <w:r>
        <w:t xml:space="preserve">Mean absolute percent difference in mass attenuation coefficient:</w:t>
      </w:r>
      <w:r>
        <w:t xml:space="preserve"> </w:t>
      </w:r>
      <w:r>
        <w:rPr>
          <w:b/>
          <w:bCs/>
        </w:rPr>
        <w:t xml:space="preserve">0.549%</w:t>
      </w:r>
    </w:p>
    <w:p>
      <w:pPr>
        <w:pStyle w:val="Compact"/>
        <w:numPr>
          <w:ilvl w:val="0"/>
          <w:numId w:val="1036"/>
        </w:numPr>
      </w:pPr>
      <w:r>
        <w:t xml:space="preserve">Maximum absolute percent difference in mass attenuation coefficient:</w:t>
      </w:r>
      <w:r>
        <w:t xml:space="preserve"> </w:t>
      </w:r>
      <w:r>
        <w:rPr>
          <w:b/>
          <w:bCs/>
        </w:rPr>
        <w:t xml:space="preserve">2.013%</w:t>
      </w:r>
    </w:p>
    <w:p>
      <w:pPr>
        <w:pStyle w:val="FirstParagraph"/>
      </w:pPr>
      <w:r>
        <w:t xml:space="preserve">These values satisfy the current machine-enforced paper-3 regime-A acceptance thresholds of mean absolute deviation</w:t>
      </w:r>
      <w:r>
        <w:t xml:space="preserve"> </w:t>
      </w:r>
      <m:oMath>
        <m:r>
          <m:rPr>
            <m:sty m:val="p"/>
          </m:rPr>
          <m:t>≤</m:t>
        </m:r>
        <m:r>
          <m:t>1.5</m:t>
        </m:r>
        <m:r>
          <m:rPr>
            <m:sty m:val="p"/>
          </m:rPr>
          <m:t>%</m:t>
        </m:r>
      </m:oMath>
      <w:r>
        <w:t xml:space="preserve"> </w:t>
      </w:r>
      <w:r>
        <w:t xml:space="preserve">and maximum absolute deviation</w:t>
      </w:r>
      <w:r>
        <w:t xml:space="preserve"> </w:t>
      </w:r>
      <m:oMath>
        <m:r>
          <m:rPr>
            <m:sty m:val="p"/>
          </m:rPr>
          <m:t>≤</m:t>
        </m:r>
        <m:r>
          <m:t>5.0</m:t>
        </m:r>
        <m:r>
          <m:rPr>
            <m:sty m:val="p"/>
          </m:rPr>
          <m:t>%</m:t>
        </m:r>
      </m:oMath>
      <w:r>
        <w:t xml:space="preserve">.</w:t>
      </w:r>
    </w:p>
    <w:bookmarkEnd w:id="72"/>
    <w:bookmarkStart w:id="73" w:name="b.3-high-statistics-regime-a-observables"/>
    <w:p>
      <w:pPr>
        <w:pStyle w:val="Heading2"/>
      </w:pPr>
      <w:r>
        <w:t xml:space="preserve">B.3 High-statistics regime-A observables</w:t>
      </w:r>
    </w:p>
    <w:p>
      <w:pPr>
        <w:pStyle w:val="FirstParagraph"/>
      </w:pPr>
      <w:r>
        <w:t xml:space="preserve">Selected values from</w:t>
      </w:r>
      <w:r>
        <w:t xml:space="preserve"> </w:t>
      </w:r>
      <w:r>
        <w:rPr>
          <w:rStyle w:val="VerbatimChar"/>
        </w:rPr>
        <w:t xml:space="preserve">sweep_summary.csv</w:t>
      </w:r>
      <w:r>
        <w:t xml:space="preserve"> </w:t>
      </w:r>
      <w:r>
        <w:t xml:space="preserve">are listed below to anchor the manuscript to generated numbers.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Energy (keV)</w:t>
            </w:r>
          </w:p>
        </w:tc>
        <w:tc>
          <w:tcPr/>
          <w:p>
            <w:pPr>
              <w:pStyle w:val="Compact"/>
            </w:pPr>
            <w:r>
              <w:t xml:space="preserve">Transmission</w:t>
            </w:r>
          </w:p>
        </w:tc>
        <w:tc>
          <w:tcPr/>
          <w:p>
            <w:pPr>
              <w:pStyle w:val="Compact"/>
            </w:pPr>
            <m:oMath>
              <m:r>
                <m:t>μ</m:t>
              </m:r>
            </m:oMath>
            <w:r>
              <w:t xml:space="preserve"> </w:t>
            </w:r>
            <w:r>
              <w:t xml:space="preserve">(cm</w:t>
            </w:r>
            <m:oMath>
              <m:sSup>
                <m:e>
                  <m:r>
                    <m:t>​</m:t>
                  </m:r>
                </m:e>
                <m:sup>
                  <m:r>
                    <m:rPr>
                      <m:sty m:val="p"/>
                    </m:rPr>
                    <m:t>−</m:t>
                  </m:r>
                  <m:r>
                    <m:t>1</m:t>
                  </m:r>
                </m:sup>
              </m:sSup>
            </m:oMath>
            <w:r>
              <w:t xml:space="preserve">)</w:t>
            </w:r>
          </w:p>
        </w:tc>
        <w:tc>
          <w:tcPr/>
          <w:p>
            <w:pPr>
              <w:pStyle w:val="Compact"/>
            </w:pPr>
            <m:oMath>
              <m:r>
                <m:t>μ</m:t>
              </m:r>
              <m:r>
                <m:rPr>
                  <m:sty m:val="p"/>
                </m:rPr>
                <m:t>/</m:t>
              </m:r>
              <m:r>
                <m:t>ρ</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r>
      <w:tr>
        <w:tc>
          <w:tcPr/>
          <w:p>
            <w:pPr>
              <w:pStyle w:val="Compact"/>
            </w:pPr>
            <w:r>
              <w:t xml:space="preserve">30</w:t>
            </w:r>
          </w:p>
        </w:tc>
        <w:tc>
          <w:tcPr/>
          <w:p>
            <w:pPr>
              <w:pStyle w:val="Compact"/>
            </w:pPr>
            <w:r>
              <w:t xml:space="preserve">0.649362</w:t>
            </w:r>
          </w:p>
        </w:tc>
        <w:tc>
          <w:tcPr/>
          <w:p>
            <w:pPr>
              <w:pStyle w:val="Compact"/>
            </w:pPr>
            <w:r>
              <w:t xml:space="preserve">21.3221</w:t>
            </w:r>
          </w:p>
        </w:tc>
        <w:tc>
          <w:tcPr/>
          <w:p>
            <w:pPr>
              <w:pStyle w:val="Compact"/>
            </w:pPr>
            <w:r>
              <w:t xml:space="preserve">8.7029</w:t>
            </w:r>
          </w:p>
        </w:tc>
      </w:tr>
      <w:tr>
        <w:tc>
          <w:tcPr/>
          <w:p>
            <w:pPr>
              <w:pStyle w:val="Compact"/>
            </w:pPr>
            <w:r>
              <w:t xml:space="preserve">50</w:t>
            </w:r>
          </w:p>
        </w:tc>
        <w:tc>
          <w:tcPr/>
          <w:p>
            <w:pPr>
              <w:pStyle w:val="Compact"/>
            </w:pPr>
            <w:r>
              <w:t xml:space="preserve">0.650374</w:t>
            </w:r>
          </w:p>
        </w:tc>
        <w:tc>
          <w:tcPr/>
          <w:p>
            <w:pPr>
              <w:pStyle w:val="Compact"/>
            </w:pPr>
            <w:r>
              <w:t xml:space="preserve">5.88991</w:t>
            </w:r>
          </w:p>
        </w:tc>
        <w:tc>
          <w:tcPr/>
          <w:p>
            <w:pPr>
              <w:pStyle w:val="Compact"/>
            </w:pPr>
            <w:r>
              <w:t xml:space="preserve">2.40404</w:t>
            </w:r>
          </w:p>
        </w:tc>
      </w:tr>
      <w:tr>
        <w:tc>
          <w:tcPr/>
          <w:p>
            <w:pPr>
              <w:pStyle w:val="Compact"/>
            </w:pPr>
            <w:r>
              <w:t xml:space="preserve">100</w:t>
            </w:r>
          </w:p>
        </w:tc>
        <w:tc>
          <w:tcPr/>
          <w:p>
            <w:pPr>
              <w:pStyle w:val="Compact"/>
            </w:pPr>
            <w:r>
              <w:t xml:space="preserve">0.651003</w:t>
            </w:r>
          </w:p>
        </w:tc>
        <w:tc>
          <w:tcPr/>
          <w:p>
            <w:pPr>
              <w:pStyle w:val="Compact"/>
            </w:pPr>
            <w:r>
              <w:t xml:space="preserve">4.07566</w:t>
            </w:r>
          </w:p>
        </w:tc>
        <w:tc>
          <w:tcPr/>
          <w:p>
            <w:pPr>
              <w:pStyle w:val="Compact"/>
            </w:pPr>
            <w:r>
              <w:t xml:space="preserve">1.66353</w:t>
            </w:r>
          </w:p>
        </w:tc>
      </w:tr>
      <w:tr>
        <w:tc>
          <w:tcPr/>
          <w:p>
            <w:pPr>
              <w:pStyle w:val="Compact"/>
            </w:pPr>
            <w:r>
              <w:t xml:space="preserve">356</w:t>
            </w:r>
          </w:p>
        </w:tc>
        <w:tc>
          <w:tcPr/>
          <w:p>
            <w:pPr>
              <w:pStyle w:val="Compact"/>
            </w:pPr>
            <w:r>
              <w:t xml:space="preserve">0.652240</w:t>
            </w:r>
          </w:p>
        </w:tc>
        <w:tc>
          <w:tcPr/>
          <w:p>
            <w:pPr>
              <w:pStyle w:val="Compact"/>
            </w:pPr>
            <w:r>
              <w:t xml:space="preserve">0.397089</w:t>
            </w:r>
          </w:p>
        </w:tc>
        <w:tc>
          <w:tcPr/>
          <w:p>
            <w:pPr>
              <w:pStyle w:val="Compact"/>
            </w:pPr>
            <w:r>
              <w:t xml:space="preserve">0.162077</w:t>
            </w:r>
          </w:p>
        </w:tc>
      </w:tr>
      <w:tr>
        <w:tc>
          <w:tcPr/>
          <w:p>
            <w:pPr>
              <w:pStyle w:val="Compact"/>
            </w:pPr>
            <w:r>
              <w:t xml:space="preserve">662</w:t>
            </w:r>
          </w:p>
        </w:tc>
        <w:tc>
          <w:tcPr/>
          <w:p>
            <w:pPr>
              <w:pStyle w:val="Compact"/>
            </w:pPr>
            <w:r>
              <w:t xml:space="preserve">0.651924</w:t>
            </w:r>
          </w:p>
        </w:tc>
        <w:tc>
          <w:tcPr/>
          <w:p>
            <w:pPr>
              <w:pStyle w:val="Compact"/>
            </w:pPr>
            <w:r>
              <w:t xml:space="preserve">0.229959</w:t>
            </w:r>
          </w:p>
        </w:tc>
        <w:tc>
          <w:tcPr/>
          <w:p>
            <w:pPr>
              <w:pStyle w:val="Compact"/>
            </w:pPr>
            <w:r>
              <w:t xml:space="preserve">0.0938608</w:t>
            </w:r>
          </w:p>
        </w:tc>
      </w:tr>
      <w:tr>
        <w:tc>
          <w:tcPr/>
          <w:p>
            <w:pPr>
              <w:pStyle w:val="Compact"/>
            </w:pPr>
            <w:r>
              <w:t xml:space="preserve">1332</w:t>
            </w:r>
          </w:p>
        </w:tc>
        <w:tc>
          <w:tcPr/>
          <w:p>
            <w:pPr>
              <w:pStyle w:val="Compact"/>
            </w:pPr>
            <w:r>
              <w:t xml:space="preserve">0.650617</w:t>
            </w:r>
          </w:p>
        </w:tc>
        <w:tc>
          <w:tcPr/>
          <w:p>
            <w:pPr>
              <w:pStyle w:val="Compact"/>
            </w:pPr>
            <w:r>
              <w:t xml:space="preserve">0.149293</w:t>
            </w:r>
          </w:p>
        </w:tc>
        <w:tc>
          <w:tcPr/>
          <w:p>
            <w:pPr>
              <w:pStyle w:val="Compact"/>
            </w:pPr>
            <w:r>
              <w:t xml:space="preserve">0.0609359</w:t>
            </w:r>
          </w:p>
        </w:tc>
      </w:tr>
    </w:tbl>
    <w:p>
      <w:pPr>
        <w:pStyle w:val="BodyText"/>
      </w:pPr>
      <w:r>
        <w:t xml:space="preserve">The flat transmission target near 0.65 is expected because the macro generator rescales thickness per energy to produce a numerically stable direct attenuation estimate for benchmark comparison.</w:t>
      </w:r>
    </w:p>
    <w:bookmarkEnd w:id="73"/>
    <w:bookmarkStart w:id="74" w:name="X82f5e8898e8814ecefbc7526b4baaf64c520408"/>
    <w:p>
      <w:pPr>
        <w:pStyle w:val="Heading2"/>
      </w:pPr>
      <w:r>
        <w:t xml:space="preserve">B.4 Broad-beam observable and downstream secondaries</w:t>
      </w:r>
    </w:p>
    <w:p>
      <w:pPr>
        <w:pStyle w:val="FirstParagraph"/>
      </w:pPr>
      <w:r>
        <w:t xml:space="preserve">The high-statistics run also produced</w:t>
      </w:r>
      <w:r>
        <w:t xml:space="preserve"> </w:t>
      </w:r>
      <w:r>
        <w:rPr>
          <w:rStyle w:val="VerbatimChar"/>
        </w:rPr>
        <w:t xml:space="preserve">buildup_observable_summary.csv</w:t>
      </w:r>
      <w:r>
        <w:t xml:space="preserve">, enabling the first paper-3 broad-beam transport observations for regime A.</w:t>
      </w:r>
    </w:p>
    <w:p>
      <w:pPr>
        <w:pStyle w:val="Compact"/>
        <w:numPr>
          <w:ilvl w:val="0"/>
          <w:numId w:val="1037"/>
        </w:numPr>
      </w:pPr>
      <w:r>
        <w:t xml:space="preserve">At 100 keV, the downstream buildup observable reached</w:t>
      </w:r>
      <w:r>
        <w:t xml:space="preserve"> </w:t>
      </w:r>
      <w:r>
        <w:rPr>
          <w:b/>
          <w:bCs/>
        </w:rPr>
        <w:t xml:space="preserve">1.1363</w:t>
      </w:r>
      <w:r>
        <w:t xml:space="preserve"> </w:t>
      </w:r>
      <w:r>
        <w:t xml:space="preserve">by count and</w:t>
      </w:r>
      <w:r>
        <w:t xml:space="preserve"> </w:t>
      </w:r>
      <w:r>
        <w:rPr>
          <w:b/>
          <w:bCs/>
        </w:rPr>
        <w:t xml:space="preserve">1.1075</w:t>
      </w:r>
      <w:r>
        <w:t xml:space="preserve"> </w:t>
      </w:r>
      <w:r>
        <w:t xml:space="preserve">by energy.</w:t>
      </w:r>
    </w:p>
    <w:p>
      <w:pPr>
        <w:pStyle w:val="Compact"/>
        <w:numPr>
          <w:ilvl w:val="0"/>
          <w:numId w:val="1037"/>
        </w:numPr>
      </w:pPr>
      <w:r>
        <w:t xml:space="preserve">At 150 keV, the downstream buildup observable reached</w:t>
      </w:r>
      <w:r>
        <w:t xml:space="preserve"> </w:t>
      </w:r>
      <w:r>
        <w:rPr>
          <w:b/>
          <w:bCs/>
        </w:rPr>
        <w:t xml:space="preserve">1.0992</w:t>
      </w:r>
      <w:r>
        <w:t xml:space="preserve"> </w:t>
      </w:r>
      <w:r>
        <w:t xml:space="preserve">by count and</w:t>
      </w:r>
      <w:r>
        <w:t xml:space="preserve"> </w:t>
      </w:r>
      <w:r>
        <w:rPr>
          <w:b/>
          <w:bCs/>
        </w:rPr>
        <w:t xml:space="preserve">1.0522</w:t>
      </w:r>
      <w:r>
        <w:t xml:space="preserve"> </w:t>
      </w:r>
      <w:r>
        <w:t xml:space="preserve">by energy.</w:t>
      </w:r>
    </w:p>
    <w:p>
      <w:pPr>
        <w:pStyle w:val="Compact"/>
        <w:numPr>
          <w:ilvl w:val="0"/>
          <w:numId w:val="1037"/>
        </w:numPr>
      </w:pPr>
      <w:r>
        <w:t xml:space="preserve">At 662 keV, the downstream buildup observable was</w:t>
      </w:r>
      <w:r>
        <w:t xml:space="preserve"> </w:t>
      </w:r>
      <w:r>
        <w:rPr>
          <w:b/>
          <w:bCs/>
        </w:rPr>
        <w:t xml:space="preserve">1.0115</w:t>
      </w:r>
      <w:r>
        <w:t xml:space="preserve"> </w:t>
      </w:r>
      <w:r>
        <w:t xml:space="preserve">by count and</w:t>
      </w:r>
      <w:r>
        <w:t xml:space="preserve"> </w:t>
      </w:r>
      <w:r>
        <w:rPr>
          <w:b/>
          <w:bCs/>
        </w:rPr>
        <w:t xml:space="preserve">1.0015</w:t>
      </w:r>
      <w:r>
        <w:t xml:space="preserve"> </w:t>
      </w:r>
      <w:r>
        <w:t xml:space="preserve">by energy.</w:t>
      </w:r>
    </w:p>
    <w:p>
      <w:pPr>
        <w:pStyle w:val="Compact"/>
        <w:numPr>
          <w:ilvl w:val="0"/>
          <w:numId w:val="1037"/>
        </w:numPr>
      </w:pPr>
      <w:r>
        <w:t xml:space="preserve">At 1332 keV, the downstream buildup observable was</w:t>
      </w:r>
      <w:r>
        <w:t xml:space="preserve"> </w:t>
      </w:r>
      <w:r>
        <w:rPr>
          <w:b/>
          <w:bCs/>
        </w:rPr>
        <w:t xml:space="preserve">1.0085</w:t>
      </w:r>
      <w:r>
        <w:t xml:space="preserve"> </w:t>
      </w:r>
      <w:r>
        <w:t xml:space="preserve">by count and</w:t>
      </w:r>
      <w:r>
        <w:t xml:space="preserve"> </w:t>
      </w:r>
      <w:r>
        <w:rPr>
          <w:b/>
          <w:bCs/>
        </w:rPr>
        <w:t xml:space="preserve">1.0012</w:t>
      </w:r>
      <w:r>
        <w:t xml:space="preserve"> </w:t>
      </w:r>
      <w:r>
        <w:t xml:space="preserve">by energy.</w:t>
      </w:r>
    </w:p>
    <w:p>
      <w:pPr>
        <w:pStyle w:val="FirstParagraph"/>
      </w:pPr>
      <w:r>
        <w:t xml:space="preserve">The platform now also exports downstream spectral data (</w:t>
      </w:r>
      <w:r>
        <w:rPr>
          <w:rStyle w:val="VerbatimChar"/>
        </w:rPr>
        <w:t xml:space="preserve">downstream_spectrum.csv</w:t>
      </w:r>
      <w:r>
        <w:t xml:space="preserve"> </w:t>
      </w:r>
      <w:r>
        <w:t xml:space="preserve">per energy and</w:t>
      </w:r>
      <w:r>
        <w:t xml:space="preserve"> </w:t>
      </w:r>
      <w:r>
        <w:rPr>
          <w:rStyle w:val="VerbatimChar"/>
        </w:rPr>
        <w:t xml:space="preserve">downstream_spectrum_summary.csv</w:t>
      </w:r>
      <w:r>
        <w:t xml:space="preserve"> </w:t>
      </w:r>
      <w:r>
        <w:t xml:space="preserve">for the aggregated campaign). In the present regime-A baseline, the most prominent spectral broadening appears in the 100–150 keV cases, consistent with the large increase in downstream secondary gamma counts relative to the lower-energy points.</w:t>
      </w:r>
    </w:p>
    <w:bookmarkEnd w:id="74"/>
    <w:bookmarkStart w:id="75" w:name="b.5-generated-figure-set"/>
    <w:p>
      <w:pPr>
        <w:pStyle w:val="Heading2"/>
      </w:pPr>
      <w:r>
        <w:t xml:space="preserve">B.5 Generated figure set</w:t>
      </w:r>
    </w:p>
    <w:p>
      <w:pPr>
        <w:pStyle w:val="FirstParagraph"/>
      </w:pPr>
      <w:r>
        <w:t xml:space="preserve">The following figure artifacts are now produced directly from code for the high-statistics regime-A campaign:</w:t>
      </w:r>
    </w:p>
    <w:p>
      <w:pPr>
        <w:pStyle w:val="Compact"/>
        <w:numPr>
          <w:ilvl w:val="0"/>
          <w:numId w:val="1038"/>
        </w:numPr>
      </w:pPr>
      <w:r>
        <w:rPr>
          <w:rStyle w:val="VerbatimChar"/>
        </w:rPr>
        <w:t xml:space="preserve">results/paper3/regime_a_hdpe_bi2o3_highstat/figures/paper3_f3_regime_a_mac_vs_xcom.png</w:t>
      </w:r>
    </w:p>
    <w:p>
      <w:pPr>
        <w:pStyle w:val="Compact"/>
        <w:numPr>
          <w:ilvl w:val="0"/>
          <w:numId w:val="1038"/>
        </w:numPr>
      </w:pPr>
      <w:r>
        <w:rPr>
          <w:rStyle w:val="VerbatimChar"/>
        </w:rPr>
        <w:t xml:space="preserve">results/paper3/regime_a_hdpe_bi2o3_highstat/figures/paper3_regime_a_transmission.png</w:t>
      </w:r>
    </w:p>
    <w:p>
      <w:pPr>
        <w:pStyle w:val="Compact"/>
        <w:numPr>
          <w:ilvl w:val="0"/>
          <w:numId w:val="1038"/>
        </w:numPr>
      </w:pPr>
      <w:r>
        <w:rPr>
          <w:rStyle w:val="VerbatimChar"/>
        </w:rPr>
        <w:t xml:space="preserve">results/paper3/regime_a_hdpe_bi2o3_highstat/figures/paper3_downstream_gamma_spectrum.png</w:t>
      </w:r>
    </w:p>
    <w:p>
      <w:pPr>
        <w:pStyle w:val="FirstParagraph"/>
      </w:pPr>
      <w:r>
        <w:t xml:space="preserve">These figures are working publication artifacts for the homogeneous regime only. They do</w:t>
      </w:r>
      <w:r>
        <w:t xml:space="preserve"> </w:t>
      </w:r>
      <w:r>
        <w:rPr>
          <w:b/>
          <w:bCs/>
        </w:rPr>
        <w:t xml:space="preserve">not</w:t>
      </w:r>
      <w:r>
        <w:t xml:space="preserve"> </w:t>
      </w:r>
      <w:r>
        <w:t xml:space="preserve">yet replace the final cross-regime figures planned in Section 5, because regimes B, C, and D remain to be implemented and benchmarked.</w:t>
      </w:r>
    </w:p>
    <w:bookmarkEnd w:id="75"/>
    <w:bookmarkStart w:id="76" w:name="b.6-interpretation-and-remaining-gap"/>
    <w:p>
      <w:pPr>
        <w:pStyle w:val="Heading2"/>
      </w:pPr>
      <w:r>
        <w:t xml:space="preserve">B.6 Interpretation and remaining gap</w:t>
      </w:r>
    </w:p>
    <w:p>
      <w:pPr>
        <w:pStyle w:val="FirstParagraph"/>
      </w:pPr>
      <w:r>
        <w:t xml:space="preserve">This executable snapshot establishes that the paper-3 platform can now:</w:t>
      </w:r>
    </w:p>
    <w:p>
      <w:pPr>
        <w:pStyle w:val="Compact"/>
        <w:numPr>
          <w:ilvl w:val="0"/>
          <w:numId w:val="1039"/>
        </w:numPr>
      </w:pPr>
      <w:r>
        <w:t xml:space="preserve">Validate a committed paper-3 study definition.</w:t>
      </w:r>
    </w:p>
    <w:p>
      <w:pPr>
        <w:pStyle w:val="Compact"/>
        <w:numPr>
          <w:ilvl w:val="0"/>
          <w:numId w:val="1039"/>
        </w:numPr>
      </w:pPr>
      <w:r>
        <w:t xml:space="preserve">Generate a Geant4 macro deterministically.</w:t>
      </w:r>
    </w:p>
    <w:p>
      <w:pPr>
        <w:pStyle w:val="Compact"/>
        <w:numPr>
          <w:ilvl w:val="0"/>
          <w:numId w:val="1039"/>
        </w:numPr>
      </w:pPr>
      <w:r>
        <w:t xml:space="preserve">Execute the regime-A benchmark on WSL Geant4.</w:t>
      </w:r>
    </w:p>
    <w:p>
      <w:pPr>
        <w:pStyle w:val="Compact"/>
        <w:numPr>
          <w:ilvl w:val="0"/>
          <w:numId w:val="1039"/>
        </w:numPr>
      </w:pPr>
      <w:r>
        <w:t xml:space="preserve">Compare the resulting attenuation coefficients against NIST XCOM and enforce a machine-readable pass/fail gate.</w:t>
      </w:r>
    </w:p>
    <w:p>
      <w:pPr>
        <w:pStyle w:val="Compact"/>
        <w:numPr>
          <w:ilvl w:val="0"/>
          <w:numId w:val="1039"/>
        </w:numPr>
      </w:pPr>
      <w:r>
        <w:t xml:space="preserve">Export downstream buildup and spectrum artifacts suitable for manuscript figures.</w:t>
      </w:r>
    </w:p>
    <w:p>
      <w:pPr>
        <w:pStyle w:val="FirstParagraph"/>
      </w:pPr>
      <w:r>
        <w:t xml:space="preserve">What remains unfinished is the core scientific comparison promised by the paper title: explicit-geometry regime B, multi-union regime C, and hybrid regime D are still pending. Accordingly, Appendix B should be treated as a platform-maturity milestone and an executable baseline, not as the final paper Results section.</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README.md" TargetMode="External" /><Relationship Type="http://schemas.openxmlformats.org/officeDocument/2006/relationships/hyperlink" Id="rId45" Target="https://doi.org/10.1016/0020-708X(82)90248-4" TargetMode="External" /><Relationship Type="http://schemas.openxmlformats.org/officeDocument/2006/relationships/hyperlink" Id="rId42" Target="https://doi.org/10.1016/S0168-9002(03)01368-8" TargetMode="External" /><Relationship Type="http://schemas.openxmlformats.org/officeDocument/2006/relationships/hyperlink" Id="rId44" Target="https://doi.org/10.1016/j.nima.2016.06.125" TargetMode="External" /><Relationship Type="http://schemas.openxmlformats.org/officeDocument/2006/relationships/hyperlink" Id="rId50" Target="https://doi.org/10.1016/j.nimb.2016.01.017" TargetMode="External" /><Relationship Type="http://schemas.openxmlformats.org/officeDocument/2006/relationships/hyperlink" Id="rId46" Target="https://doi.org/10.1088/0031-9155/44/1/001" TargetMode="External" /><Relationship Type="http://schemas.openxmlformats.org/officeDocument/2006/relationships/hyperlink" Id="rId43" Target="https://doi.org/10.1109/TNS.2006.869826" TargetMode="External" /><Relationship Type="http://schemas.openxmlformats.org/officeDocument/2006/relationships/hyperlink" Id="rId48" Target="https://doi.org/10.1118/1.3476457" TargetMode="External" /><Relationship Type="http://schemas.openxmlformats.org/officeDocument/2006/relationships/hyperlink" Id="rId49" Target="https://doi.org/10.1142/S1793962310000122" TargetMode="External" /><Relationship Type="http://schemas.openxmlformats.org/officeDocument/2006/relationships/hyperlink" Id="rId47" Target="https://physics.nist.gov/xcom" TargetMode="External" /><Relationship Type="http://schemas.openxmlformats.org/officeDocument/2006/relationships/hyperlink" Id="rId56" Target="include/MaterialRegistry.hh" TargetMode="External" /><Relationship Type="http://schemas.openxmlformats.org/officeDocument/2006/relationships/hyperlink" Id="rId19" Target="python/shieldlab/core/materials.py" TargetMode="External" /><Relationship Type="http://schemas.openxmlformats.org/officeDocument/2006/relationships/hyperlink" Id="rId24" Target="python/shieldlab/data/" TargetMode="External" /><Relationship Type="http://schemas.openxmlformats.org/officeDocument/2006/relationships/hyperlink" Id="rId63" Target="python/shieldlab/viz/__init__.py" TargetMode="External" /><Relationship Type="http://schemas.openxmlformats.org/officeDocument/2006/relationships/hyperlink" Id="rId36" Target="python/shieldlab/viz/style.py" TargetMode="External" /><Relationship Type="http://schemas.openxmlformats.org/officeDocument/2006/relationships/hyperlink" Id="rId20" Target="src/DetectorConstruction.cc" TargetMode="External" /><Relationship Type="http://schemas.openxmlformats.org/officeDocument/2006/relationships/hyperlink" Id="rId30" Target="src/DetectorConstruction.cc#L114-L145" TargetMode="External" /><Relationship Type="http://schemas.openxmlformats.org/officeDocument/2006/relationships/hyperlink" Id="rId57" Target="src/DetectorMessenger.cc" TargetMode="External" /><Relationship Type="http://schemas.openxmlformats.org/officeDocument/2006/relationships/hyperlink" Id="rId18" Target="src/MaterialRegistry.cc" TargetMode="External" /><Relationship Type="http://schemas.openxmlformats.org/officeDocument/2006/relationships/hyperlink" Id="rId40" Target="worker/Dockerfile" TargetMode="External" /></Relationships>
</file>

<file path=word/_rels/footnotes.xml.rels><?xml version="1.0" encoding="UTF-8"?><Relationships xmlns="http://schemas.openxmlformats.org/package/2006/relationships"><Relationship Type="http://schemas.openxmlformats.org/officeDocument/2006/relationships/hyperlink" Id="rId39" Target="README.md" TargetMode="External" /><Relationship Type="http://schemas.openxmlformats.org/officeDocument/2006/relationships/hyperlink" Id="rId45" Target="https://doi.org/10.1016/0020-708X(82)90248-4" TargetMode="External" /><Relationship Type="http://schemas.openxmlformats.org/officeDocument/2006/relationships/hyperlink" Id="rId42" Target="https://doi.org/10.1016/S0168-9002(03)01368-8" TargetMode="External" /><Relationship Type="http://schemas.openxmlformats.org/officeDocument/2006/relationships/hyperlink" Id="rId44" Target="https://doi.org/10.1016/j.nima.2016.06.125" TargetMode="External" /><Relationship Type="http://schemas.openxmlformats.org/officeDocument/2006/relationships/hyperlink" Id="rId50" Target="https://doi.org/10.1016/j.nimb.2016.01.017" TargetMode="External" /><Relationship Type="http://schemas.openxmlformats.org/officeDocument/2006/relationships/hyperlink" Id="rId46" Target="https://doi.org/10.1088/0031-9155/44/1/001" TargetMode="External" /><Relationship Type="http://schemas.openxmlformats.org/officeDocument/2006/relationships/hyperlink" Id="rId43" Target="https://doi.org/10.1109/TNS.2006.869826" TargetMode="External" /><Relationship Type="http://schemas.openxmlformats.org/officeDocument/2006/relationships/hyperlink" Id="rId48" Target="https://doi.org/10.1118/1.3476457" TargetMode="External" /><Relationship Type="http://schemas.openxmlformats.org/officeDocument/2006/relationships/hyperlink" Id="rId49" Target="https://doi.org/10.1142/S1793962310000122" TargetMode="External" /><Relationship Type="http://schemas.openxmlformats.org/officeDocument/2006/relationships/hyperlink" Id="rId47" Target="https://physics.nist.gov/xcom" TargetMode="External" /><Relationship Type="http://schemas.openxmlformats.org/officeDocument/2006/relationships/hyperlink" Id="rId56" Target="include/MaterialRegistry.hh" TargetMode="External" /><Relationship Type="http://schemas.openxmlformats.org/officeDocument/2006/relationships/hyperlink" Id="rId19" Target="python/shieldlab/core/materials.py" TargetMode="External" /><Relationship Type="http://schemas.openxmlformats.org/officeDocument/2006/relationships/hyperlink" Id="rId24" Target="python/shieldlab/data/" TargetMode="External" /><Relationship Type="http://schemas.openxmlformats.org/officeDocument/2006/relationships/hyperlink" Id="rId63" Target="python/shieldlab/viz/__init__.py" TargetMode="External" /><Relationship Type="http://schemas.openxmlformats.org/officeDocument/2006/relationships/hyperlink" Id="rId36" Target="python/shieldlab/viz/style.py" TargetMode="External" /><Relationship Type="http://schemas.openxmlformats.org/officeDocument/2006/relationships/hyperlink" Id="rId20" Target="src/DetectorConstruction.cc" TargetMode="External" /><Relationship Type="http://schemas.openxmlformats.org/officeDocument/2006/relationships/hyperlink" Id="rId30" Target="src/DetectorConstruction.cc#L114-L145" TargetMode="External" /><Relationship Type="http://schemas.openxmlformats.org/officeDocument/2006/relationships/hyperlink" Id="rId57" Target="src/DetectorMessenger.cc" TargetMode="External" /><Relationship Type="http://schemas.openxmlformats.org/officeDocument/2006/relationships/hyperlink" Id="rId18" Target="src/MaterialRegistry.cc" TargetMode="External" /><Relationship Type="http://schemas.openxmlformats.org/officeDocument/2006/relationships/hyperlink" Id="rId40" Target="worker/Dockerf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2026-05-17T22:49:20Z</dcterms:created>
  <dcterms:modified xsi:type="dcterms:W3CDTF">2026-05-17T22:49:20Z</dcterms:modified>
</cp:coreProperties>
</file>

<file path=docProps/custom.xml><?xml version="1.0" encoding="utf-8"?>
<Properties xmlns="http://schemas.openxmlformats.org/officeDocument/2006/custom-properties" xmlns:vt="http://schemas.openxmlformats.org/officeDocument/2006/docPropsVTypes"/>
</file>