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9F0F6">
      <w:pPr>
        <w:pStyle w:val="4"/>
        <w:bidi w:val="0"/>
        <w:jc w:val="center"/>
        <w:rPr>
          <w:rFonts w:hint="eastAsia"/>
        </w:rPr>
      </w:pPr>
      <w:r>
        <w:rPr>
          <w:rFonts w:hint="eastAsia"/>
        </w:rPr>
        <w:t>人工智能时代的开源合规与风险管理</w:t>
      </w:r>
      <w:r>
        <w:rPr>
          <w:rFonts w:hint="eastAsia"/>
          <w:lang w:eastAsia="zh-CN"/>
        </w:rPr>
        <w:t>——</w:t>
      </w:r>
      <w:r>
        <w:rPr>
          <w:rFonts w:hint="eastAsia"/>
        </w:rPr>
        <w:t>讲座总结及心得体会</w:t>
      </w:r>
    </w:p>
    <w:p w14:paraId="72810070">
      <w:pPr>
        <w:bidi w:val="0"/>
        <w:rPr>
          <w:rFonts w:hint="eastAsia"/>
          <w:b/>
          <w:bCs/>
          <w:sz w:val="24"/>
          <w:szCs w:val="32"/>
        </w:rPr>
      </w:pPr>
      <w:r>
        <w:rPr>
          <w:rFonts w:hint="eastAsia"/>
          <w:b/>
          <w:bCs/>
          <w:sz w:val="24"/>
          <w:szCs w:val="32"/>
        </w:rPr>
        <w:t>一、讲座内容总结</w:t>
      </w:r>
    </w:p>
    <w:p w14:paraId="69DA107B">
      <w:pPr>
        <w:bidi w:val="0"/>
        <w:rPr>
          <w:rFonts w:hint="eastAsia"/>
          <w:sz w:val="24"/>
          <w:szCs w:val="32"/>
        </w:rPr>
      </w:pPr>
      <w:r>
        <w:rPr>
          <w:rFonts w:hint="eastAsia"/>
          <w:sz w:val="24"/>
          <w:szCs w:val="32"/>
        </w:rPr>
        <w:t>本次讲座围绕开源合规、开源商业模式及大模型风险管理三大核心板块展开，结合大量实际案例与行业实践，深入解析了数字时代开源生态与AI技术应用的关键问题。</w:t>
      </w:r>
    </w:p>
    <w:p w14:paraId="690293E0">
      <w:pPr>
        <w:bidi w:val="0"/>
        <w:rPr>
          <w:rFonts w:hint="eastAsia"/>
          <w:sz w:val="24"/>
          <w:szCs w:val="32"/>
        </w:rPr>
      </w:pPr>
      <w:r>
        <w:rPr>
          <w:rFonts w:hint="eastAsia"/>
          <w:sz w:val="24"/>
          <w:szCs w:val="32"/>
        </w:rPr>
        <w:t>（一）开源合规的核心价值与风险</w:t>
      </w:r>
    </w:p>
    <w:p w14:paraId="32B9EE7F">
      <w:pPr>
        <w:bidi w:val="0"/>
        <w:rPr>
          <w:rFonts w:hint="eastAsia"/>
          <w:sz w:val="24"/>
          <w:szCs w:val="32"/>
        </w:rPr>
      </w:pPr>
      <w:r>
        <w:rPr>
          <w:rFonts w:hint="eastAsia"/>
          <w:sz w:val="24"/>
          <w:szCs w:val="32"/>
        </w:rPr>
        <w:t>1. 合规必要性：欧盟CRI网络安全法规要求出口产品提供开源软件物料清单（SPOC清单），国内企业做好开源合规是融入欧美供应链的关键。</w:t>
      </w:r>
    </w:p>
    <w:p w14:paraId="3673D799">
      <w:pPr>
        <w:bidi w:val="0"/>
        <w:rPr>
          <w:rFonts w:hint="eastAsia"/>
          <w:sz w:val="24"/>
          <w:szCs w:val="32"/>
        </w:rPr>
      </w:pPr>
      <w:r>
        <w:rPr>
          <w:rFonts w:hint="eastAsia"/>
          <w:sz w:val="24"/>
          <w:szCs w:val="32"/>
        </w:rPr>
        <w:t>2. 典型风险案例：谷歌安卓因抄袭Java API遭Oracle起诉近10年；国内企业因违规使用带附加商业许可条件的MIT开源代码陷入诉讼；字节跳动火山引擎因删除开源组件版权信息公开道歉。</w:t>
      </w:r>
    </w:p>
    <w:p w14:paraId="0A26C061">
      <w:pPr>
        <w:bidi w:val="0"/>
        <w:rPr>
          <w:rFonts w:hint="eastAsia"/>
          <w:sz w:val="24"/>
          <w:szCs w:val="32"/>
        </w:rPr>
      </w:pPr>
      <w:r>
        <w:rPr>
          <w:rFonts w:hint="eastAsia"/>
          <w:sz w:val="24"/>
          <w:szCs w:val="32"/>
        </w:rPr>
        <w:t>3. 四大风险类型：著作权侵权风险、专利许可缺失风险、商业秘密泄露风险（如GPL许可证下衍生作品需开源导致内部逻辑泄露）、网络安全漏洞风险（如Log4j高危组件未及时更新）。</w:t>
      </w:r>
    </w:p>
    <w:p w14:paraId="2833FAFD">
      <w:pPr>
        <w:bidi w:val="0"/>
        <w:rPr>
          <w:rFonts w:hint="eastAsia"/>
          <w:sz w:val="24"/>
          <w:szCs w:val="32"/>
        </w:rPr>
      </w:pPr>
      <w:r>
        <w:rPr>
          <w:rFonts w:hint="eastAsia"/>
          <w:sz w:val="24"/>
          <w:szCs w:val="32"/>
        </w:rPr>
        <w:t>（二）开源的商业战略与典型模式</w:t>
      </w:r>
    </w:p>
    <w:p w14:paraId="695ABC2B">
      <w:pPr>
        <w:bidi w:val="0"/>
        <w:rPr>
          <w:rFonts w:hint="eastAsia"/>
          <w:sz w:val="24"/>
          <w:szCs w:val="32"/>
        </w:rPr>
      </w:pPr>
      <w:r>
        <w:rPr>
          <w:rFonts w:hint="eastAsia"/>
          <w:sz w:val="24"/>
          <w:szCs w:val="32"/>
        </w:rPr>
        <w:t>1. 核心认知：开源已从个人互动升级为企业核心商业策略，通过生态构建实现长期收益。</w:t>
      </w:r>
    </w:p>
    <w:p w14:paraId="7716BC99">
      <w:pPr>
        <w:bidi w:val="0"/>
        <w:rPr>
          <w:rFonts w:hint="eastAsia"/>
          <w:sz w:val="24"/>
          <w:szCs w:val="32"/>
        </w:rPr>
      </w:pPr>
      <w:r>
        <w:rPr>
          <w:rFonts w:hint="eastAsia"/>
          <w:sz w:val="24"/>
          <w:szCs w:val="32"/>
        </w:rPr>
        <w:t>2. 典型商业模式：</w:t>
      </w:r>
    </w:p>
    <w:p w14:paraId="42471A11">
      <w:pPr>
        <w:bidi w:val="0"/>
        <w:rPr>
          <w:rFonts w:hint="eastAsia"/>
          <w:sz w:val="24"/>
          <w:szCs w:val="32"/>
        </w:rPr>
      </w:pPr>
      <w:r>
        <w:rPr>
          <w:rFonts w:hint="eastAsia"/>
          <w:sz w:val="24"/>
          <w:szCs w:val="32"/>
        </w:rPr>
        <w:t>• 双版本模式（QT、MySQL）：开源版提供基础功能，商业版提供更完善服务与支持；</w:t>
      </w:r>
    </w:p>
    <w:p w14:paraId="4725E1EA">
      <w:pPr>
        <w:bidi w:val="0"/>
        <w:rPr>
          <w:rFonts w:hint="eastAsia"/>
          <w:sz w:val="24"/>
          <w:szCs w:val="32"/>
        </w:rPr>
      </w:pPr>
      <w:r>
        <w:rPr>
          <w:rFonts w:hint="eastAsia"/>
          <w:sz w:val="24"/>
          <w:szCs w:val="32"/>
        </w:rPr>
        <w:t>• 功能模块化模式（Open Call）：开源核心模块培养用户习惯，商业版提供完整解决方案；</w:t>
      </w:r>
    </w:p>
    <w:p w14:paraId="4FA121A3">
      <w:pPr>
        <w:bidi w:val="0"/>
        <w:rPr>
          <w:rFonts w:hint="eastAsia"/>
          <w:sz w:val="24"/>
          <w:szCs w:val="32"/>
        </w:rPr>
      </w:pPr>
      <w:r>
        <w:rPr>
          <w:rFonts w:hint="eastAsia"/>
          <w:sz w:val="24"/>
          <w:szCs w:val="32"/>
        </w:rPr>
        <w:t>• 服务支持模式（红帽）：软件免费，通过技术服务收费；</w:t>
      </w:r>
    </w:p>
    <w:p w14:paraId="2E768EF9">
      <w:pPr>
        <w:bidi w:val="0"/>
        <w:rPr>
          <w:rFonts w:hint="eastAsia"/>
          <w:sz w:val="24"/>
          <w:szCs w:val="32"/>
        </w:rPr>
      </w:pPr>
      <w:r>
        <w:rPr>
          <w:rFonts w:hint="eastAsia"/>
          <w:sz w:val="24"/>
          <w:szCs w:val="32"/>
        </w:rPr>
        <w:t>• SaaS模式（WordPress）：开源软件免费，通过云端部署、运维服务盈利；</w:t>
      </w:r>
    </w:p>
    <w:p w14:paraId="1A2846E3">
      <w:pPr>
        <w:bidi w:val="0"/>
        <w:rPr>
          <w:rFonts w:hint="eastAsia"/>
          <w:sz w:val="24"/>
          <w:szCs w:val="32"/>
        </w:rPr>
      </w:pPr>
      <w:r>
        <w:rPr>
          <w:rFonts w:hint="eastAsia"/>
          <w:sz w:val="24"/>
          <w:szCs w:val="32"/>
        </w:rPr>
        <w:t>• 生态绑定模式（安卓）：免费开放系统，通过GMS套件预装、应用商店抽成实现间接收益；</w:t>
      </w:r>
    </w:p>
    <w:p w14:paraId="5BAA9835">
      <w:pPr>
        <w:bidi w:val="0"/>
        <w:rPr>
          <w:rFonts w:hint="eastAsia"/>
          <w:sz w:val="24"/>
          <w:szCs w:val="32"/>
        </w:rPr>
      </w:pPr>
      <w:r>
        <w:rPr>
          <w:rFonts w:hint="eastAsia"/>
          <w:sz w:val="24"/>
          <w:szCs w:val="32"/>
        </w:rPr>
        <w:t>• 工具链赋能模式（Meta的PyTorch）：开源工具提升行业效率，自身因规模优势节省巨额成本。</w:t>
      </w:r>
    </w:p>
    <w:p w14:paraId="15574DE2">
      <w:pPr>
        <w:bidi w:val="0"/>
        <w:rPr>
          <w:rFonts w:hint="eastAsia"/>
          <w:sz w:val="24"/>
          <w:szCs w:val="32"/>
        </w:rPr>
      </w:pPr>
      <w:r>
        <w:rPr>
          <w:rFonts w:hint="eastAsia"/>
          <w:sz w:val="24"/>
          <w:szCs w:val="32"/>
        </w:rPr>
        <w:t>（三）企业开源治理体系构建</w:t>
      </w:r>
    </w:p>
    <w:p w14:paraId="4A615D22">
      <w:pPr>
        <w:bidi w:val="0"/>
        <w:rPr>
          <w:rFonts w:hint="eastAsia"/>
          <w:sz w:val="24"/>
          <w:szCs w:val="32"/>
        </w:rPr>
      </w:pPr>
      <w:r>
        <w:rPr>
          <w:rFonts w:hint="eastAsia"/>
          <w:sz w:val="24"/>
          <w:szCs w:val="32"/>
        </w:rPr>
        <w:t>1. 组织保障：需技术、合规、法务、风控等部门组成联合小组，部分大企业已设立开源事业部；</w:t>
      </w:r>
    </w:p>
    <w:p w14:paraId="455AF7A9">
      <w:pPr>
        <w:bidi w:val="0"/>
        <w:rPr>
          <w:rFonts w:hint="eastAsia"/>
          <w:sz w:val="24"/>
          <w:szCs w:val="32"/>
        </w:rPr>
      </w:pPr>
      <w:r>
        <w:rPr>
          <w:rFonts w:hint="eastAsia"/>
          <w:sz w:val="24"/>
          <w:szCs w:val="32"/>
        </w:rPr>
        <w:t>2. 核心流程：建立开源软件引入、管理、升级、退出的全生命周期流程，明确企业独特风险模型；</w:t>
      </w:r>
    </w:p>
    <w:p w14:paraId="270B2BAA">
      <w:pPr>
        <w:bidi w:val="0"/>
        <w:rPr>
          <w:rFonts w:hint="eastAsia"/>
          <w:sz w:val="24"/>
          <w:szCs w:val="32"/>
        </w:rPr>
      </w:pPr>
      <w:r>
        <w:rPr>
          <w:rFonts w:hint="eastAsia"/>
          <w:sz w:val="24"/>
          <w:szCs w:val="32"/>
        </w:rPr>
        <w:t>3. 关键举措：制定开源政策、开展员工合规培训、结合工具扫描与流程管控降低风险。</w:t>
      </w:r>
    </w:p>
    <w:p w14:paraId="21941D3D">
      <w:pPr>
        <w:bidi w:val="0"/>
        <w:rPr>
          <w:rFonts w:hint="eastAsia"/>
          <w:sz w:val="24"/>
          <w:szCs w:val="32"/>
        </w:rPr>
      </w:pPr>
      <w:r>
        <w:rPr>
          <w:rFonts w:hint="eastAsia"/>
          <w:sz w:val="24"/>
          <w:szCs w:val="32"/>
        </w:rPr>
        <w:t>（四）大模型时代的新挑战与风险管理</w:t>
      </w:r>
    </w:p>
    <w:p w14:paraId="434CD382">
      <w:pPr>
        <w:bidi w:val="0"/>
        <w:rPr>
          <w:rFonts w:hint="eastAsia"/>
          <w:sz w:val="24"/>
          <w:szCs w:val="32"/>
        </w:rPr>
      </w:pPr>
      <w:r>
        <w:rPr>
          <w:rFonts w:hint="eastAsia"/>
          <w:sz w:val="24"/>
          <w:szCs w:val="32"/>
        </w:rPr>
        <w:t>1. 软件形态变革：进入Software 3.0时代，软件呈现“自然语言+模型+高级语言”的混合形态，AIGC内容权属界定模糊；</w:t>
      </w:r>
    </w:p>
    <w:p w14:paraId="758270CA">
      <w:pPr>
        <w:bidi w:val="0"/>
        <w:rPr>
          <w:rFonts w:hint="eastAsia"/>
          <w:sz w:val="24"/>
          <w:szCs w:val="32"/>
        </w:rPr>
      </w:pPr>
      <w:r>
        <w:rPr>
          <w:rFonts w:hint="eastAsia"/>
          <w:sz w:val="24"/>
          <w:szCs w:val="32"/>
        </w:rPr>
        <w:t>2. 新型风险：模型幻觉、诱导性输出（如诱导自杀）、训练数据投毒、算法偏见、个人信息泄露等；</w:t>
      </w:r>
    </w:p>
    <w:p w14:paraId="6356ABC3">
      <w:pPr>
        <w:bidi w:val="0"/>
        <w:rPr>
          <w:rFonts w:hint="eastAsia"/>
          <w:sz w:val="24"/>
          <w:szCs w:val="32"/>
        </w:rPr>
      </w:pPr>
      <w:r>
        <w:rPr>
          <w:rFonts w:hint="eastAsia"/>
          <w:sz w:val="24"/>
          <w:szCs w:val="32"/>
        </w:rPr>
        <w:t>3. 管理框架：建立数据防火墙、明确训练数据准入评估、通过场景限定（如客服AI仅匹配预设故障解决方案）规避风险，强化测试验证与透明度建设。</w:t>
      </w:r>
    </w:p>
    <w:p w14:paraId="327E9FB8">
      <w:pPr>
        <w:bidi w:val="0"/>
        <w:rPr>
          <w:rFonts w:hint="eastAsia"/>
          <w:b/>
          <w:bCs/>
          <w:sz w:val="24"/>
          <w:szCs w:val="32"/>
        </w:rPr>
      </w:pPr>
      <w:r>
        <w:rPr>
          <w:rFonts w:hint="eastAsia"/>
          <w:b/>
          <w:bCs/>
          <w:sz w:val="24"/>
          <w:szCs w:val="32"/>
        </w:rPr>
        <w:t>二、心得体会</w:t>
      </w:r>
    </w:p>
    <w:p w14:paraId="1FB40BF8">
      <w:pPr>
        <w:bidi w:val="0"/>
        <w:ind w:firstLine="643"/>
        <w:rPr>
          <w:rFonts w:hint="eastAsia"/>
          <w:sz w:val="24"/>
          <w:szCs w:val="32"/>
        </w:rPr>
      </w:pPr>
      <w:r>
        <w:rPr>
          <w:rFonts w:hint="eastAsia"/>
          <w:sz w:val="24"/>
          <w:szCs w:val="32"/>
        </w:rPr>
        <w:t>这次讲座围绕开源合规、开源商业模式以及大模型风险管理展开，通过大量真实案例，将原本看似分散的技术、商业与合规问题串联在了一起。对我来说，最大的收获在于，它改变了我以往对“开源就是免费使用、风险较低”的直观认知，也让我开始从更现实的角度思考开源和人工智能在企业实践中的运行方式。</w:t>
      </w:r>
    </w:p>
    <w:p w14:paraId="7C4C69CE">
      <w:pPr>
        <w:bidi w:val="0"/>
        <w:ind w:firstLine="643"/>
        <w:rPr>
          <w:rFonts w:hint="eastAsia"/>
          <w:sz w:val="24"/>
          <w:szCs w:val="32"/>
        </w:rPr>
      </w:pPr>
      <w:r>
        <w:rPr>
          <w:rFonts w:hint="eastAsia"/>
          <w:sz w:val="24"/>
          <w:szCs w:val="32"/>
        </w:rPr>
        <w:t>首先，讲座让我比较直观地意识到，开源合规并不是“锦上添花”，而是企业发展过程中必须守住的一条底线。过去在学习或使用开源软件时，往往更关注技术功能本身，而很少深入了解许可证背后的法律义务。但讲座中提到的谷歌与 Oracle 因 Java API 纠纷持续十年的诉讼，以及国内企业因忽视开源许可证附加条件而引发争议的案例，都让我意识到，开源并不等于“随意使用”。一旦进入商业化场景，开源代码的使用方式、修改范围以及是否履行相应义务，都会直接转化为法律风险。</w:t>
      </w:r>
    </w:p>
    <w:p w14:paraId="1423A025">
      <w:pPr>
        <w:bidi w:val="0"/>
        <w:ind w:firstLine="643"/>
        <w:rPr>
          <w:rFonts w:hint="eastAsia"/>
          <w:sz w:val="24"/>
          <w:szCs w:val="32"/>
        </w:rPr>
      </w:pPr>
      <w:r>
        <w:rPr>
          <w:rFonts w:hint="eastAsia"/>
          <w:sz w:val="24"/>
          <w:szCs w:val="32"/>
        </w:rPr>
        <w:t>在当前企业不断“出海”的背景下，这种风险变得更加现实。随着欧盟等地区对软件供应链透明度和网络安全要求的提高，开源合规已经逐渐成为产品进入国际市场的前置条件之一。这也让我意识到，企业如果只是依靠事后补救来应对合规问题，往往成本更高、效果有限，更合理的方式还是在软件引入和开发阶段就建立起清晰的内部规则。</w:t>
      </w:r>
    </w:p>
    <w:p w14:paraId="398565EE">
      <w:pPr>
        <w:bidi w:val="0"/>
        <w:ind w:firstLine="643"/>
        <w:rPr>
          <w:rFonts w:hint="eastAsia"/>
          <w:sz w:val="24"/>
          <w:szCs w:val="32"/>
        </w:rPr>
      </w:pPr>
      <w:r>
        <w:rPr>
          <w:rFonts w:hint="eastAsia"/>
          <w:sz w:val="24"/>
          <w:szCs w:val="32"/>
        </w:rPr>
        <w:t>其次，讲座对开源商业模式的分析，让我对“开源是否影响盈利”这一问题有了新的理解。通过 Meta 开源 PyTorch、谷歌围绕安卓系统构建生态的案例可以看出，开源并不意味着放弃商业利益，而是一种更长周期的商业选择。企业通过开放核心技术，吸引开发者和合作伙伴参与，逐步形成稳定的技术生态，反而能够在更大的范围内获得持续收益。</w:t>
      </w:r>
    </w:p>
    <w:p w14:paraId="786C67F6">
      <w:pPr>
        <w:bidi w:val="0"/>
        <w:ind w:firstLine="643"/>
        <w:rPr>
          <w:rFonts w:hint="eastAsia"/>
          <w:sz w:val="24"/>
          <w:szCs w:val="32"/>
        </w:rPr>
      </w:pPr>
      <w:r>
        <w:rPr>
          <w:rFonts w:hint="eastAsia"/>
          <w:sz w:val="24"/>
          <w:szCs w:val="32"/>
        </w:rPr>
        <w:t>这一点对我触动比较大。过去容易把开源理解为一种“技术共享行为”，但从这些案例来看，它更像是一种经营思路：先通过开放降低参与门槛，再通过服务、平台或生态位置实现回报。这种方式虽然回报周期较长，但一旦形成规模，就很难被轻易替代。</w:t>
      </w:r>
    </w:p>
    <w:p w14:paraId="4F009F71">
      <w:pPr>
        <w:bidi w:val="0"/>
        <w:ind w:firstLine="643"/>
        <w:rPr>
          <w:rFonts w:hint="eastAsia"/>
          <w:sz w:val="24"/>
          <w:szCs w:val="32"/>
        </w:rPr>
      </w:pPr>
      <w:r>
        <w:rPr>
          <w:rFonts w:hint="eastAsia"/>
          <w:sz w:val="24"/>
          <w:szCs w:val="32"/>
        </w:rPr>
        <w:t>最后，大模型风险管理的相关内容让我感受到新技术带来的不确定性。无论是模型“幻觉”、诱导性输出，还是训练数据被投毒的问题，都说明人工智能的风险已经不再局限于传统的信息安全范畴，而是开始影响到内容责任、个人权益乃至社会伦理。这也让我意识到，面对大模型应用，单纯依靠技术人员的自我约束并不现实，仍然需要通过制度设计和合规框架来进行约束。</w:t>
      </w:r>
    </w:p>
    <w:p w14:paraId="0A6FBA2C">
      <w:pPr>
        <w:bidi w:val="0"/>
        <w:ind w:firstLine="643"/>
        <w:rPr>
          <w:rFonts w:hint="eastAsia"/>
          <w:sz w:val="24"/>
          <w:szCs w:val="32"/>
        </w:rPr>
      </w:pPr>
      <w:r>
        <w:rPr>
          <w:rFonts w:hint="eastAsia"/>
          <w:sz w:val="24"/>
          <w:szCs w:val="32"/>
        </w:rPr>
        <w:t>对我而言，这部分内容更像是一种提醒：在积极学习和使用 AI 工具的同时，也需要保持必要的审慎态度。既不能因为技术效率而忽视潜在风险，也不能因为风险存在就对新技术一味回避。</w:t>
      </w:r>
    </w:p>
    <w:p w14:paraId="44549F68">
      <w:pPr>
        <w:bidi w:val="0"/>
        <w:ind w:firstLine="643"/>
        <w:rPr>
          <w:rFonts w:hint="eastAsia"/>
          <w:sz w:val="24"/>
          <w:szCs w:val="32"/>
        </w:rPr>
      </w:pPr>
      <w:r>
        <w:rPr>
          <w:rFonts w:hint="eastAsia"/>
          <w:sz w:val="24"/>
          <w:szCs w:val="32"/>
        </w:rPr>
        <w:t>总体来看，这次讲座让我逐渐理清了开源与人工智能领域的一条基本逻辑：合规决定边界，商业模式决定路径，而风险管理决定能否走得长远。今后，我也希望在继续关注相关技术发展的同时，多从合规和制度层面进行思考，逐步培养跨领域理解问题的能力。</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CA5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3"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2025-12-21T12:31:20Z</dcterms:created>
  <dc:creator>Admin</dc:creator>
  <cp:lastModifiedBy>张楠</cp:lastModifiedBy>
  <dcterms:modified xsi:type="dcterms:W3CDTF">2025-12-21T12:37:49Z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eyJoZGlkIjoiNDkyOThkYjI2OTY4YmEwNGUxNjJjMGZmMDI5OWE5MzAiLCJ1c2VySWQiOiI4NTAyOTE4MjAifQ==</vt:lpwstr>
  </property>
  <property fmtid="{D5CDD505-2E9C-101B-9397-08002B2CF9AE}" pid="4" name="ICV">
    <vt:lpwstr>5D2DD15B9A5140CDA1156FA10F01F28C_12</vt:lpwstr>
  </property>
</Properties>
</file>