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6B90CF29" w:rsidR="00DB5D9F" w:rsidRDefault="00430360" w:rsidP="00801E5B">
      <w:pPr>
        <w:pStyle w:val="Title"/>
      </w:pPr>
      <w:r>
        <w:t>Remove</w:t>
      </w:r>
      <w:r w:rsidR="003621D2" w:rsidRPr="003621D2">
        <w:t xml:space="preserve"> food </w:t>
      </w:r>
      <w:r>
        <w:t>from</w:t>
      </w:r>
      <w:r w:rsidR="003621D2" w:rsidRPr="003621D2">
        <w:t xml:space="preserve"> a particular day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02EB3865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E270B2" w:rsidRPr="00E270B2">
        <w:rPr>
          <w:rFonts w:ascii="Calibri" w:eastAsia="Calibri" w:hAnsi="Calibri" w:cs="Times New Roman"/>
        </w:rPr>
        <w:t xml:space="preserve">use case </w:t>
      </w:r>
      <w:r w:rsidR="00D859FF" w:rsidRPr="00D859FF">
        <w:rPr>
          <w:rFonts w:ascii="Calibri" w:eastAsia="Calibri" w:hAnsi="Calibri" w:cs="Times New Roman"/>
        </w:rPr>
        <w:t>allows school administrators to remove a food item from the menu of a particular day. This functionality ensures that the food item is no longer available for students and parents to order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School Administrator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55C4A69B" w:rsidR="00625C66" w:rsidRDefault="00BA17EA" w:rsidP="00625C66">
      <w:r w:rsidRPr="00BA17EA">
        <w:t xml:space="preserve">The school administrator wants to </w:t>
      </w:r>
      <w:r w:rsidR="00CD3078" w:rsidRPr="00CD3078">
        <w:t>remove a food item from a particular day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ED6E52A" w14:textId="77777777" w:rsidR="00BA17EA" w:rsidRDefault="00BA17EA" w:rsidP="00BA17EA">
      <w:pPr>
        <w:pStyle w:val="ListParagraph"/>
        <w:numPr>
          <w:ilvl w:val="0"/>
          <w:numId w:val="3"/>
        </w:numPr>
      </w:pPr>
      <w:r>
        <w:t>The school administrator must be logged in to the system.</w:t>
      </w:r>
    </w:p>
    <w:p w14:paraId="23B379B5" w14:textId="6DBEEF6B" w:rsidR="009F21A1" w:rsidRDefault="00BE6124" w:rsidP="00BA17EA">
      <w:pPr>
        <w:pStyle w:val="ListParagraph"/>
        <w:numPr>
          <w:ilvl w:val="0"/>
          <w:numId w:val="3"/>
        </w:numPr>
      </w:pPr>
      <w:r w:rsidRPr="00BE6124">
        <w:t>The food item must have already been added to the menu of the particular day</w:t>
      </w:r>
      <w:r w:rsidR="00CB2931"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35F1A59E" w14:textId="77777777" w:rsidR="00BE6124" w:rsidRDefault="00BE6124" w:rsidP="00BE6124">
      <w:pPr>
        <w:pStyle w:val="ListParagraph"/>
        <w:numPr>
          <w:ilvl w:val="0"/>
          <w:numId w:val="6"/>
        </w:numPr>
      </w:pPr>
      <w:r>
        <w:t>The selected food item is removed from the menu of the particular day.</w:t>
      </w:r>
    </w:p>
    <w:p w14:paraId="18735C45" w14:textId="3CC8D22C" w:rsidR="00625C66" w:rsidRDefault="00BE6124" w:rsidP="00BE6124">
      <w:pPr>
        <w:pStyle w:val="ListParagraph"/>
        <w:numPr>
          <w:ilvl w:val="0"/>
          <w:numId w:val="6"/>
        </w:numPr>
      </w:pPr>
      <w:r>
        <w:t>The food item will not be available for students and parents to order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lastRenderedPageBreak/>
        <w:t>Basic Flow</w:t>
      </w:r>
    </w:p>
    <w:p w14:paraId="0151B73E" w14:textId="1B14CAFD" w:rsidR="000458A5" w:rsidRDefault="000458A5" w:rsidP="000458A5">
      <w:pPr>
        <w:pStyle w:val="ListParagraph"/>
        <w:numPr>
          <w:ilvl w:val="0"/>
          <w:numId w:val="5"/>
        </w:numPr>
      </w:pPr>
      <w:r>
        <w:t>The school administrator selects the "Lunch Schedule" menu.</w:t>
      </w:r>
    </w:p>
    <w:p w14:paraId="36EF7C5F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system displays a calendar for the administrator to select a specific day.</w:t>
      </w:r>
    </w:p>
    <w:p w14:paraId="1C8320DB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school administrator selects a day.</w:t>
      </w:r>
    </w:p>
    <w:p w14:paraId="6D90366A" w14:textId="77777777" w:rsidR="000458A5" w:rsidRDefault="000458A5" w:rsidP="000458A5">
      <w:pPr>
        <w:pStyle w:val="ListParagraph"/>
        <w:numPr>
          <w:ilvl w:val="0"/>
          <w:numId w:val="5"/>
        </w:numPr>
      </w:pPr>
      <w:r>
        <w:t>The system displays the food items that have already been added for that day.</w:t>
      </w:r>
    </w:p>
    <w:p w14:paraId="068608D6" w14:textId="2DA92A1A" w:rsidR="00177B7D" w:rsidRDefault="00177B7D" w:rsidP="00177B7D">
      <w:pPr>
        <w:pStyle w:val="ListParagraph"/>
        <w:numPr>
          <w:ilvl w:val="0"/>
          <w:numId w:val="5"/>
        </w:numPr>
      </w:pPr>
      <w:r>
        <w:t>The school administrator selects the</w:t>
      </w:r>
      <w:r w:rsidR="00B91627">
        <w:t xml:space="preserve"> </w:t>
      </w:r>
      <w:r>
        <w:t>food item to be removed.</w:t>
      </w:r>
    </w:p>
    <w:p w14:paraId="19CD9B66" w14:textId="69D999D5" w:rsidR="00177B7D" w:rsidRDefault="00177B7D" w:rsidP="00177B7D">
      <w:pPr>
        <w:pStyle w:val="ListParagraph"/>
        <w:numPr>
          <w:ilvl w:val="0"/>
          <w:numId w:val="5"/>
        </w:numPr>
      </w:pPr>
      <w:r>
        <w:t>The school administrator selects the “</w:t>
      </w:r>
      <w:r w:rsidR="00B91627">
        <w:t>Save</w:t>
      </w:r>
      <w:r>
        <w:t>” button</w:t>
      </w:r>
    </w:p>
    <w:p w14:paraId="3DA62771" w14:textId="77777777" w:rsidR="00B91627" w:rsidRDefault="00177B7D" w:rsidP="00177B7D">
      <w:pPr>
        <w:pStyle w:val="ListParagraph"/>
        <w:numPr>
          <w:ilvl w:val="0"/>
          <w:numId w:val="5"/>
        </w:numPr>
      </w:pPr>
      <w:r>
        <w:t>The system removes the food item from the menu of the selected day.</w:t>
      </w:r>
    </w:p>
    <w:p w14:paraId="060CD522" w14:textId="3FAE651E" w:rsidR="00E11BEE" w:rsidRDefault="00B91627" w:rsidP="00177B7D">
      <w:pPr>
        <w:pStyle w:val="ListParagraph"/>
        <w:numPr>
          <w:ilvl w:val="0"/>
          <w:numId w:val="5"/>
        </w:numPr>
      </w:pPr>
      <w:r>
        <w:t>The system displays the updated food items list</w:t>
      </w:r>
      <w:r w:rsidR="000458A5">
        <w:t>.</w:t>
      </w:r>
    </w:p>
    <w:p w14:paraId="5B21734E" w14:textId="0441AFB7" w:rsidR="008E75B0" w:rsidRDefault="009F21A1" w:rsidP="009F21A1">
      <w:pPr>
        <w:pStyle w:val="NumericLevel1Heading"/>
      </w:pPr>
      <w:r>
        <w:t>Alternate</w:t>
      </w:r>
      <w:r w:rsidR="00C062A9">
        <w:t xml:space="preserve"> Flows</w:t>
      </w:r>
    </w:p>
    <w:p w14:paraId="45FCD5AA" w14:textId="2D516149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774880F7" w14:textId="77777777" w:rsidR="008E75B0" w:rsidRDefault="000F5E3A" w:rsidP="008E75B0">
      <w:pPr>
        <w:pStyle w:val="ListParagraph"/>
        <w:numPr>
          <w:ilvl w:val="0"/>
          <w:numId w:val="7"/>
        </w:numPr>
      </w:pPr>
      <w:r>
        <w:t xml:space="preserve">5a. If there are no food items to remove, </w:t>
      </w:r>
      <w:r w:rsidR="008E75B0" w:rsidRPr="007C03C2">
        <w:t>the system displays a message "No food items found."</w:t>
      </w:r>
      <w:r w:rsidR="008E75B0">
        <w:t>.</w:t>
      </w:r>
    </w:p>
    <w:p w14:paraId="1D3038BF" w14:textId="4DB97EA8" w:rsidR="000F5E3A" w:rsidRDefault="000F5E3A" w:rsidP="000F5E3A">
      <w:pPr>
        <w:pStyle w:val="ListParagraph"/>
        <w:numPr>
          <w:ilvl w:val="0"/>
          <w:numId w:val="7"/>
        </w:numPr>
      </w:pPr>
      <w:r>
        <w:t>5b. If the school administrator selects the wrong food item, they can unselect the check box</w:t>
      </w:r>
      <w:r w:rsidR="00D916C7">
        <w:t xml:space="preserve"> to cancel</w:t>
      </w:r>
      <w:r>
        <w:t>.</w:t>
      </w:r>
    </w:p>
    <w:p w14:paraId="05B5ABFB" w14:textId="133123B0" w:rsidR="00356BF9" w:rsidRDefault="00356BF9" w:rsidP="000F5E3A">
      <w:pPr>
        <w:pStyle w:val="ListParagraph"/>
        <w:numPr>
          <w:ilvl w:val="0"/>
          <w:numId w:val="7"/>
        </w:numPr>
      </w:pPr>
      <w:r>
        <w:t>5c. If the school administrator wants to remove multiple food items, they can select multiple food items.</w:t>
      </w:r>
    </w:p>
    <w:p w14:paraId="5DFDCA2E" w14:textId="1E69D4A1" w:rsidR="000F5E3A" w:rsidRDefault="000F5E3A" w:rsidP="000F5E3A">
      <w:pPr>
        <w:pStyle w:val="ListParagraph"/>
        <w:numPr>
          <w:ilvl w:val="0"/>
          <w:numId w:val="7"/>
        </w:numPr>
      </w:pPr>
      <w:r>
        <w:t xml:space="preserve">7a. If there is an error in removing the food item, the system displays an error message and the </w:t>
      </w:r>
      <w:r w:rsidR="00356BF9">
        <w:t>system returns to food item list</w:t>
      </w:r>
      <w:r w:rsidR="00715779">
        <w:t xml:space="preserve"> of the selected day</w:t>
      </w:r>
      <w:r w:rsidR="00356BF9">
        <w:t xml:space="preserve"> and </w:t>
      </w:r>
      <w:r>
        <w:t>school administrator can retry the actio</w:t>
      </w:r>
      <w:r w:rsidR="00356BF9">
        <w:t>n</w:t>
      </w:r>
      <w:r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8BE2196" w14:textId="77777777" w:rsidR="007E67F0" w:rsidRDefault="007E67F0" w:rsidP="007E67F0">
      <w:pPr>
        <w:pStyle w:val="ListParagraph"/>
        <w:numPr>
          <w:ilvl w:val="0"/>
          <w:numId w:val="7"/>
        </w:numPr>
      </w:pPr>
      <w:r>
        <w:t>Only the school administrator can remove food items from the lunch menu.</w:t>
      </w:r>
    </w:p>
    <w:p w14:paraId="6616620A" w14:textId="689390F3" w:rsidR="000B4702" w:rsidRDefault="007E67F0" w:rsidP="007E67F0">
      <w:pPr>
        <w:pStyle w:val="ListParagraph"/>
        <w:numPr>
          <w:ilvl w:val="0"/>
          <w:numId w:val="7"/>
        </w:numPr>
      </w:pPr>
      <w:r>
        <w:t>The lunch schedule can not be updated for days in the past</w:t>
      </w:r>
      <w:r w:rsidR="00EA4AC2">
        <w:t>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B8732E7" w14:textId="4C4F0DBA" w:rsidR="000B4702" w:rsidRDefault="00236A00" w:rsidP="00236A00">
      <w:pPr>
        <w:pStyle w:val="ListParagraph"/>
        <w:numPr>
          <w:ilvl w:val="0"/>
          <w:numId w:val="7"/>
        </w:numPr>
      </w:pPr>
      <w:r>
        <w:t xml:space="preserve">The system must save the changes immediately after the food items are </w:t>
      </w:r>
      <w:r w:rsidR="00D75487">
        <w:t>removed</w:t>
      </w:r>
      <w:r>
        <w:t xml:space="preserve"> (1s)</w:t>
      </w:r>
      <w:r w:rsidR="000B4702">
        <w:t>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3137D677" w:rsidR="009F21A1" w:rsidRPr="000C065B" w:rsidRDefault="009E379A" w:rsidP="009F21A1">
      <w:r>
        <w:rPr>
          <w:noProof/>
        </w:rPr>
        <w:drawing>
          <wp:inline distT="0" distB="0" distL="0" distR="0" wp14:anchorId="2EEF18B6" wp14:editId="42CF9945">
            <wp:extent cx="516636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EA30" w14:textId="77777777" w:rsidR="00B11DD8" w:rsidRDefault="00B11DD8" w:rsidP="00937525">
      <w:pPr>
        <w:spacing w:after="0" w:line="240" w:lineRule="auto"/>
      </w:pPr>
      <w:r>
        <w:separator/>
      </w:r>
    </w:p>
  </w:endnote>
  <w:endnote w:type="continuationSeparator" w:id="0">
    <w:p w14:paraId="00B67701" w14:textId="77777777" w:rsidR="00B11DD8" w:rsidRDefault="00B11DD8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954C" w14:textId="77777777" w:rsidR="00B11DD8" w:rsidRDefault="00B11DD8" w:rsidP="00937525">
      <w:pPr>
        <w:spacing w:after="0" w:line="240" w:lineRule="auto"/>
      </w:pPr>
      <w:r>
        <w:separator/>
      </w:r>
    </w:p>
  </w:footnote>
  <w:footnote w:type="continuationSeparator" w:id="0">
    <w:p w14:paraId="246308EB" w14:textId="77777777" w:rsidR="00B11DD8" w:rsidRDefault="00B11DD8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458A5"/>
    <w:rsid w:val="000519BC"/>
    <w:rsid w:val="000555CF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F5E3A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77B7D"/>
    <w:rsid w:val="00182701"/>
    <w:rsid w:val="001837DD"/>
    <w:rsid w:val="001B4D7B"/>
    <w:rsid w:val="001B6F89"/>
    <w:rsid w:val="001C5012"/>
    <w:rsid w:val="002256CE"/>
    <w:rsid w:val="00236A00"/>
    <w:rsid w:val="00240475"/>
    <w:rsid w:val="002741B7"/>
    <w:rsid w:val="002857D7"/>
    <w:rsid w:val="00291EB3"/>
    <w:rsid w:val="00295F4E"/>
    <w:rsid w:val="00297A8D"/>
    <w:rsid w:val="002B6273"/>
    <w:rsid w:val="002D48B6"/>
    <w:rsid w:val="002E46CC"/>
    <w:rsid w:val="002E7140"/>
    <w:rsid w:val="00306857"/>
    <w:rsid w:val="00314AD2"/>
    <w:rsid w:val="0031782B"/>
    <w:rsid w:val="003229B3"/>
    <w:rsid w:val="00323AA2"/>
    <w:rsid w:val="00356BF9"/>
    <w:rsid w:val="003610C2"/>
    <w:rsid w:val="003621D2"/>
    <w:rsid w:val="00362F06"/>
    <w:rsid w:val="00372B61"/>
    <w:rsid w:val="00376132"/>
    <w:rsid w:val="00394556"/>
    <w:rsid w:val="003B6851"/>
    <w:rsid w:val="003C6701"/>
    <w:rsid w:val="0042345A"/>
    <w:rsid w:val="00430360"/>
    <w:rsid w:val="00450D96"/>
    <w:rsid w:val="00451C33"/>
    <w:rsid w:val="00451E24"/>
    <w:rsid w:val="00465833"/>
    <w:rsid w:val="00466A80"/>
    <w:rsid w:val="004801FC"/>
    <w:rsid w:val="004C7BAE"/>
    <w:rsid w:val="004D7671"/>
    <w:rsid w:val="00503476"/>
    <w:rsid w:val="00524590"/>
    <w:rsid w:val="005246F6"/>
    <w:rsid w:val="00531CDB"/>
    <w:rsid w:val="00560279"/>
    <w:rsid w:val="00584A47"/>
    <w:rsid w:val="00596CEC"/>
    <w:rsid w:val="005A1370"/>
    <w:rsid w:val="005B0BB3"/>
    <w:rsid w:val="005D453C"/>
    <w:rsid w:val="005E18C7"/>
    <w:rsid w:val="00625C66"/>
    <w:rsid w:val="00631D46"/>
    <w:rsid w:val="00655AE7"/>
    <w:rsid w:val="00662367"/>
    <w:rsid w:val="00662B0A"/>
    <w:rsid w:val="006A5C9C"/>
    <w:rsid w:val="006F116D"/>
    <w:rsid w:val="00711D7A"/>
    <w:rsid w:val="00715779"/>
    <w:rsid w:val="00721325"/>
    <w:rsid w:val="00737704"/>
    <w:rsid w:val="00740961"/>
    <w:rsid w:val="0074782C"/>
    <w:rsid w:val="007715B7"/>
    <w:rsid w:val="00774F6F"/>
    <w:rsid w:val="00775A34"/>
    <w:rsid w:val="007A0AF0"/>
    <w:rsid w:val="007B72C9"/>
    <w:rsid w:val="007E67F0"/>
    <w:rsid w:val="00801857"/>
    <w:rsid w:val="00801E5B"/>
    <w:rsid w:val="0083216C"/>
    <w:rsid w:val="00833BDE"/>
    <w:rsid w:val="00844760"/>
    <w:rsid w:val="008605B9"/>
    <w:rsid w:val="00873C8D"/>
    <w:rsid w:val="008863AB"/>
    <w:rsid w:val="00895F47"/>
    <w:rsid w:val="008C16BC"/>
    <w:rsid w:val="008C5F92"/>
    <w:rsid w:val="008E75B0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C4988"/>
    <w:rsid w:val="009D5524"/>
    <w:rsid w:val="009E379A"/>
    <w:rsid w:val="009E4CEF"/>
    <w:rsid w:val="009F21A1"/>
    <w:rsid w:val="00A1530D"/>
    <w:rsid w:val="00A16DF8"/>
    <w:rsid w:val="00A1706A"/>
    <w:rsid w:val="00A47E05"/>
    <w:rsid w:val="00A61DEC"/>
    <w:rsid w:val="00A7153D"/>
    <w:rsid w:val="00A82491"/>
    <w:rsid w:val="00A965A2"/>
    <w:rsid w:val="00AC3601"/>
    <w:rsid w:val="00AE32C1"/>
    <w:rsid w:val="00AE43EE"/>
    <w:rsid w:val="00B11DD8"/>
    <w:rsid w:val="00B12107"/>
    <w:rsid w:val="00B41130"/>
    <w:rsid w:val="00B663C8"/>
    <w:rsid w:val="00B72D52"/>
    <w:rsid w:val="00B75FF1"/>
    <w:rsid w:val="00B82BDC"/>
    <w:rsid w:val="00B908B5"/>
    <w:rsid w:val="00B91627"/>
    <w:rsid w:val="00BA17EA"/>
    <w:rsid w:val="00BA1D43"/>
    <w:rsid w:val="00BA7EEB"/>
    <w:rsid w:val="00BD0DE3"/>
    <w:rsid w:val="00BD6352"/>
    <w:rsid w:val="00BE6124"/>
    <w:rsid w:val="00C062A9"/>
    <w:rsid w:val="00C1498D"/>
    <w:rsid w:val="00C17055"/>
    <w:rsid w:val="00C20306"/>
    <w:rsid w:val="00C20DC2"/>
    <w:rsid w:val="00C271FC"/>
    <w:rsid w:val="00C30D67"/>
    <w:rsid w:val="00C46BD1"/>
    <w:rsid w:val="00C74A24"/>
    <w:rsid w:val="00C87922"/>
    <w:rsid w:val="00C96799"/>
    <w:rsid w:val="00C97250"/>
    <w:rsid w:val="00CA21DA"/>
    <w:rsid w:val="00CB2931"/>
    <w:rsid w:val="00CB2E37"/>
    <w:rsid w:val="00CB432A"/>
    <w:rsid w:val="00CD24B9"/>
    <w:rsid w:val="00CD3078"/>
    <w:rsid w:val="00D0633A"/>
    <w:rsid w:val="00D17C0F"/>
    <w:rsid w:val="00D26E7F"/>
    <w:rsid w:val="00D325E5"/>
    <w:rsid w:val="00D36B2E"/>
    <w:rsid w:val="00D42224"/>
    <w:rsid w:val="00D75487"/>
    <w:rsid w:val="00D859FF"/>
    <w:rsid w:val="00D916C7"/>
    <w:rsid w:val="00DA4792"/>
    <w:rsid w:val="00DB5776"/>
    <w:rsid w:val="00DB5A68"/>
    <w:rsid w:val="00DB5D9F"/>
    <w:rsid w:val="00DE1DDF"/>
    <w:rsid w:val="00DF018D"/>
    <w:rsid w:val="00DF13A7"/>
    <w:rsid w:val="00E11BEE"/>
    <w:rsid w:val="00E22E79"/>
    <w:rsid w:val="00E270B2"/>
    <w:rsid w:val="00E35903"/>
    <w:rsid w:val="00EA4AC2"/>
    <w:rsid w:val="00EA4B9C"/>
    <w:rsid w:val="00EA5C48"/>
    <w:rsid w:val="00EC7E31"/>
    <w:rsid w:val="00F0781D"/>
    <w:rsid w:val="00F55080"/>
    <w:rsid w:val="00F85FA1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42</cp:revision>
  <dcterms:created xsi:type="dcterms:W3CDTF">2023-04-22T13:55:00Z</dcterms:created>
  <dcterms:modified xsi:type="dcterms:W3CDTF">2023-04-30T06:08:00Z</dcterms:modified>
</cp:coreProperties>
</file>