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8217" w:type="dxa"/>
        <w:tblLook w:val="04A0" w:firstRow="1" w:lastRow="0" w:firstColumn="1" w:lastColumn="0" w:noHBand="0" w:noVBand="1"/>
      </w:tblPr>
      <w:tblGrid>
        <w:gridCol w:w="1128"/>
        <w:gridCol w:w="3829"/>
        <w:gridCol w:w="3260"/>
      </w:tblGrid>
      <w:tr w:rsidR="00541D45" w14:paraId="325BAAFA" w14:textId="77777777" w:rsidTr="00541D45">
        <w:tc>
          <w:tcPr>
            <w:tcW w:w="1128" w:type="dxa"/>
          </w:tcPr>
          <w:p w14:paraId="2DDDF6F2" w14:textId="268F9551" w:rsidR="00541D45" w:rsidRDefault="00541D45" w:rsidP="00541D45">
            <w:r>
              <w:rPr>
                <w:rFonts w:hint="eastAsia"/>
              </w:rPr>
              <w:t>p</w:t>
            </w:r>
            <w:r>
              <w:t>rediction</w:t>
            </w:r>
          </w:p>
        </w:tc>
        <w:tc>
          <w:tcPr>
            <w:tcW w:w="3829" w:type="dxa"/>
          </w:tcPr>
          <w:p w14:paraId="71562CCC" w14:textId="2AF01075" w:rsidR="00541D45" w:rsidRDefault="00541D45" w:rsidP="00541D45">
            <w:r>
              <w:t>Important features for decision tree</w:t>
            </w:r>
          </w:p>
        </w:tc>
        <w:tc>
          <w:tcPr>
            <w:tcW w:w="3260" w:type="dxa"/>
          </w:tcPr>
          <w:p w14:paraId="02260D96" w14:textId="70C31EAD" w:rsidR="00541D45" w:rsidRDefault="00541D45" w:rsidP="00541D45">
            <w:r>
              <w:t>Root node error</w:t>
            </w:r>
          </w:p>
        </w:tc>
      </w:tr>
      <w:tr w:rsidR="00541D45" w14:paraId="4EF6C56F" w14:textId="77777777" w:rsidTr="00541D45">
        <w:tc>
          <w:tcPr>
            <w:tcW w:w="1128" w:type="dxa"/>
          </w:tcPr>
          <w:p w14:paraId="01BAFEE2" w14:textId="52A8F8AE" w:rsidR="00541D45" w:rsidRDefault="00541D45" w:rsidP="00541D45">
            <w:r>
              <w:rPr>
                <w:rFonts w:hint="eastAsia"/>
              </w:rPr>
              <w:t>G</w:t>
            </w:r>
            <w:r>
              <w:t>1</w:t>
            </w:r>
          </w:p>
        </w:tc>
        <w:tc>
          <w:tcPr>
            <w:tcW w:w="3829" w:type="dxa"/>
          </w:tcPr>
          <w:p w14:paraId="5CE930FC" w14:textId="56B43304" w:rsidR="00541D45" w:rsidRDefault="00541D45" w:rsidP="00541D45">
            <w:pPr>
              <w:jc w:val="left"/>
            </w:pPr>
            <w:r>
              <w:t xml:space="preserve">absences, failures, </w:t>
            </w:r>
            <w:proofErr w:type="spellStart"/>
            <w:r>
              <w:t>Fedu</w:t>
            </w:r>
            <w:proofErr w:type="spellEnd"/>
            <w:r>
              <w:t xml:space="preserve">, </w:t>
            </w:r>
            <w:proofErr w:type="spellStart"/>
            <w:r>
              <w:t>Fjob</w:t>
            </w:r>
            <w:proofErr w:type="spellEnd"/>
            <w:r>
              <w:t xml:space="preserve">, </w:t>
            </w:r>
            <w:proofErr w:type="spellStart"/>
            <w:r>
              <w:t>freetime</w:t>
            </w:r>
            <w:proofErr w:type="spellEnd"/>
            <w:r>
              <w:t xml:space="preserve">, health, </w:t>
            </w:r>
            <w:proofErr w:type="spellStart"/>
            <w:r>
              <w:t>Medu</w:t>
            </w:r>
            <w:proofErr w:type="spellEnd"/>
            <w:r>
              <w:t xml:space="preserve">, </w:t>
            </w:r>
            <w:proofErr w:type="spellStart"/>
            <w:r>
              <w:t>Mjob</w:t>
            </w:r>
            <w:proofErr w:type="spellEnd"/>
            <w:r>
              <w:t xml:space="preserve">, Paid, reason, </w:t>
            </w:r>
            <w:proofErr w:type="spellStart"/>
            <w:r>
              <w:t>schoolsup</w:t>
            </w:r>
            <w:proofErr w:type="spellEnd"/>
          </w:p>
        </w:tc>
        <w:tc>
          <w:tcPr>
            <w:tcW w:w="3260" w:type="dxa"/>
          </w:tcPr>
          <w:p w14:paraId="2C25F27E" w14:textId="641B8440" w:rsidR="00541D45" w:rsidRDefault="00541D45" w:rsidP="00541D45">
            <w:pPr>
              <w:jc w:val="left"/>
            </w:pPr>
            <w:r>
              <w:rPr>
                <w:rFonts w:hint="eastAsia"/>
              </w:rPr>
              <w:t>0</w:t>
            </w:r>
            <w:r>
              <w:t>.50</w:t>
            </w:r>
          </w:p>
        </w:tc>
      </w:tr>
      <w:tr w:rsidR="00541D45" w14:paraId="061A54C0" w14:textId="77777777" w:rsidTr="00541D45">
        <w:tc>
          <w:tcPr>
            <w:tcW w:w="1128" w:type="dxa"/>
          </w:tcPr>
          <w:p w14:paraId="6C01025F" w14:textId="6C37DFFF" w:rsidR="00541D45" w:rsidRDefault="00541D45" w:rsidP="00541D45">
            <w:r>
              <w:rPr>
                <w:rFonts w:hint="eastAsia"/>
              </w:rPr>
              <w:t>G</w:t>
            </w:r>
            <w:r>
              <w:t>2</w:t>
            </w:r>
          </w:p>
        </w:tc>
        <w:tc>
          <w:tcPr>
            <w:tcW w:w="3829" w:type="dxa"/>
          </w:tcPr>
          <w:p w14:paraId="6B3981CC" w14:textId="5A160A7A" w:rsidR="00541D45" w:rsidRDefault="00541D45" w:rsidP="00541D45">
            <w:r>
              <w:rPr>
                <w:rFonts w:hint="eastAsia"/>
              </w:rPr>
              <w:t>G</w:t>
            </w:r>
            <w:r>
              <w:t>1</w:t>
            </w:r>
          </w:p>
        </w:tc>
        <w:tc>
          <w:tcPr>
            <w:tcW w:w="3260" w:type="dxa"/>
          </w:tcPr>
          <w:p w14:paraId="6294FF43" w14:textId="387D089C" w:rsidR="00541D45" w:rsidRDefault="00541D45" w:rsidP="00541D45">
            <w:r>
              <w:rPr>
                <w:rFonts w:hint="eastAsia"/>
              </w:rPr>
              <w:t>0</w:t>
            </w:r>
            <w:r>
              <w:t>.49</w:t>
            </w:r>
          </w:p>
        </w:tc>
      </w:tr>
      <w:tr w:rsidR="00541D45" w14:paraId="77E564A7" w14:textId="77777777" w:rsidTr="00541D45">
        <w:tc>
          <w:tcPr>
            <w:tcW w:w="1128" w:type="dxa"/>
          </w:tcPr>
          <w:p w14:paraId="3B31F00A" w14:textId="2E21CC4E" w:rsidR="00541D45" w:rsidRDefault="00541D45" w:rsidP="00541D45">
            <w:r>
              <w:rPr>
                <w:rFonts w:hint="eastAsia"/>
              </w:rPr>
              <w:t>G</w:t>
            </w:r>
            <w:r>
              <w:t>3</w:t>
            </w:r>
          </w:p>
        </w:tc>
        <w:tc>
          <w:tcPr>
            <w:tcW w:w="3829" w:type="dxa"/>
          </w:tcPr>
          <w:p w14:paraId="54BCE4A7" w14:textId="1A9CC4FC" w:rsidR="00541D45" w:rsidRDefault="00541D45" w:rsidP="00541D45">
            <w:r>
              <w:rPr>
                <w:rFonts w:hint="eastAsia"/>
              </w:rPr>
              <w:t>a</w:t>
            </w:r>
            <w:r>
              <w:t xml:space="preserve">bsence, </w:t>
            </w:r>
            <w:proofErr w:type="spellStart"/>
            <w:r>
              <w:t>Fedu</w:t>
            </w:r>
            <w:proofErr w:type="spellEnd"/>
            <w:r>
              <w:t>, G2</w:t>
            </w:r>
          </w:p>
        </w:tc>
        <w:tc>
          <w:tcPr>
            <w:tcW w:w="3260" w:type="dxa"/>
          </w:tcPr>
          <w:p w14:paraId="044FF549" w14:textId="6D88B3C9" w:rsidR="00541D45" w:rsidRDefault="00541D45" w:rsidP="00541D45">
            <w:r>
              <w:rPr>
                <w:rFonts w:hint="eastAsia"/>
              </w:rPr>
              <w:t>0</w:t>
            </w:r>
            <w:r>
              <w:t>.49</w:t>
            </w:r>
          </w:p>
        </w:tc>
      </w:tr>
    </w:tbl>
    <w:p w14:paraId="11F6E2B5" w14:textId="4808F3B4" w:rsidR="00F87E29" w:rsidRDefault="00F87E29" w:rsidP="0097445C">
      <w:pPr>
        <w:jc w:val="center"/>
      </w:pPr>
      <w:r>
        <w:t>Prediction for math</w:t>
      </w:r>
    </w:p>
    <w:p w14:paraId="502E036C" w14:textId="1046209A" w:rsidR="00ED55E8" w:rsidRDefault="00ED55E8" w:rsidP="00ED55E8">
      <w:pPr>
        <w:jc w:val="left"/>
      </w:pPr>
    </w:p>
    <w:p w14:paraId="6D5D69AB" w14:textId="22060E6A" w:rsidR="00ED55E8" w:rsidRDefault="00541D45" w:rsidP="00ED55E8">
      <w:pPr>
        <w:jc w:val="left"/>
      </w:pPr>
      <w:r>
        <w:t>Predict grades into 3 categories: A, B, C</w:t>
      </w:r>
    </w:p>
    <w:tbl>
      <w:tblPr>
        <w:tblStyle w:val="a3"/>
        <w:tblW w:w="0" w:type="auto"/>
        <w:tblLook w:val="04A0" w:firstRow="1" w:lastRow="0" w:firstColumn="1" w:lastColumn="0" w:noHBand="0" w:noVBand="1"/>
      </w:tblPr>
      <w:tblGrid>
        <w:gridCol w:w="2765"/>
        <w:gridCol w:w="2765"/>
        <w:gridCol w:w="2766"/>
      </w:tblGrid>
      <w:tr w:rsidR="00541D45" w14:paraId="6F8BCC48" w14:textId="77777777" w:rsidTr="00541D45">
        <w:tc>
          <w:tcPr>
            <w:tcW w:w="2765" w:type="dxa"/>
          </w:tcPr>
          <w:p w14:paraId="7F18FCFB" w14:textId="1C9B4697" w:rsidR="00541D45" w:rsidRDefault="00541D45" w:rsidP="00ED55E8">
            <w:pPr>
              <w:jc w:val="left"/>
            </w:pPr>
            <w:r>
              <w:rPr>
                <w:rFonts w:hint="eastAsia"/>
              </w:rPr>
              <w:t>r</w:t>
            </w:r>
            <w:r>
              <w:t>esponses</w:t>
            </w:r>
          </w:p>
        </w:tc>
        <w:tc>
          <w:tcPr>
            <w:tcW w:w="2765" w:type="dxa"/>
          </w:tcPr>
          <w:p w14:paraId="7CAE31B3" w14:textId="7AA1644E" w:rsidR="00541D45" w:rsidRDefault="00541D45" w:rsidP="00ED55E8">
            <w:pPr>
              <w:jc w:val="left"/>
            </w:pPr>
            <w:r>
              <w:t>Overall acc</w:t>
            </w:r>
          </w:p>
        </w:tc>
        <w:tc>
          <w:tcPr>
            <w:tcW w:w="2766" w:type="dxa"/>
          </w:tcPr>
          <w:p w14:paraId="41B59E6E" w14:textId="602A9788" w:rsidR="00541D45" w:rsidRDefault="00541D45" w:rsidP="00ED55E8">
            <w:pPr>
              <w:jc w:val="left"/>
            </w:pPr>
            <w:r>
              <w:t>Risk acc</w:t>
            </w:r>
          </w:p>
        </w:tc>
      </w:tr>
      <w:tr w:rsidR="00541D45" w14:paraId="10DE052D" w14:textId="77777777" w:rsidTr="00541D45">
        <w:tc>
          <w:tcPr>
            <w:tcW w:w="2765" w:type="dxa"/>
          </w:tcPr>
          <w:p w14:paraId="6128DCB1" w14:textId="600B31E7" w:rsidR="00541D45" w:rsidRDefault="00541D45" w:rsidP="00ED55E8">
            <w:pPr>
              <w:jc w:val="left"/>
            </w:pPr>
            <w:r>
              <w:rPr>
                <w:rFonts w:hint="eastAsia"/>
              </w:rPr>
              <w:t>G</w:t>
            </w:r>
            <w:r>
              <w:t>1</w:t>
            </w:r>
          </w:p>
        </w:tc>
        <w:tc>
          <w:tcPr>
            <w:tcW w:w="2765" w:type="dxa"/>
          </w:tcPr>
          <w:p w14:paraId="77A759EC" w14:textId="4CE60A99" w:rsidR="00541D45" w:rsidRDefault="00541D45" w:rsidP="00ED55E8">
            <w:pPr>
              <w:jc w:val="left"/>
            </w:pPr>
            <w:r>
              <w:rPr>
                <w:rFonts w:hint="eastAsia"/>
              </w:rPr>
              <w:t>5</w:t>
            </w:r>
            <w:r>
              <w:t>1.35%</w:t>
            </w:r>
          </w:p>
        </w:tc>
        <w:tc>
          <w:tcPr>
            <w:tcW w:w="2766" w:type="dxa"/>
          </w:tcPr>
          <w:p w14:paraId="6A31BAF4" w14:textId="61D9D0DE" w:rsidR="00541D45" w:rsidRDefault="00541D45" w:rsidP="00ED55E8">
            <w:pPr>
              <w:jc w:val="left"/>
            </w:pPr>
            <w:r>
              <w:rPr>
                <w:rFonts w:hint="eastAsia"/>
              </w:rPr>
              <w:t>6</w:t>
            </w:r>
            <w:r>
              <w:t>2.5%</w:t>
            </w:r>
          </w:p>
        </w:tc>
      </w:tr>
      <w:tr w:rsidR="00541D45" w14:paraId="0BE682EC" w14:textId="77777777" w:rsidTr="00541D45">
        <w:tc>
          <w:tcPr>
            <w:tcW w:w="2765" w:type="dxa"/>
          </w:tcPr>
          <w:p w14:paraId="30793D5B" w14:textId="4561319C" w:rsidR="00541D45" w:rsidRDefault="00541D45" w:rsidP="00ED55E8">
            <w:pPr>
              <w:jc w:val="left"/>
            </w:pPr>
            <w:r>
              <w:rPr>
                <w:rFonts w:hint="eastAsia"/>
              </w:rPr>
              <w:t>G</w:t>
            </w:r>
            <w:r>
              <w:t>2</w:t>
            </w:r>
          </w:p>
        </w:tc>
        <w:tc>
          <w:tcPr>
            <w:tcW w:w="2765" w:type="dxa"/>
          </w:tcPr>
          <w:p w14:paraId="363393C4" w14:textId="768AC0AE" w:rsidR="00541D45" w:rsidRDefault="00541D45" w:rsidP="00ED55E8">
            <w:pPr>
              <w:jc w:val="left"/>
            </w:pPr>
            <w:r>
              <w:rPr>
                <w:rFonts w:hint="eastAsia"/>
              </w:rPr>
              <w:t>8</w:t>
            </w:r>
            <w:r>
              <w:t>2.94%</w:t>
            </w:r>
          </w:p>
        </w:tc>
        <w:tc>
          <w:tcPr>
            <w:tcW w:w="2766" w:type="dxa"/>
          </w:tcPr>
          <w:p w14:paraId="73B89985" w14:textId="537444DF" w:rsidR="00541D45" w:rsidRDefault="00541D45" w:rsidP="00ED55E8">
            <w:pPr>
              <w:jc w:val="left"/>
            </w:pPr>
            <w:r>
              <w:rPr>
                <w:rFonts w:hint="eastAsia"/>
              </w:rPr>
              <w:t>7</w:t>
            </w:r>
            <w:r>
              <w:t>5.47%</w:t>
            </w:r>
          </w:p>
        </w:tc>
      </w:tr>
      <w:tr w:rsidR="00541D45" w14:paraId="0FD5C689" w14:textId="77777777" w:rsidTr="00541D45">
        <w:tc>
          <w:tcPr>
            <w:tcW w:w="2765" w:type="dxa"/>
          </w:tcPr>
          <w:p w14:paraId="2539581A" w14:textId="213F7FD1" w:rsidR="00541D45" w:rsidRDefault="00541D45" w:rsidP="00ED55E8">
            <w:pPr>
              <w:jc w:val="left"/>
            </w:pPr>
            <w:r>
              <w:rPr>
                <w:rFonts w:hint="eastAsia"/>
              </w:rPr>
              <w:t>G</w:t>
            </w:r>
            <w:r>
              <w:t>3</w:t>
            </w:r>
          </w:p>
        </w:tc>
        <w:tc>
          <w:tcPr>
            <w:tcW w:w="2765" w:type="dxa"/>
          </w:tcPr>
          <w:p w14:paraId="23F5920C" w14:textId="318C5B4D" w:rsidR="00541D45" w:rsidRDefault="00541D45" w:rsidP="00ED55E8">
            <w:pPr>
              <w:jc w:val="left"/>
            </w:pPr>
            <w:r>
              <w:rPr>
                <w:rFonts w:hint="eastAsia"/>
              </w:rPr>
              <w:t>8</w:t>
            </w:r>
            <w:r>
              <w:t>6.6%</w:t>
            </w:r>
          </w:p>
        </w:tc>
        <w:tc>
          <w:tcPr>
            <w:tcW w:w="2766" w:type="dxa"/>
          </w:tcPr>
          <w:p w14:paraId="1EF09D78" w14:textId="332AEDAE" w:rsidR="00541D45" w:rsidRDefault="00541D45" w:rsidP="00ED55E8">
            <w:pPr>
              <w:jc w:val="left"/>
            </w:pPr>
            <w:r>
              <w:rPr>
                <w:rFonts w:hint="eastAsia"/>
              </w:rPr>
              <w:t>8</w:t>
            </w:r>
            <w:r>
              <w:t>0.95%</w:t>
            </w:r>
          </w:p>
        </w:tc>
      </w:tr>
    </w:tbl>
    <w:p w14:paraId="7DBC4B94" w14:textId="7FAA6E10" w:rsidR="00541D45" w:rsidRDefault="00541D45" w:rsidP="00ED55E8">
      <w:pPr>
        <w:jc w:val="left"/>
      </w:pPr>
    </w:p>
    <w:p w14:paraId="484D58DE" w14:textId="17CF2648" w:rsidR="00F51876" w:rsidRDefault="00F51876" w:rsidP="00ED55E8">
      <w:pPr>
        <w:jc w:val="left"/>
      </w:pPr>
      <w:r>
        <w:rPr>
          <w:noProof/>
        </w:rPr>
        <w:drawing>
          <wp:inline distT="0" distB="0" distL="0" distR="0" wp14:anchorId="16EB04AC" wp14:editId="3238DE0D">
            <wp:extent cx="5274310" cy="54737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473700"/>
                    </a:xfrm>
                    <a:prstGeom prst="rect">
                      <a:avLst/>
                    </a:prstGeom>
                    <a:noFill/>
                    <a:ln>
                      <a:noFill/>
                    </a:ln>
                  </pic:spPr>
                </pic:pic>
              </a:graphicData>
            </a:graphic>
          </wp:inline>
        </w:drawing>
      </w:r>
    </w:p>
    <w:p w14:paraId="00FC481D" w14:textId="69673D99" w:rsidR="00BA246A" w:rsidRDefault="00BA246A" w:rsidP="00ED55E8">
      <w:pPr>
        <w:jc w:val="left"/>
      </w:pPr>
    </w:p>
    <w:p w14:paraId="38B31836" w14:textId="77777777" w:rsidR="00BA246A" w:rsidRDefault="00BA246A" w:rsidP="00ED55E8">
      <w:pPr>
        <w:jc w:val="left"/>
      </w:pPr>
    </w:p>
    <w:p w14:paraId="6012B0D1" w14:textId="6EC596BD" w:rsidR="008977E3" w:rsidRDefault="008977E3" w:rsidP="00ED55E8">
      <w:pPr>
        <w:jc w:val="left"/>
      </w:pPr>
      <w:r>
        <w:rPr>
          <w:rFonts w:hint="eastAsia"/>
        </w:rPr>
        <w:lastRenderedPageBreak/>
        <w:t>I</w:t>
      </w:r>
      <w:r>
        <w:t xml:space="preserve"> will talk about the initial prototype and results.</w:t>
      </w:r>
    </w:p>
    <w:p w14:paraId="2D34C39A" w14:textId="47DDDBD8" w:rsidR="008977E3" w:rsidRDefault="008977E3" w:rsidP="00ED55E8">
      <w:pPr>
        <w:jc w:val="left"/>
      </w:pPr>
    </w:p>
    <w:p w14:paraId="22B4A5DF" w14:textId="4ACF0C43" w:rsidR="00C00DBE" w:rsidRDefault="005D42BE" w:rsidP="00ED55E8">
      <w:pPr>
        <w:jc w:val="left"/>
      </w:pPr>
      <w:r>
        <w:t>This is the flow chart for our basic model.</w:t>
      </w:r>
    </w:p>
    <w:p w14:paraId="0416311F" w14:textId="77777777" w:rsidR="005D42BE" w:rsidRDefault="005D42BE" w:rsidP="00ED55E8">
      <w:pPr>
        <w:jc w:val="left"/>
      </w:pPr>
    </w:p>
    <w:p w14:paraId="2C48C7A7" w14:textId="2189D457" w:rsidR="00F51876" w:rsidRDefault="00F51876" w:rsidP="00ED55E8">
      <w:pPr>
        <w:jc w:val="left"/>
      </w:pPr>
      <w:r>
        <w:t>As the aim of the project is to predict whether a student is potentially at risk with academic achievement, the model that we build will be focusing</w:t>
      </w:r>
      <w:r w:rsidR="00B97B1F">
        <w:t xml:space="preserve"> on </w:t>
      </w:r>
      <w:r>
        <w:t>students who are failing the subject, which is having grades under 10</w:t>
      </w:r>
      <w:r w:rsidR="00286744">
        <w:t>. We divided the student into 3 groups</w:t>
      </w:r>
      <w:r w:rsidR="00C00DBE">
        <w:t xml:space="preserve"> based on their grades</w:t>
      </w:r>
      <w:r w:rsidR="00286744">
        <w:t xml:space="preserve">: 0-5, 6-10, and </w:t>
      </w:r>
      <w:r w:rsidR="00C00DBE">
        <w:t xml:space="preserve">more than </w:t>
      </w:r>
      <w:r w:rsidR="00286744">
        <w:t>10.</w:t>
      </w:r>
    </w:p>
    <w:p w14:paraId="295BF54A" w14:textId="77777777" w:rsidR="005D42BE" w:rsidRDefault="005D42BE" w:rsidP="00ED55E8">
      <w:pPr>
        <w:jc w:val="left"/>
      </w:pPr>
    </w:p>
    <w:p w14:paraId="5B75631B" w14:textId="77596F84" w:rsidR="00286744" w:rsidRDefault="00286744" w:rsidP="00ED55E8">
      <w:pPr>
        <w:jc w:val="left"/>
      </w:pPr>
      <w:r>
        <w:t>We buil</w:t>
      </w:r>
      <w:r w:rsidR="00B97B1F">
        <w:t>t</w:t>
      </w:r>
      <w:r>
        <w:t xml:space="preserve"> decision tree</w:t>
      </w:r>
      <w:r w:rsidR="009E2491">
        <w:t>s</w:t>
      </w:r>
      <w:r>
        <w:t xml:space="preserve"> </w:t>
      </w:r>
      <w:r w:rsidR="00C00DBE">
        <w:t xml:space="preserve">to </w:t>
      </w:r>
      <w:r w:rsidR="0035621F">
        <w:t xml:space="preserve">obtain features that are used in predicting a student’s grade. For example, for G3 prediction, the decision tree </w:t>
      </w:r>
      <w:r w:rsidR="009E2491">
        <w:t xml:space="preserve">suggests </w:t>
      </w:r>
      <w:r w:rsidR="0035621F">
        <w:t xml:space="preserve">that </w:t>
      </w:r>
      <w:r w:rsidR="00474CBC">
        <w:t>G2 is the most important feature,</w:t>
      </w:r>
      <w:r w:rsidR="0035621F">
        <w:t xml:space="preserve"> then is</w:t>
      </w:r>
      <w:r w:rsidR="00474CBC">
        <w:t xml:space="preserve"> absence</w:t>
      </w:r>
      <w:r w:rsidR="008B7585">
        <w:t xml:space="preserve"> and father’s education level</w:t>
      </w:r>
      <w:r w:rsidR="006C3C99">
        <w:t>.</w:t>
      </w:r>
    </w:p>
    <w:p w14:paraId="2973531C" w14:textId="4D240EDA" w:rsidR="001C3B60" w:rsidRDefault="001C3B60" w:rsidP="00ED55E8">
      <w:pPr>
        <w:jc w:val="left"/>
      </w:pPr>
    </w:p>
    <w:p w14:paraId="663C33F5" w14:textId="4B2D71CB" w:rsidR="006C3C99" w:rsidRDefault="007C28F6" w:rsidP="00ED55E8">
      <w:pPr>
        <w:jc w:val="left"/>
      </w:pPr>
      <w:r>
        <w:t xml:space="preserve">Then </w:t>
      </w:r>
      <w:r w:rsidR="0035621F">
        <w:t>W</w:t>
      </w:r>
      <w:r w:rsidR="006C3C99">
        <w:t xml:space="preserve">e </w:t>
      </w:r>
      <w:r w:rsidR="002F5DEA">
        <w:t>split our dataset, 70% is used as training set and the rest</w:t>
      </w:r>
      <w:r w:rsidR="00B97B1F">
        <w:t xml:space="preserve"> to be</w:t>
      </w:r>
      <w:r w:rsidR="002F5DEA">
        <w:t xml:space="preserve"> the test set. </w:t>
      </w:r>
      <w:r w:rsidR="00B97B1F">
        <w:t>T</w:t>
      </w:r>
      <w:r w:rsidR="0035621F">
        <w:t>he</w:t>
      </w:r>
      <w:r w:rsidR="00E4511E">
        <w:t xml:space="preserve"> basic model </w:t>
      </w:r>
      <w:r w:rsidR="0035621F">
        <w:t xml:space="preserve">is built </w:t>
      </w:r>
      <w:r w:rsidR="009E2491">
        <w:t>using</w:t>
      </w:r>
      <w:r w:rsidR="006C3C99">
        <w:t xml:space="preserve"> multinomial logistic regression with the important features obtained from the decision tree</w:t>
      </w:r>
      <w:r w:rsidR="00BA08FC">
        <w:t>. The accuracy is evaluated with the test set and calculated from the confusion matrix.</w:t>
      </w:r>
    </w:p>
    <w:p w14:paraId="6280140C" w14:textId="77777777" w:rsidR="00E4511E" w:rsidRPr="00E4511E" w:rsidRDefault="00E4511E" w:rsidP="00ED55E8">
      <w:pPr>
        <w:jc w:val="left"/>
      </w:pPr>
    </w:p>
    <w:p w14:paraId="41812356" w14:textId="2E99BA61" w:rsidR="00BA08FC" w:rsidRDefault="00BA08FC" w:rsidP="00ED55E8">
      <w:pPr>
        <w:jc w:val="left"/>
      </w:pPr>
      <w:r>
        <w:t>from the bar chart</w:t>
      </w:r>
      <w:r w:rsidR="009E2491">
        <w:t xml:space="preserve"> we can see that</w:t>
      </w:r>
      <w:r>
        <w:t>, although the accuracy for G1 prediction is only 5</w:t>
      </w:r>
      <w:r w:rsidR="009E2491">
        <w:t>1</w:t>
      </w:r>
      <w:r>
        <w:t xml:space="preserve">%, the accuracy for G2 and G3 is quite high, </w:t>
      </w:r>
      <w:r w:rsidR="001C3B60">
        <w:t>this means that the</w:t>
      </w:r>
      <w:r>
        <w:t xml:space="preserve"> information contained in G1 and G2 is highly relevant to G2 and G3 respectively.</w:t>
      </w:r>
    </w:p>
    <w:p w14:paraId="6D7B36E7" w14:textId="77777777" w:rsidR="00E4511E" w:rsidRDefault="00E4511E" w:rsidP="00ED55E8">
      <w:pPr>
        <w:jc w:val="left"/>
      </w:pPr>
    </w:p>
    <w:p w14:paraId="6479C5EB" w14:textId="4DF6CBFE" w:rsidR="00BA08FC" w:rsidRDefault="00BA08FC" w:rsidP="00ED55E8">
      <w:pPr>
        <w:jc w:val="left"/>
      </w:pPr>
      <w:r>
        <w:t>We have also done a comparison with</w:t>
      </w:r>
      <w:r w:rsidR="00A05D83">
        <w:t xml:space="preserve"> 4 categories grouping, which we further split students with grades more than 10 into 2 groups</w:t>
      </w:r>
      <w:r w:rsidR="0035621F">
        <w:t>:</w:t>
      </w:r>
      <w:r w:rsidR="00A05D83">
        <w:t xml:space="preserve"> 11-15 and 16-20.</w:t>
      </w:r>
    </w:p>
    <w:p w14:paraId="0FFCB94D" w14:textId="77777777" w:rsidR="0035621F" w:rsidRPr="0035621F" w:rsidRDefault="0035621F" w:rsidP="00ED55E8">
      <w:pPr>
        <w:jc w:val="left"/>
      </w:pPr>
    </w:p>
    <w:p w14:paraId="698B4276" w14:textId="219542CA" w:rsidR="00A05D83" w:rsidRDefault="00A05D83" w:rsidP="00ED55E8">
      <w:pPr>
        <w:jc w:val="left"/>
      </w:pPr>
      <w:r>
        <w:t xml:space="preserve">The accuracy </w:t>
      </w:r>
      <w:r w:rsidR="007C28F6">
        <w:t>for 4 categories grouping</w:t>
      </w:r>
      <w:r>
        <w:t xml:space="preserve"> is not as </w:t>
      </w:r>
      <w:r w:rsidR="00827205">
        <w:t xml:space="preserve">high, </w:t>
      </w:r>
      <w:r w:rsidR="007C28F6">
        <w:t xml:space="preserve">but </w:t>
      </w:r>
      <w:r w:rsidR="00827205">
        <w:t>we can still see the same trend of the high information content in G1 and G2.</w:t>
      </w:r>
    </w:p>
    <w:p w14:paraId="351C1607" w14:textId="77777777" w:rsidR="0035621F" w:rsidRDefault="0035621F" w:rsidP="00ED55E8">
      <w:pPr>
        <w:jc w:val="left"/>
      </w:pPr>
    </w:p>
    <w:p w14:paraId="47FA2DCE" w14:textId="1A893B7D" w:rsidR="002F5DEA" w:rsidRDefault="00BA246A" w:rsidP="00ED55E8">
      <w:pPr>
        <w:jc w:val="left"/>
      </w:pPr>
      <w:r>
        <w:t xml:space="preserve">This finding </w:t>
      </w:r>
      <w:r w:rsidR="00E25D31">
        <w:t>shows</w:t>
      </w:r>
      <w:r>
        <w:t xml:space="preserve"> that for building our prediction models, we </w:t>
      </w:r>
      <w:r w:rsidR="008C5551">
        <w:t>need</w:t>
      </w:r>
      <w:r>
        <w:t xml:space="preserve"> to focus more on the prediction of G1</w:t>
      </w:r>
      <w:r w:rsidR="008C5551">
        <w:t>. With a high accuracy of G1 prediction, the following prediction of G2 and G3 will be more reliable to indicate whether a student is going to face a potential risk academically.</w:t>
      </w:r>
    </w:p>
    <w:p w14:paraId="577DA1F2" w14:textId="073D83FF" w:rsidR="0035621F" w:rsidRDefault="0035621F" w:rsidP="00ED55E8">
      <w:pPr>
        <w:jc w:val="left"/>
      </w:pPr>
    </w:p>
    <w:p w14:paraId="7FB8A5E5" w14:textId="3B91DE36" w:rsidR="003D36EA" w:rsidRDefault="005D42BE" w:rsidP="00ED55E8">
      <w:pPr>
        <w:jc w:val="left"/>
        <w:rPr>
          <w:rFonts w:hint="eastAsia"/>
        </w:rPr>
      </w:pPr>
      <w:r>
        <w:t>Here is the timeline about what we have done and what we are going to do in the future, and in the next semester, we plan to merge several different datasets and build a system that provides support to the students at risk.</w:t>
      </w:r>
    </w:p>
    <w:p w14:paraId="47E5B5A2" w14:textId="77777777" w:rsidR="003D36EA" w:rsidRPr="003D36EA" w:rsidRDefault="003D36EA" w:rsidP="00ED55E8">
      <w:pPr>
        <w:jc w:val="left"/>
        <w:rPr>
          <w:rFonts w:hint="eastAsia"/>
        </w:rPr>
      </w:pPr>
    </w:p>
    <w:p w14:paraId="432D66B9" w14:textId="55A10AE3" w:rsidR="00F779B5" w:rsidRDefault="00F779B5" w:rsidP="00ED55E8">
      <w:pPr>
        <w:jc w:val="left"/>
      </w:pPr>
      <w:r>
        <w:t>Comparing with 4-cate acc:</w:t>
      </w:r>
    </w:p>
    <w:p w14:paraId="2AB51172" w14:textId="6AE6C0CD" w:rsidR="00541D45" w:rsidRDefault="00541D45" w:rsidP="00ED55E8">
      <w:pPr>
        <w:jc w:val="left"/>
      </w:pPr>
      <w:r>
        <w:rPr>
          <w:rFonts w:hint="eastAsia"/>
          <w:noProof/>
        </w:rPr>
        <w:lastRenderedPageBreak/>
        <w:drawing>
          <wp:inline distT="0" distB="0" distL="0" distR="0" wp14:anchorId="46313472" wp14:editId="2AAC9838">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7F7B00" w14:textId="77777777" w:rsidR="00A666FA" w:rsidRDefault="00A666FA" w:rsidP="00ED55E8">
      <w:pPr>
        <w:jc w:val="left"/>
      </w:pPr>
    </w:p>
    <w:p w14:paraId="29B8F70A" w14:textId="77777777" w:rsidR="00F51876" w:rsidRDefault="00F51876" w:rsidP="00ED55E8">
      <w:pPr>
        <w:jc w:val="left"/>
      </w:pPr>
    </w:p>
    <w:p w14:paraId="2C4456E8" w14:textId="6102E183" w:rsidR="00541D45" w:rsidRDefault="00541D45" w:rsidP="00ED55E8">
      <w:pPr>
        <w:jc w:val="left"/>
      </w:pPr>
      <w:r>
        <w:rPr>
          <w:rFonts w:hint="eastAsia"/>
          <w:noProof/>
        </w:rPr>
        <w:drawing>
          <wp:inline distT="0" distB="0" distL="0" distR="0" wp14:anchorId="0DA14AEC" wp14:editId="593B83E2">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92549A" w14:textId="76C47501" w:rsidR="00F779B5" w:rsidRDefault="00F779B5" w:rsidP="00ED55E8">
      <w:pPr>
        <w:jc w:val="left"/>
      </w:pPr>
    </w:p>
    <w:p w14:paraId="69C99821" w14:textId="1E2B7A9D" w:rsidR="00F779B5" w:rsidRDefault="00F779B5" w:rsidP="00ED55E8">
      <w:pPr>
        <w:jc w:val="left"/>
      </w:pPr>
      <w:r>
        <w:rPr>
          <w:rFonts w:hint="eastAsia"/>
        </w:rPr>
        <w:t>3</w:t>
      </w:r>
      <w:r>
        <w:t>-cate multinomial model has a better ability to predict student at risk.</w:t>
      </w:r>
    </w:p>
    <w:p w14:paraId="050B8BD7" w14:textId="50C0BA62" w:rsidR="00F779B5" w:rsidRDefault="00F779B5" w:rsidP="00ED55E8">
      <w:pPr>
        <w:jc w:val="left"/>
      </w:pPr>
      <w:r>
        <w:t>And has a better performance in overall prediction</w:t>
      </w:r>
    </w:p>
    <w:sectPr w:rsidR="00F77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1363"/>
    <w:multiLevelType w:val="hybridMultilevel"/>
    <w:tmpl w:val="56AA0A8C"/>
    <w:lvl w:ilvl="0" w:tplc="B1AC8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822A31"/>
    <w:multiLevelType w:val="hybridMultilevel"/>
    <w:tmpl w:val="83DC3050"/>
    <w:lvl w:ilvl="0" w:tplc="5EAC6D82">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BF"/>
    <w:rsid w:val="000B18C1"/>
    <w:rsid w:val="001555F4"/>
    <w:rsid w:val="001C3B60"/>
    <w:rsid w:val="002514A9"/>
    <w:rsid w:val="00286744"/>
    <w:rsid w:val="002F5DEA"/>
    <w:rsid w:val="0035621F"/>
    <w:rsid w:val="003944DD"/>
    <w:rsid w:val="003D36EA"/>
    <w:rsid w:val="00416EAC"/>
    <w:rsid w:val="00474CBC"/>
    <w:rsid w:val="004A5F96"/>
    <w:rsid w:val="00532D63"/>
    <w:rsid w:val="00541D45"/>
    <w:rsid w:val="005D42BE"/>
    <w:rsid w:val="00681F7A"/>
    <w:rsid w:val="006C3C99"/>
    <w:rsid w:val="007B46F6"/>
    <w:rsid w:val="007C28F6"/>
    <w:rsid w:val="00827205"/>
    <w:rsid w:val="00836E40"/>
    <w:rsid w:val="008977E3"/>
    <w:rsid w:val="008B7585"/>
    <w:rsid w:val="008C5551"/>
    <w:rsid w:val="008F511B"/>
    <w:rsid w:val="0097445C"/>
    <w:rsid w:val="009E2491"/>
    <w:rsid w:val="00A05D83"/>
    <w:rsid w:val="00A666FA"/>
    <w:rsid w:val="00B75A0F"/>
    <w:rsid w:val="00B97B1F"/>
    <w:rsid w:val="00BA08FC"/>
    <w:rsid w:val="00BA246A"/>
    <w:rsid w:val="00C00DBE"/>
    <w:rsid w:val="00CF7853"/>
    <w:rsid w:val="00DA3ABF"/>
    <w:rsid w:val="00E25D31"/>
    <w:rsid w:val="00E4511E"/>
    <w:rsid w:val="00EB58B8"/>
    <w:rsid w:val="00ED55E8"/>
    <w:rsid w:val="00F51876"/>
    <w:rsid w:val="00F779B5"/>
    <w:rsid w:val="00F87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FD91"/>
  <w15:chartTrackingRefBased/>
  <w15:docId w15:val="{BBBD488A-0465-4F06-926A-618BDE30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555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65950">
      <w:bodyDiv w:val="1"/>
      <w:marLeft w:val="0"/>
      <w:marRight w:val="0"/>
      <w:marTop w:val="0"/>
      <w:marBottom w:val="0"/>
      <w:divBdr>
        <w:top w:val="none" w:sz="0" w:space="0" w:color="auto"/>
        <w:left w:val="none" w:sz="0" w:space="0" w:color="auto"/>
        <w:bottom w:val="none" w:sz="0" w:space="0" w:color="auto"/>
        <w:right w:val="none" w:sz="0" w:space="0" w:color="auto"/>
      </w:divBdr>
    </w:div>
    <w:div w:id="1935239291">
      <w:bodyDiv w:val="1"/>
      <w:marLeft w:val="0"/>
      <w:marRight w:val="0"/>
      <w:marTop w:val="0"/>
      <w:marBottom w:val="0"/>
      <w:divBdr>
        <w:top w:val="none" w:sz="0" w:space="0" w:color="auto"/>
        <w:left w:val="none" w:sz="0" w:space="0" w:color="auto"/>
        <w:bottom w:val="none" w:sz="0" w:space="0" w:color="auto"/>
        <w:right w:val="none" w:sz="0" w:space="0" w:color="auto"/>
      </w:divBdr>
    </w:div>
    <w:div w:id="208210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t>
            </a:r>
            <a:r>
              <a:rPr lang="en-US" altLang="zh-CN" baseline="0"/>
              <a:t>ccuracy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6459138730943007E-2"/>
          <c:y val="0.13607859389093391"/>
          <c:w val="0.87831697416344512"/>
          <c:h val="0.44280181695554316"/>
        </c:manualLayout>
      </c:layout>
      <c:barChart>
        <c:barDir val="bar"/>
        <c:grouping val="clustered"/>
        <c:varyColors val="0"/>
        <c:ser>
          <c:idx val="0"/>
          <c:order val="0"/>
          <c:tx>
            <c:strRef>
              <c:f>Sheet1!$B$1</c:f>
              <c:strCache>
                <c:ptCount val="1"/>
                <c:pt idx="0">
                  <c:v>grouping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G1</c:v>
                </c:pt>
                <c:pt idx="1">
                  <c:v>G2</c:v>
                </c:pt>
                <c:pt idx="2">
                  <c:v>G3</c:v>
                </c:pt>
              </c:strCache>
            </c:strRef>
          </c:cat>
          <c:val>
            <c:numRef>
              <c:f>Sheet1!$B$2:$B$4</c:f>
              <c:numCache>
                <c:formatCode>0.00%</c:formatCode>
                <c:ptCount val="3"/>
                <c:pt idx="0">
                  <c:v>0.43240000000000001</c:v>
                </c:pt>
                <c:pt idx="1">
                  <c:v>0.76849999999999996</c:v>
                </c:pt>
                <c:pt idx="2">
                  <c:v>0.84540000000000004</c:v>
                </c:pt>
              </c:numCache>
            </c:numRef>
          </c:val>
          <c:extLst>
            <c:ext xmlns:c16="http://schemas.microsoft.com/office/drawing/2014/chart" uri="{C3380CC4-5D6E-409C-BE32-E72D297353CC}">
              <c16:uniqueId val="{00000000-1FDD-4375-AB37-7619EC1A5DDA}"/>
            </c:ext>
          </c:extLst>
        </c:ser>
        <c:ser>
          <c:idx val="1"/>
          <c:order val="1"/>
          <c:tx>
            <c:strRef>
              <c:f>Sheet1!$C$1</c:f>
              <c:strCache>
                <c:ptCount val="1"/>
                <c:pt idx="0">
                  <c:v>grouping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G1</c:v>
                </c:pt>
                <c:pt idx="1">
                  <c:v>G2</c:v>
                </c:pt>
                <c:pt idx="2">
                  <c:v>G3</c:v>
                </c:pt>
              </c:strCache>
            </c:strRef>
          </c:cat>
          <c:val>
            <c:numRef>
              <c:f>Sheet1!$C$2:$C$4</c:f>
              <c:numCache>
                <c:formatCode>0.00%</c:formatCode>
                <c:ptCount val="3"/>
                <c:pt idx="0">
                  <c:v>0.51349999999999996</c:v>
                </c:pt>
                <c:pt idx="1">
                  <c:v>0.82940000000000003</c:v>
                </c:pt>
                <c:pt idx="2">
                  <c:v>0.86599999999999999</c:v>
                </c:pt>
              </c:numCache>
            </c:numRef>
          </c:val>
          <c:extLst>
            <c:ext xmlns:c16="http://schemas.microsoft.com/office/drawing/2014/chart" uri="{C3380CC4-5D6E-409C-BE32-E72D297353CC}">
              <c16:uniqueId val="{00000001-1FDD-4375-AB37-7619EC1A5DDA}"/>
            </c:ext>
          </c:extLst>
        </c:ser>
        <c:dLbls>
          <c:dLblPos val="outEnd"/>
          <c:showLegendKey val="0"/>
          <c:showVal val="1"/>
          <c:showCatName val="0"/>
          <c:showSerName val="0"/>
          <c:showPercent val="0"/>
          <c:showBubbleSize val="0"/>
        </c:dLbls>
        <c:gapWidth val="219"/>
        <c:axId val="1480155760"/>
        <c:axId val="1674421456"/>
      </c:barChart>
      <c:catAx>
        <c:axId val="1480155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4421456"/>
        <c:crosses val="autoZero"/>
        <c:auto val="1"/>
        <c:lblAlgn val="ctr"/>
        <c:lblOffset val="100"/>
        <c:noMultiLvlLbl val="0"/>
      </c:catAx>
      <c:valAx>
        <c:axId val="167442145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0155760"/>
        <c:crosses val="autoZero"/>
        <c:crossBetween val="between"/>
      </c:valAx>
      <c:spPr>
        <a:noFill/>
        <a:ln>
          <a:noFill/>
        </a:ln>
        <a:effectLst/>
      </c:spPr>
    </c:plotArea>
    <c:legend>
      <c:legendPos val="b"/>
      <c:layout>
        <c:manualLayout>
          <c:xMode val="edge"/>
          <c:yMode val="edge"/>
          <c:x val="0.34700406309071707"/>
          <c:y val="0.65621803466517148"/>
          <c:w val="0.29636028219805055"/>
          <c:h val="6.308021094886359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At-risk </a:t>
            </a:r>
            <a:r>
              <a:rPr lang="en-US" altLang="zh-CN" baseline="0"/>
              <a:t>Accuracy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8867036636071825E-2"/>
          <c:y val="0.11543875900961297"/>
          <c:w val="0.88402369219860033"/>
          <c:h val="0.4304179160267505"/>
        </c:manualLayout>
      </c:layout>
      <c:barChart>
        <c:barDir val="bar"/>
        <c:grouping val="clustered"/>
        <c:varyColors val="0"/>
        <c:ser>
          <c:idx val="0"/>
          <c:order val="0"/>
          <c:tx>
            <c:strRef>
              <c:f>Sheet1!$B$1</c:f>
              <c:strCache>
                <c:ptCount val="1"/>
                <c:pt idx="0">
                  <c:v>grouping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G1</c:v>
                </c:pt>
                <c:pt idx="1">
                  <c:v>G2</c:v>
                </c:pt>
                <c:pt idx="2">
                  <c:v>G3</c:v>
                </c:pt>
              </c:strCache>
            </c:strRef>
          </c:cat>
          <c:val>
            <c:numRef>
              <c:f>Sheet1!$B$2:$B$4</c:f>
              <c:numCache>
                <c:formatCode>0.00%</c:formatCode>
                <c:ptCount val="3"/>
                <c:pt idx="0">
                  <c:v>0.54169999999999996</c:v>
                </c:pt>
                <c:pt idx="1">
                  <c:v>0.75470000000000004</c:v>
                </c:pt>
                <c:pt idx="2">
                  <c:v>0.8095</c:v>
                </c:pt>
              </c:numCache>
            </c:numRef>
          </c:val>
          <c:extLst>
            <c:ext xmlns:c16="http://schemas.microsoft.com/office/drawing/2014/chart" uri="{C3380CC4-5D6E-409C-BE32-E72D297353CC}">
              <c16:uniqueId val="{00000000-E32B-45B7-9C54-5E7F81FD2B22}"/>
            </c:ext>
          </c:extLst>
        </c:ser>
        <c:ser>
          <c:idx val="1"/>
          <c:order val="1"/>
          <c:tx>
            <c:strRef>
              <c:f>Sheet1!$C$1</c:f>
              <c:strCache>
                <c:ptCount val="1"/>
                <c:pt idx="0">
                  <c:v>grouping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G1</c:v>
                </c:pt>
                <c:pt idx="1">
                  <c:v>G2</c:v>
                </c:pt>
                <c:pt idx="2">
                  <c:v>G3</c:v>
                </c:pt>
              </c:strCache>
            </c:strRef>
          </c:cat>
          <c:val>
            <c:numRef>
              <c:f>Sheet1!$C$2:$C$4</c:f>
              <c:numCache>
                <c:formatCode>0.00%</c:formatCode>
                <c:ptCount val="3"/>
                <c:pt idx="0">
                  <c:v>0.625</c:v>
                </c:pt>
                <c:pt idx="1">
                  <c:v>0.75470000000000004</c:v>
                </c:pt>
                <c:pt idx="2">
                  <c:v>0.8095</c:v>
                </c:pt>
              </c:numCache>
            </c:numRef>
          </c:val>
          <c:extLst>
            <c:ext xmlns:c16="http://schemas.microsoft.com/office/drawing/2014/chart" uri="{C3380CC4-5D6E-409C-BE32-E72D297353CC}">
              <c16:uniqueId val="{00000001-E32B-45B7-9C54-5E7F81FD2B22}"/>
            </c:ext>
          </c:extLst>
        </c:ser>
        <c:dLbls>
          <c:dLblPos val="outEnd"/>
          <c:showLegendKey val="0"/>
          <c:showVal val="1"/>
          <c:showCatName val="0"/>
          <c:showSerName val="0"/>
          <c:showPercent val="0"/>
          <c:showBubbleSize val="0"/>
        </c:dLbls>
        <c:gapWidth val="219"/>
        <c:axId val="1480155760"/>
        <c:axId val="1674421456"/>
      </c:barChart>
      <c:catAx>
        <c:axId val="1480155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4421456"/>
        <c:crosses val="autoZero"/>
        <c:auto val="1"/>
        <c:lblAlgn val="ctr"/>
        <c:lblOffset val="100"/>
        <c:noMultiLvlLbl val="0"/>
      </c:catAx>
      <c:valAx>
        <c:axId val="167442145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0155760"/>
        <c:crosses val="autoZero"/>
        <c:crossBetween val="between"/>
      </c:valAx>
      <c:spPr>
        <a:noFill/>
        <a:ln>
          <a:noFill/>
        </a:ln>
        <a:effectLst/>
      </c:spPr>
    </c:plotArea>
    <c:legend>
      <c:legendPos val="b"/>
      <c:layout>
        <c:manualLayout>
          <c:xMode val="edge"/>
          <c:yMode val="edge"/>
          <c:x val="0.35181985890097472"/>
          <c:y val="0.62319429885505795"/>
          <c:w val="0.29636028219805055"/>
          <c:h val="6.308021094886359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3068</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晓文</dc:creator>
  <cp:keywords/>
  <dc:description/>
  <cp:lastModifiedBy>靳 晓文</cp:lastModifiedBy>
  <cp:revision>14</cp:revision>
  <dcterms:created xsi:type="dcterms:W3CDTF">2020-05-21T12:25:00Z</dcterms:created>
  <dcterms:modified xsi:type="dcterms:W3CDTF">2020-08-20T09:36:00Z</dcterms:modified>
</cp:coreProperties>
</file>