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A650" w14:textId="46DDF878" w:rsidR="00B7752E" w:rsidRPr="008047F0" w:rsidRDefault="00414692" w:rsidP="008047F0">
      <w:pPr>
        <w:spacing w:after="120" w:line="240" w:lineRule="auto"/>
        <w:rPr>
          <w:rFonts w:ascii="Times New Roman" w:hAnsi="Times New Roman" w:cs="Times New Roman"/>
          <w:b/>
          <w:bCs/>
          <w:sz w:val="22"/>
          <w:szCs w:val="22"/>
        </w:rPr>
      </w:pPr>
      <w:r w:rsidRPr="008047F0">
        <w:rPr>
          <w:rFonts w:ascii="Times New Roman" w:hAnsi="Times New Roman" w:cs="Times New Roman"/>
          <w:b/>
          <w:bCs/>
          <w:sz w:val="22"/>
          <w:szCs w:val="22"/>
        </w:rPr>
        <w:t>Generation of mutation-corrected autologous midbrain dopaminergic progenitor cells for the treatment of familial Parkinson’s disease</w:t>
      </w:r>
    </w:p>
    <w:p w14:paraId="12DEC910" w14:textId="77777777" w:rsidR="00414692" w:rsidRPr="008047F0" w:rsidRDefault="00414692" w:rsidP="008047F0">
      <w:pPr>
        <w:spacing w:after="120" w:line="240" w:lineRule="auto"/>
        <w:rPr>
          <w:rFonts w:ascii="Times New Roman" w:hAnsi="Times New Roman" w:cs="Times New Roman"/>
          <w:b/>
          <w:bCs/>
          <w:sz w:val="22"/>
          <w:szCs w:val="22"/>
        </w:rPr>
      </w:pPr>
    </w:p>
    <w:p w14:paraId="71529AC4" w14:textId="5A1A970E" w:rsidR="00414692" w:rsidRPr="008047F0" w:rsidRDefault="00414692" w:rsidP="008047F0">
      <w:pPr>
        <w:spacing w:after="120" w:line="240" w:lineRule="auto"/>
        <w:rPr>
          <w:rFonts w:ascii="Times New Roman" w:hAnsi="Times New Roman" w:cs="Times New Roman"/>
          <w:i/>
          <w:iCs/>
          <w:sz w:val="22"/>
          <w:szCs w:val="22"/>
        </w:rPr>
      </w:pPr>
      <w:r w:rsidRPr="008047F0">
        <w:rPr>
          <w:rFonts w:ascii="Times New Roman" w:hAnsi="Times New Roman" w:cs="Times New Roman"/>
          <w:i/>
          <w:iCs/>
          <w:sz w:val="22"/>
          <w:szCs w:val="22"/>
        </w:rPr>
        <w:t>Background</w:t>
      </w:r>
    </w:p>
    <w:p w14:paraId="3072D3F2" w14:textId="4AF6D815" w:rsidR="00414692" w:rsidRPr="008047F0" w:rsidRDefault="00414692"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 xml:space="preserve">Parkinson’s disease is a progressive neurodegenerative disease characterized by the loss of dopaminergic neurons from the substantia nigra, resulting in debilitating motor and non-motor symptoms. Current standard-of-care therapies include dopamine replacement and deep brain stimulation. While these can provide symptomatic relief, they do not affect the underlying disease </w:t>
      </w:r>
      <w:proofErr w:type="gramStart"/>
      <w:r w:rsidRPr="008047F0">
        <w:rPr>
          <w:rFonts w:ascii="Times New Roman" w:hAnsi="Times New Roman" w:cs="Times New Roman"/>
          <w:sz w:val="22"/>
          <w:szCs w:val="22"/>
        </w:rPr>
        <w:t>progression</w:t>
      </w:r>
      <w:proofErr w:type="gramEnd"/>
      <w:r w:rsidRPr="008047F0">
        <w:rPr>
          <w:rFonts w:ascii="Times New Roman" w:hAnsi="Times New Roman" w:cs="Times New Roman"/>
          <w:sz w:val="22"/>
          <w:szCs w:val="22"/>
        </w:rPr>
        <w:t>; moreover, their efficacy wanes over time, and patients often develop complications such as motor fluctuations and dyskinesias. There remains an urgent need for disease-modifying interventions that slow, halt, or even reverse the loss of dopaminergic neurons — especially as the prevalence of Parkinson’s disease rises.</w:t>
      </w:r>
    </w:p>
    <w:p w14:paraId="12CAB45A" w14:textId="275C2CC6" w:rsidR="00414692" w:rsidRPr="008047F0" w:rsidRDefault="00414692"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Cell replacement therapy is one such approach. The relatively precisely defined anatomical and cellular pathology of Parkinson’s allows a clear target for restoration, in contrast to other disease</w:t>
      </w:r>
      <w:r w:rsidR="00DE117D">
        <w:rPr>
          <w:rFonts w:ascii="Times New Roman" w:hAnsi="Times New Roman" w:cs="Times New Roman"/>
          <w:sz w:val="22"/>
          <w:szCs w:val="22"/>
        </w:rPr>
        <w:t>s</w:t>
      </w:r>
      <w:r w:rsidRPr="008047F0">
        <w:rPr>
          <w:rFonts w:ascii="Times New Roman" w:hAnsi="Times New Roman" w:cs="Times New Roman"/>
          <w:sz w:val="22"/>
          <w:szCs w:val="22"/>
        </w:rPr>
        <w:t xml:space="preserve"> with more diffuse neurodegeneration. Early trials used allogeneic human embryonic stem cells (</w:t>
      </w:r>
      <w:proofErr w:type="spellStart"/>
      <w:r w:rsidRPr="008047F0">
        <w:rPr>
          <w:rFonts w:ascii="Times New Roman" w:hAnsi="Times New Roman" w:cs="Times New Roman"/>
          <w:sz w:val="22"/>
          <w:szCs w:val="22"/>
        </w:rPr>
        <w:t>hESCs</w:t>
      </w:r>
      <w:proofErr w:type="spellEnd"/>
      <w:r w:rsidRPr="008047F0">
        <w:rPr>
          <w:rFonts w:ascii="Times New Roman" w:hAnsi="Times New Roman" w:cs="Times New Roman"/>
          <w:sz w:val="22"/>
          <w:szCs w:val="22"/>
        </w:rPr>
        <w:t xml:space="preserve">) to generate surgically transplanted cell products that can engraft, mature, and functionally integrate to replace lost cells, and many ongoing trials continue to use the allogeneic approach. An alternative </w:t>
      </w:r>
      <w:r w:rsidR="00802004" w:rsidRPr="008047F0">
        <w:rPr>
          <w:rFonts w:ascii="Times New Roman" w:hAnsi="Times New Roman" w:cs="Times New Roman"/>
          <w:sz w:val="22"/>
          <w:szCs w:val="22"/>
        </w:rPr>
        <w:t xml:space="preserve">approach taken </w:t>
      </w:r>
      <w:r w:rsidRPr="008047F0">
        <w:rPr>
          <w:rFonts w:ascii="Times New Roman" w:hAnsi="Times New Roman" w:cs="Times New Roman"/>
          <w:sz w:val="22"/>
          <w:szCs w:val="22"/>
        </w:rPr>
        <w:t>is the autologous (i.e., patient-derived) approach, capitalizing on Shinya Yamanaka’s groundbreaking discovery that human somatic cells can be reprogrammed into ESC-like induced pluripotent stem cells (</w:t>
      </w:r>
      <w:proofErr w:type="spellStart"/>
      <w:r w:rsidRPr="008047F0">
        <w:rPr>
          <w:rFonts w:ascii="Times New Roman" w:hAnsi="Times New Roman" w:cs="Times New Roman"/>
          <w:sz w:val="22"/>
          <w:szCs w:val="22"/>
        </w:rPr>
        <w:t>hiPSCs</w:t>
      </w:r>
      <w:proofErr w:type="spellEnd"/>
      <w:r w:rsidRPr="008047F0">
        <w:rPr>
          <w:rFonts w:ascii="Times New Roman" w:hAnsi="Times New Roman" w:cs="Times New Roman"/>
          <w:sz w:val="22"/>
          <w:szCs w:val="22"/>
        </w:rPr>
        <w:t>)</w:t>
      </w:r>
      <w:r w:rsidR="000606B8" w:rsidRPr="008047F0">
        <w:rPr>
          <w:rFonts w:ascii="Times New Roman" w:hAnsi="Times New Roman" w:cs="Times New Roman"/>
          <w:sz w:val="22"/>
          <w:szCs w:val="22"/>
        </w:rPr>
        <w:fldChar w:fldCharType="begin"/>
      </w:r>
      <w:r w:rsidR="000606B8" w:rsidRPr="008047F0">
        <w:rPr>
          <w:rFonts w:ascii="Times New Roman" w:hAnsi="Times New Roman" w:cs="Times New Roman"/>
          <w:sz w:val="22"/>
          <w:szCs w:val="22"/>
        </w:rPr>
        <w:instrText xml:space="preserve"> ADDIN ZOTERO_ITEM CSL_CITATION {"citationID":"ukvi4y7t","properties":{"unsorted":false,"formattedCitation":"\\super 1\\nosupersub{}","plainCitation":"1","noteIndex":0},"citationItems":[{"id":3377,"uris":["http://zotero.org/users/2859303/items/7MRP6NLF"],"itemData":{"id":3377,"type":"article-journal","abstract":"Differentiated cells can be reprogrammed to an embryonic-like state by transfer of nuclear contents into oocytes or by fusion with embryonic stem (ES) cells. Little is known about factors that induce this reprogramming. Here, we demonstrate induction of pluripotent stem cells from mouse embryonic or adult fibroblasts by introducing four factors, Oct3/4, Sox2, c-Myc, and Klf4, under ES cell culture conditions. Unexpectedly, Nanog was dispensable. These cells, which we designated iPS (induced pluripotent stem) cells, exhibit the morphology and growth properties of ES cells and express ES cell marker genes. Subcutaneous transplantation of iPS cells into nude mice resulted in tumors containing a variety of tissues from all three germ layers. Following injection into blastocysts, iPS cells contributed to mouse embryonic development. These data demonstrate that pluripotent stem cells can be directly generated from fibroblast cultures by the addition of only a few defined factors.","container-title":"Cell","DOI":"10.1016/j.cell.2006.07.024","ISSN":"0092-8674","issue":"4","journalAbbreviation":"Cell","language":"eng","page":"663-676","PMID":"16904174","source":"PubMed","title":"Induction of pluripotent stem cells from mouse embryonic and adult fibroblast cultures by defined factors","volume":"126","author":[{"family":"Takahashi","given":"Kazutoshi"},{"family":"Yamanaka","given":"Shinya"}],"issued":{"date-parts":[["2006",8,25]]}}}],"schema":"https://github.com/citation-style-language/schema/raw/master/csl-citation.json"} </w:instrText>
      </w:r>
      <w:r w:rsidR="000606B8" w:rsidRPr="008047F0">
        <w:rPr>
          <w:rFonts w:ascii="Times New Roman" w:hAnsi="Times New Roman" w:cs="Times New Roman"/>
          <w:sz w:val="22"/>
          <w:szCs w:val="22"/>
        </w:rPr>
        <w:fldChar w:fldCharType="separate"/>
      </w:r>
      <w:r w:rsidR="000606B8" w:rsidRPr="008047F0">
        <w:rPr>
          <w:rFonts w:ascii="Times New Roman" w:hAnsi="Times New Roman" w:cs="Times New Roman"/>
          <w:kern w:val="0"/>
          <w:sz w:val="22"/>
          <w:szCs w:val="22"/>
          <w:vertAlign w:val="superscript"/>
        </w:rPr>
        <w:t>1</w:t>
      </w:r>
      <w:r w:rsidR="000606B8" w:rsidRPr="008047F0">
        <w:rPr>
          <w:rFonts w:ascii="Times New Roman" w:hAnsi="Times New Roman" w:cs="Times New Roman"/>
          <w:sz w:val="22"/>
          <w:szCs w:val="22"/>
        </w:rPr>
        <w:fldChar w:fldCharType="end"/>
      </w:r>
      <w:r w:rsidRPr="008047F0">
        <w:rPr>
          <w:rFonts w:ascii="Times New Roman" w:hAnsi="Times New Roman" w:cs="Times New Roman"/>
          <w:sz w:val="22"/>
          <w:szCs w:val="22"/>
        </w:rPr>
        <w:t xml:space="preserve"> — </w:t>
      </w:r>
      <w:r w:rsidR="00802004" w:rsidRPr="008047F0">
        <w:rPr>
          <w:rFonts w:ascii="Times New Roman" w:hAnsi="Times New Roman" w:cs="Times New Roman"/>
          <w:sz w:val="22"/>
          <w:szCs w:val="22"/>
        </w:rPr>
        <w:t>this includes by my own lab’s ongoing clinical trial using autologously derived midbrain dopaminergic precursor (</w:t>
      </w:r>
      <w:proofErr w:type="spellStart"/>
      <w:r w:rsidR="00802004" w:rsidRPr="008047F0">
        <w:rPr>
          <w:rFonts w:ascii="Times New Roman" w:hAnsi="Times New Roman" w:cs="Times New Roman"/>
          <w:sz w:val="22"/>
          <w:szCs w:val="22"/>
        </w:rPr>
        <w:t>mDAP</w:t>
      </w:r>
      <w:proofErr w:type="spellEnd"/>
      <w:r w:rsidR="00802004" w:rsidRPr="008047F0">
        <w:rPr>
          <w:rFonts w:ascii="Times New Roman" w:hAnsi="Times New Roman" w:cs="Times New Roman"/>
          <w:sz w:val="22"/>
          <w:szCs w:val="22"/>
        </w:rPr>
        <w:t>) cells</w:t>
      </w:r>
      <w:r w:rsidR="00632557" w:rsidRPr="008047F0">
        <w:rPr>
          <w:rFonts w:ascii="Times New Roman" w:hAnsi="Times New Roman" w:cs="Times New Roman"/>
          <w:sz w:val="22"/>
          <w:szCs w:val="22"/>
        </w:rPr>
        <w:t xml:space="preserve"> (under NCT06687837)</w:t>
      </w:r>
      <w:r w:rsidR="00802004" w:rsidRPr="008047F0">
        <w:rPr>
          <w:rFonts w:ascii="Times New Roman" w:hAnsi="Times New Roman" w:cs="Times New Roman"/>
          <w:sz w:val="22"/>
          <w:szCs w:val="22"/>
        </w:rPr>
        <w:t>.</w:t>
      </w:r>
      <w:r w:rsidR="00FB6057" w:rsidRPr="008047F0">
        <w:rPr>
          <w:rFonts w:ascii="Times New Roman" w:hAnsi="Times New Roman" w:cs="Times New Roman"/>
          <w:sz w:val="22"/>
          <w:szCs w:val="22"/>
        </w:rPr>
        <w:fldChar w:fldCharType="begin"/>
      </w:r>
      <w:r w:rsidR="008047F0" w:rsidRPr="008047F0">
        <w:rPr>
          <w:rFonts w:ascii="Times New Roman" w:hAnsi="Times New Roman" w:cs="Times New Roman"/>
          <w:sz w:val="22"/>
          <w:szCs w:val="22"/>
        </w:rPr>
        <w:instrText xml:space="preserve"> ADDIN ZOTERO_ITEM CSL_CITATION {"citationID":"i4ecK8vr","properties":{"unsorted":false,"formattedCitation":"\\super 2\\nosupersub{}","plainCitation":"2","noteIndex":0},"citationItems":[{"id":3380,"uris":["http://zotero.org/users/2859303/items/TC5HQ7KF"],"itemData":{"id":3380,"type":"report","abstract":"The goal of this clinical trial is to assess the safety and tolerability of the surgical transplantation of dopaminergic progenitor cells into the brains of participants with Parkinson's disease.\nThe transplanted dopaminergic cells will be derived from the participant's own skin cells.","genre":"Clinical trial registration","note":"submitted: 2024-10-24","number":"NCT06687837","publisher":"clinicaltrials.gov","source":"clinicaltrials.gov","title":"Phase I Trial of Autologous Induced Pluripotent Stem Cell-derived Dopaminergic Progenitor Cell Transplantation for Parkinson's Disease","title-short":"Treating Parkinson&amp;#x27;s Disease Through Transplantation of Autologous Stem Cell-Derived Dopaminergic Neurons","URL":"https://clinicaltrials.gov/study/NCT06687837","author":[{"family":"Schweitzer","given":"Jeffrey S."}],"accessed":{"date-parts":[["2026",4,7]]},"issued":{"date-parts":[["2026",3,22]]}}}],"schema":"https://github.com/citation-style-language/schema/raw/master/csl-citation.json"} </w:instrText>
      </w:r>
      <w:r w:rsidR="00FB6057" w:rsidRPr="008047F0">
        <w:rPr>
          <w:rFonts w:ascii="Times New Roman" w:hAnsi="Times New Roman" w:cs="Times New Roman"/>
          <w:sz w:val="22"/>
          <w:szCs w:val="22"/>
        </w:rPr>
        <w:fldChar w:fldCharType="separate"/>
      </w:r>
      <w:r w:rsidR="00FB6057" w:rsidRPr="008047F0">
        <w:rPr>
          <w:rFonts w:ascii="Times New Roman" w:hAnsi="Times New Roman" w:cs="Times New Roman"/>
          <w:kern w:val="0"/>
          <w:sz w:val="22"/>
          <w:szCs w:val="22"/>
          <w:vertAlign w:val="superscript"/>
        </w:rPr>
        <w:t>2</w:t>
      </w:r>
      <w:r w:rsidR="00FB6057" w:rsidRPr="008047F0">
        <w:rPr>
          <w:rFonts w:ascii="Times New Roman" w:hAnsi="Times New Roman" w:cs="Times New Roman"/>
          <w:sz w:val="22"/>
          <w:szCs w:val="22"/>
        </w:rPr>
        <w:fldChar w:fldCharType="end"/>
      </w:r>
      <w:r w:rsidR="00802004" w:rsidRPr="008047F0">
        <w:rPr>
          <w:rFonts w:ascii="Times New Roman" w:hAnsi="Times New Roman" w:cs="Times New Roman"/>
          <w:sz w:val="22"/>
          <w:szCs w:val="22"/>
        </w:rPr>
        <w:t xml:space="preserve"> Beyond evading ethical concerns associated with </w:t>
      </w:r>
      <w:proofErr w:type="spellStart"/>
      <w:r w:rsidR="00802004" w:rsidRPr="008047F0">
        <w:rPr>
          <w:rFonts w:ascii="Times New Roman" w:hAnsi="Times New Roman" w:cs="Times New Roman"/>
          <w:sz w:val="22"/>
          <w:szCs w:val="22"/>
        </w:rPr>
        <w:t>hESCs</w:t>
      </w:r>
      <w:proofErr w:type="spellEnd"/>
      <w:r w:rsidR="00802004" w:rsidRPr="008047F0">
        <w:rPr>
          <w:rFonts w:ascii="Times New Roman" w:hAnsi="Times New Roman" w:cs="Times New Roman"/>
          <w:sz w:val="22"/>
          <w:szCs w:val="22"/>
        </w:rPr>
        <w:t xml:space="preserve">, </w:t>
      </w:r>
      <w:proofErr w:type="spellStart"/>
      <w:r w:rsidR="00802004" w:rsidRPr="008047F0">
        <w:rPr>
          <w:rFonts w:ascii="Times New Roman" w:hAnsi="Times New Roman" w:cs="Times New Roman"/>
          <w:sz w:val="22"/>
          <w:szCs w:val="22"/>
        </w:rPr>
        <w:t>hiPSCs</w:t>
      </w:r>
      <w:proofErr w:type="spellEnd"/>
      <w:r w:rsidR="00802004" w:rsidRPr="008047F0">
        <w:rPr>
          <w:rFonts w:ascii="Times New Roman" w:hAnsi="Times New Roman" w:cs="Times New Roman"/>
          <w:sz w:val="22"/>
          <w:szCs w:val="22"/>
        </w:rPr>
        <w:t xml:space="preserve"> carry several advantages: they can be reliably generated and extensively tested for safety and efficacy; and furthermore, as autologous grafts are derived from the patient, they avoid the immunosuppression and prolonged prophylactic antibiotic use required with allogeneic grafts, a source of serious risk.</w:t>
      </w:r>
    </w:p>
    <w:p w14:paraId="7A0AFD25" w14:textId="557949D1" w:rsidR="00802004" w:rsidRPr="008047F0" w:rsidRDefault="00802004"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Yet no trial to date has specifically addressed the risk that transplanted cells will be lost to the same underlying degenerative process. Recent estimates suggest that as many as 15–20% of Parkinson’s patients have an inherited or genetic form of disease, and this</w:t>
      </w:r>
      <w:r w:rsidR="00641193">
        <w:rPr>
          <w:rFonts w:ascii="Times New Roman" w:hAnsi="Times New Roman" w:cs="Times New Roman"/>
          <w:sz w:val="22"/>
          <w:szCs w:val="22"/>
        </w:rPr>
        <w:t xml:space="preserve"> number is</w:t>
      </w:r>
      <w:r w:rsidRPr="008047F0">
        <w:rPr>
          <w:rFonts w:ascii="Times New Roman" w:hAnsi="Times New Roman" w:cs="Times New Roman"/>
          <w:sz w:val="22"/>
          <w:szCs w:val="22"/>
        </w:rPr>
        <w:t xml:space="preserve"> likely to rise as our understanding of the genetic drivers of Parkinson’s disease increases.</w:t>
      </w:r>
      <w:r w:rsidR="008959A7" w:rsidRPr="008047F0">
        <w:rPr>
          <w:rFonts w:ascii="Times New Roman" w:hAnsi="Times New Roman" w:cs="Times New Roman"/>
          <w:sz w:val="22"/>
          <w:szCs w:val="22"/>
        </w:rPr>
        <w:fldChar w:fldCharType="begin"/>
      </w:r>
      <w:r w:rsidR="008959A7" w:rsidRPr="008047F0">
        <w:rPr>
          <w:rFonts w:ascii="Times New Roman" w:hAnsi="Times New Roman" w:cs="Times New Roman"/>
          <w:sz w:val="22"/>
          <w:szCs w:val="22"/>
        </w:rPr>
        <w:instrText xml:space="preserve"> ADDIN ZOTERO_ITEM CSL_CITATION {"citationID":"apLZ4wNZ","properties":{"unsorted":false,"formattedCitation":"\\super 3\\nosupersub{}","plainCitation":"3","noteIndex":0},"citationItems":[{"id":3381,"uris":["http://zotero.org/users/2859303/items/YJG5FYYU"],"itemData":{"id":3381,"type":"article-journal","abstract":"Parkinson’s disease (PD) by its common understanding is a late-onset sporadic movement disorder. However, there is a need to recognize not only the fact that PD pathogenesis expands beyond (or perhaps to) the brain but also that many early-onset patients develop motor signs before the age of 50 years. Indeed, studies have shown that it is likely the protein aggregation observed in the brains of patients with PD precedes the motor symptoms by perhaps a decade. Studies on early-onset forms of PD have shown it to be a heterogeneous disease with multiple genetic and environmental factors determining risk of different forms of disease. Genetic and neuropathological evidence suggests that there are α-synuclein centric forms (e.g., SNCA genomic triplication), and forms that are driven by a breakdown in mitochondrial function and specifically in the process of mitophagy and clearance of damaged mitochondria (e.g., PARKIN and PINK1 recessive loss-of-function mutations). Aligning genetic forms with recognized environmental influences will help better define patients, aid prognosis, and hopefully lead to more accurately targeted clinical trial design. Work is now needed to understand the cross-talk between these two pathomechanisms and determine a sense of independence, it is noted that autopsies studies for both have shown the presence or absence of α-synuclein aggregation. The integration of genetic and environmental data is critical to understand the etiology of early-onset forms of PD and determine how the different pathomechanisms crosstalk.","container-title":"Journal of Parkinson's Disease","DOI":"10.3233/JPD-223380","ISSN":"1877-7171","issue":"8","journalAbbreviation":"J Parkinsons Dis","page":"2353-2367","PMID":"36502340","PMCID":"PMC9837689","source":"PubMed Central","title":"Early-Onset Parkinson’s Disease: Creating the Right Environment for a Genetic Disorder","title-short":"Early-Onset Parkinson’s Disease","volume":"12","author":[{"family":"Kolicheski","given":"Ana"},{"family":"Turcano","given":"Pierpaolo"},{"family":"Tamvaka","given":"Nicole"},{"family":"McLean","given":"Pamela J."},{"family":"Springer","given":"Wolfdieter"},{"family":"Savica","given":"Rodolfo"},{"family":"Ross","given":"Owen A."}]}}],"schema":"https://github.com/citation-style-language/schema/raw/master/csl-citation.json"} </w:instrText>
      </w:r>
      <w:r w:rsidR="008959A7" w:rsidRPr="008047F0">
        <w:rPr>
          <w:rFonts w:ascii="Times New Roman" w:hAnsi="Times New Roman" w:cs="Times New Roman"/>
          <w:sz w:val="22"/>
          <w:szCs w:val="22"/>
        </w:rPr>
        <w:fldChar w:fldCharType="separate"/>
      </w:r>
      <w:r w:rsidR="008959A7" w:rsidRPr="008047F0">
        <w:rPr>
          <w:rFonts w:ascii="Times New Roman" w:hAnsi="Times New Roman" w:cs="Times New Roman"/>
          <w:kern w:val="0"/>
          <w:sz w:val="22"/>
          <w:szCs w:val="22"/>
          <w:vertAlign w:val="superscript"/>
        </w:rPr>
        <w:t>3</w:t>
      </w:r>
      <w:r w:rsidR="008959A7" w:rsidRPr="008047F0">
        <w:rPr>
          <w:rFonts w:ascii="Times New Roman" w:hAnsi="Times New Roman" w:cs="Times New Roman"/>
          <w:sz w:val="22"/>
          <w:szCs w:val="22"/>
        </w:rPr>
        <w:fldChar w:fldCharType="end"/>
      </w:r>
      <w:r w:rsidRPr="008047F0">
        <w:rPr>
          <w:rFonts w:ascii="Times New Roman" w:hAnsi="Times New Roman" w:cs="Times New Roman"/>
          <w:sz w:val="22"/>
          <w:szCs w:val="22"/>
        </w:rPr>
        <w:t xml:space="preserve"> Familial Parkinson’s patients typically not only face an earlier age-of-onset but more severe symptoms and disease progression as well. However, the application of current cell replacement approaches to these patients is complicated. In the case of </w:t>
      </w:r>
      <w:proofErr w:type="spellStart"/>
      <w:r w:rsidRPr="008047F0">
        <w:rPr>
          <w:rFonts w:ascii="Times New Roman" w:hAnsi="Times New Roman" w:cs="Times New Roman"/>
          <w:sz w:val="22"/>
          <w:szCs w:val="22"/>
        </w:rPr>
        <w:t>hESC</w:t>
      </w:r>
      <w:proofErr w:type="spellEnd"/>
      <w:r w:rsidRPr="008047F0">
        <w:rPr>
          <w:rFonts w:ascii="Times New Roman" w:hAnsi="Times New Roman" w:cs="Times New Roman"/>
          <w:sz w:val="22"/>
          <w:szCs w:val="22"/>
        </w:rPr>
        <w:t>-derived therapies, the earlier age-of-onset means a longer risk window for immuno-rejection, whereas in hiPSC-derived therapies, the retention of pathogenic gene variants increases the risk that patient-derived transplanted tissue will succumb to the same cellular dysfunction.</w:t>
      </w:r>
    </w:p>
    <w:p w14:paraId="18DDD6FF" w14:textId="77777777" w:rsidR="00802004" w:rsidRPr="008047F0" w:rsidRDefault="00802004" w:rsidP="008047F0">
      <w:pPr>
        <w:spacing w:after="120" w:line="240" w:lineRule="auto"/>
        <w:rPr>
          <w:rFonts w:ascii="Times New Roman" w:hAnsi="Times New Roman" w:cs="Times New Roman"/>
          <w:sz w:val="22"/>
          <w:szCs w:val="22"/>
        </w:rPr>
      </w:pPr>
    </w:p>
    <w:p w14:paraId="064B661C" w14:textId="021D987B" w:rsidR="00802004" w:rsidRPr="008047F0" w:rsidRDefault="00802004" w:rsidP="008047F0">
      <w:pPr>
        <w:spacing w:after="120" w:line="240" w:lineRule="auto"/>
        <w:rPr>
          <w:rFonts w:ascii="Times New Roman" w:hAnsi="Times New Roman" w:cs="Times New Roman"/>
          <w:i/>
          <w:iCs/>
          <w:sz w:val="22"/>
          <w:szCs w:val="22"/>
        </w:rPr>
      </w:pPr>
      <w:r w:rsidRPr="008047F0">
        <w:rPr>
          <w:rFonts w:ascii="Times New Roman" w:hAnsi="Times New Roman" w:cs="Times New Roman"/>
          <w:i/>
          <w:iCs/>
          <w:sz w:val="22"/>
          <w:szCs w:val="22"/>
        </w:rPr>
        <w:t>Proposed work</w:t>
      </w:r>
    </w:p>
    <w:p w14:paraId="7E19719E" w14:textId="7BFDF7BC" w:rsidR="00802004" w:rsidRPr="008047F0" w:rsidRDefault="00802004"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To address this limitation, the proposed work integrates precise gene editing into the cell replacement paradigm. By corrected disease-causative mutations in patient-derived cells prior to differentiation and transplantation, this approach aims to generate a graft that is both immunologically compatible and resistant to the underlying disease process.</w:t>
      </w:r>
    </w:p>
    <w:p w14:paraId="007AA44E" w14:textId="1FFBEB0B" w:rsidR="00802004" w:rsidRPr="008047F0" w:rsidRDefault="00802004"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 xml:space="preserve">This is made feasible by recent advances in gene editing technologies. Precedent for the safe, clinically effective application of </w:t>
      </w:r>
      <w:r w:rsidRPr="008047F0">
        <w:rPr>
          <w:rFonts w:ascii="Times New Roman" w:hAnsi="Times New Roman" w:cs="Times New Roman"/>
          <w:i/>
          <w:iCs/>
          <w:sz w:val="22"/>
          <w:szCs w:val="22"/>
        </w:rPr>
        <w:t xml:space="preserve">ex vivo </w:t>
      </w:r>
      <w:r w:rsidRPr="008047F0">
        <w:rPr>
          <w:rFonts w:ascii="Times New Roman" w:hAnsi="Times New Roman" w:cs="Times New Roman"/>
          <w:sz w:val="22"/>
          <w:szCs w:val="22"/>
        </w:rPr>
        <w:t xml:space="preserve">gene editing (via CRISPR/Cas9–based programs) in autologous cell therapies was established by two trials, </w:t>
      </w:r>
      <w:proofErr w:type="spellStart"/>
      <w:r w:rsidRPr="008047F0">
        <w:rPr>
          <w:rFonts w:ascii="Times New Roman" w:hAnsi="Times New Roman" w:cs="Times New Roman"/>
          <w:sz w:val="22"/>
          <w:szCs w:val="22"/>
        </w:rPr>
        <w:t>Casgevy</w:t>
      </w:r>
      <w:proofErr w:type="spellEnd"/>
      <w:r w:rsidRPr="008047F0">
        <w:rPr>
          <w:rFonts w:ascii="Times New Roman" w:hAnsi="Times New Roman" w:cs="Times New Roman"/>
          <w:sz w:val="22"/>
          <w:szCs w:val="22"/>
        </w:rPr>
        <w:t xml:space="preserve"> (Vertex Pharmaceuticals) and BEAM-101 (Beam Therapeutics), in sickle cell disease.</w:t>
      </w:r>
      <w:r w:rsidR="00637D28" w:rsidRPr="008047F0">
        <w:rPr>
          <w:rFonts w:ascii="Times New Roman" w:hAnsi="Times New Roman" w:cs="Times New Roman"/>
          <w:sz w:val="22"/>
          <w:szCs w:val="22"/>
        </w:rPr>
        <w:fldChar w:fldCharType="begin"/>
      </w:r>
      <w:r w:rsidR="00637D28" w:rsidRPr="008047F0">
        <w:rPr>
          <w:rFonts w:ascii="Times New Roman" w:hAnsi="Times New Roman" w:cs="Times New Roman"/>
          <w:sz w:val="22"/>
          <w:szCs w:val="22"/>
        </w:rPr>
        <w:instrText xml:space="preserve"> ADDIN ZOTERO_ITEM CSL_CITATION {"citationID":"V0Iyetv1","properties":{"unsorted":false,"formattedCitation":"\\super 4,5\\nosupersub{}","plainCitation":"4,5","noteIndex":0},"citationItems":[{"id":3384,"uris":["http://zotero.org/users/2859303/items/3BWFEEVA"],"itemData":{"id":3384,"type":"article-journal","abstract":"On December 8, 2023 the United States Food and Drug Administration (FDA) made a historic decision to approve the first drug harnessing clustered regularly interspaced short palindromic repeats (CRISPR)/Cas9 gene editing technology, CASGEVY™ (exagamglogene autotemcel) (1). To make things even more historic, this was an approval for a biologic targeting sickle cell disease (SCD), the most common inherited blood disease worldwide, affecting more than 100 000 people in the United States alone. Prior to this announcement, only 3 pharmaceutical treatments had been approved for SCD: hydroxyurea, Oxbryta® (voxelotor), and Endari (L-glutamine). The only nonpharmaceutical treatments available are red blood cell transfusion and allogeneic bone marrow transplantation.","container-title":"Clinical Chemistry","DOI":"10.1093/clinchem/hvae038","ISSN":"0009-9147","issue":"10","journalAbbreviation":"Clin Chem","page":"1298","source":"Silverchair","title":"Approval of the First CRISPR-Cas9 Gene Editing Therapy for Sickle Cell Disease","volume":"70","author":[{"family":"Campbell","given":"Sean T"}],"issued":{"date-parts":[["2024",10,1]]}}},{"id":3387,"uris":["http://zotero.org/users/2859303/items/HZCCAL58"],"itemData":{"id":3387,"type":"article-journal","abstract":"BEAM-101 is an investigational base edited autologous cell therapy for the treatment (tx) of SCD through upregulation of anti-sickling fetal hemoglobin (HbF). We present initial data from BEACON (NCT05456880), a Phase 1/2, single-arm, open-label study evaluating the safety and efficacy of BEAM-101 in patients (pts) with SCD with severe vaso-occlusive crises (sVOCs). Pts aged 18–35 with SCD and ≥4 sVOCs in the 2 years pre-screening were eligible per trial criteria. After plerixafor mobilization, autologous CD34+ HSPCs were collected by leukapheresis and edited with an adenine base editor. After myeloablative conditioning with busulfan, pts received a single infusion of BEAM-101 (≥3.0 × 106 viable CD34+ cells/kg) and are monitored for 24 months (m). As of July 2, 2024, 6 pts have been dosed. Demographics: 5/6 βS/βS, 1/6 βS/β0, 50% female, 19–27 years. Half (n=3) required a single mobilization cycle and half required 2. Pts received a mean BEAM-101 dose of 11.9 × 106 (5.2–23.4) viable CD34+ cells/kg. Besides safety data that include all pts dosed (n=6), the following data are from pts dosed with ≥1m of follow up (n=4; 6, 5, 2, and 1m[s] post-tx, each). All 4 pts with ≥1m of follow up achieved neutrophil and platelet engraftment at a median of 17 (15–19) and 20 (11–34) days, respectively. One pt died due to respiratory failure, likely related to busulfan conditioning, 4m after infusion. In all pts dosed (n=6), there have been no ≥Grade 3 AEs or serious AEs related to BEAM-101. Using central lab data, pts’ total Hb increased from baseline (mean 9.3 [7.9–10.9] g/dL) to 17.9, 18.2, 11.0, and 11.8 g/dL at last time point available (LTPA) for P1, P2, P3, and P4, respectively. No signs/symptoms or interventions were needed for high total Hb. All pts achieved &gt;60% HbF of non-transfused (NT) Hb (total Hb − HbA) at Month (M) 1 and sustained this elevation to the LTPA. By M1, HbS% in NT blood dropped to ≤36% in all 4 pts and was sustained through LTPA. In total blood, % F-cells were 99.6% in P1 at M6, 94.4% in P2 at M4, 52.0% in P3 at M2, and 13.3% in P4 at M1 with all pts having &gt;19 pg HbF/F-cell at LTPA. Peripheral blood editing in nucleated cells, measured in P1 (at M6) and P2 (at M3), was 69.9% and 76.1%, respectively. Markers of hemolysis have normalized or improved for all pts. No VOCs have been reported by investigators following BEAM-101 tx. These initial data show a safety profile for BEAM-101 consistent with busulfan conditioning and autologous HSCT. Tx with BEAM-101 resulted in rapid engraftment and marked improvement of anemia in all 4 dosed pts. We observed rapid and robust HbF induction in NT blood in all post-tx assessments. No VOCs were reported by investigators post-tx. These initial data support base editing of the HBG1/2 promoters as an effective therapeutic modality for the tx of SCD and will continue to be investigated in the ongoing BEACON study. Updated data to be presented. © American Society of Hematology (2024). Reused with permission.","collection-title":"Abstracts from the 2025 Tandem Meetings of ASTCT and CIBMTR, February 12-15, 2025, Honolulu, Hawaii, USA","container-title":"Transplantation and Cellular Therapy","DOI":"10.1016/j.jtct.2025.01.040","ISSN":"2666-6367","issue":"2, Supplement","journalAbbreviation":"Transplantation and Cellular Therapy","page":"S22","source":"ScienceDirect","title":"Safety and Efficacy of Autologous CD34+ Base Edited Hematopoietic Stem Cells (BEAM-101) for the Treatment of Sickle Cell Disease with Severe Vaso-Occlusive Crises: Results from the Ongoing Phase 1/2 Beacon Study","title-short":"Safety and Efficacy of Autologous CD34+ Base Edited Hematopoietic Stem Cells (BEAM-101) for the Treatment of Sickle Cell Disease with Severe Vaso-Occlusive Crises","volume":"31","author":[{"family":"Gupta","given":"Ashish O."},{"family":"Sharma","given":"Akshay"},{"family":"Frangoul","given":"Haydar"},{"family":"Dalal","given":"Jignesh"},{"family":"Kanter","given":"Julie"},{"family":"Alavi","given":"Asif"},{"family":"DiPersio","given":"John F."},{"family":"Eapen","given":"Mary"},{"family":"Jaroscak","given":"Dr. Jennifer J."},{"family":"Ayala","given":"Ernesto"},{"family":"Ziga","given":"Edward D."},{"family":"Rifkin-Zenenberg","given":"Stacey"},{"family":"Minella","given":"Alex C."},{"family":"Chen","given":"Guo"},{"family":"Chen","given":"Yinzhong"},{"family":"Chockalingam","given":"Priya S."},{"family":"Lin","given":"Ling"},{"family":"Joseney-Antoine","given":"Marcelyne"},{"family":"Ianniello","given":"Leanne"},{"family":"Gardner","given":"Beth"},{"family":"Hartigan","given":"Adam J."},{"family":"Ciaramella","given":"Giuseppe"},{"family":"Goyal","given":"Sunita"},{"family":"Simon","given":"Amy"},{"family":"Thompson","given":"Alexis A."},{"family":"Heeney","given":"Matthew M."}],"issued":{"date-parts":[["2025",2,1]]}}}],"schema":"https://github.com/citation-style-language/schema/raw/master/csl-citation.json"} </w:instrText>
      </w:r>
      <w:r w:rsidR="00637D28" w:rsidRPr="008047F0">
        <w:rPr>
          <w:rFonts w:ascii="Times New Roman" w:hAnsi="Times New Roman" w:cs="Times New Roman"/>
          <w:sz w:val="22"/>
          <w:szCs w:val="22"/>
        </w:rPr>
        <w:fldChar w:fldCharType="separate"/>
      </w:r>
      <w:r w:rsidR="00637D28" w:rsidRPr="008047F0">
        <w:rPr>
          <w:rFonts w:ascii="Times New Roman" w:hAnsi="Times New Roman" w:cs="Times New Roman"/>
          <w:kern w:val="0"/>
          <w:sz w:val="22"/>
          <w:szCs w:val="22"/>
          <w:vertAlign w:val="superscript"/>
        </w:rPr>
        <w:t>4,5</w:t>
      </w:r>
      <w:r w:rsidR="00637D28" w:rsidRPr="008047F0">
        <w:rPr>
          <w:rFonts w:ascii="Times New Roman" w:hAnsi="Times New Roman" w:cs="Times New Roman"/>
          <w:sz w:val="22"/>
          <w:szCs w:val="22"/>
        </w:rPr>
        <w:fldChar w:fldCharType="end"/>
      </w:r>
      <w:r w:rsidRPr="008047F0">
        <w:rPr>
          <w:rFonts w:ascii="Times New Roman" w:hAnsi="Times New Roman" w:cs="Times New Roman"/>
          <w:sz w:val="22"/>
          <w:szCs w:val="22"/>
        </w:rPr>
        <w:t xml:space="preserve"> However, first-generation gene editing technologies such as CRISPR/Cas9 have several limitations, most critically the introduction of double-strand breaks, insertion-deletions, and other off-target effects during the editing process. Prime editing is a next-generation gene editing technology that employs a Cas9 </w:t>
      </w:r>
      <w:proofErr w:type="spellStart"/>
      <w:r w:rsidRPr="008047F0">
        <w:rPr>
          <w:rFonts w:ascii="Times New Roman" w:hAnsi="Times New Roman" w:cs="Times New Roman"/>
          <w:sz w:val="22"/>
          <w:szCs w:val="22"/>
        </w:rPr>
        <w:t>nickase</w:t>
      </w:r>
      <w:proofErr w:type="spellEnd"/>
      <w:r w:rsidRPr="008047F0">
        <w:rPr>
          <w:rFonts w:ascii="Times New Roman" w:hAnsi="Times New Roman" w:cs="Times New Roman"/>
          <w:sz w:val="22"/>
          <w:szCs w:val="22"/>
        </w:rPr>
        <w:t xml:space="preserve"> fused to an engineered reverse transcriptase in complex </w:t>
      </w:r>
      <w:r w:rsidR="00632557" w:rsidRPr="008047F0">
        <w:rPr>
          <w:rFonts w:ascii="Times New Roman" w:hAnsi="Times New Roman" w:cs="Times New Roman"/>
          <w:sz w:val="22"/>
          <w:szCs w:val="22"/>
        </w:rPr>
        <w:lastRenderedPageBreak/>
        <w:t>with a prime editing guide RNA, enabling precise edits into cellular genomes without the need for double-strand breaks or exogenous donor DNA templates.</w:t>
      </w:r>
      <w:r w:rsidR="005E42DA" w:rsidRPr="008047F0">
        <w:rPr>
          <w:rFonts w:ascii="Times New Roman" w:hAnsi="Times New Roman" w:cs="Times New Roman"/>
          <w:sz w:val="22"/>
          <w:szCs w:val="22"/>
        </w:rPr>
        <w:fldChar w:fldCharType="begin"/>
      </w:r>
      <w:r w:rsidR="00637D28" w:rsidRPr="008047F0">
        <w:rPr>
          <w:rFonts w:ascii="Times New Roman" w:hAnsi="Times New Roman" w:cs="Times New Roman"/>
          <w:sz w:val="22"/>
          <w:szCs w:val="22"/>
        </w:rPr>
        <w:instrText xml:space="preserve"> ADDIN ZOTERO_ITEM CSL_CITATION {"citationID":"HlMV8UEs","properties":{"unsorted":false,"formattedCitation":"\\super 6\\nosupersub{}","plainCitation":"6","noteIndex":0},"citationItems":[{"id":3366,"uris":["http://zotero.org/users/2859303/items/ZUTI4893"],"itemData":{"id":3366,"type":"article-journal","abstract":"Programmable gene editing tools have transformed the life sciences and have shown potential for the treatment of genetic disease. Among the CRISPR–Cas technologies that can currently make targeted DNA changes in mammalian cells, prime editors offer an unusual combination of versatility, specificity and precision. Prime editors do not require double-strand DNA breaks and can make virtually any substitution, small insertion and small deletion within the DNA of living cells. Prime editing minimally requires a programmable nickase fused to a polymerase enzyme, and an extended guide RNA that both specifies the target site and templates the desired genome edit. In this Review, we summarize prime editing strategies to generate programmed genomic changes, highlight their limitations and recent developments that circumvent these bottlenecks, and discuss applications and future directions., In this Review, Chen and Liu discuss the latest developments in prime editing systems, including improvements to their editing efficiency and capabilities, as well as diverse emerging applications in research and preclinical therapeutic studies.","container-title":"Nature reviews. Genetics","DOI":"10.1038/s41576-022-00541-1","ISSN":"1471-0056","issue":"3","journalAbbreviation":"Nat Rev Genet","page":"161-177","PMID":"36344749","PMCID":"PMC10989687","source":"PubMed Central","title":"Prime editing for precise and highly versatile genome manipulation","volume":"24","author":[{"family":"Chen","given":"Peter J."},{"family":"Liu","given":"David R."}],"issued":{"date-parts":[["2023",3]]}}}],"schema":"https://github.com/citation-style-language/schema/raw/master/csl-citation.json"} </w:instrText>
      </w:r>
      <w:r w:rsidR="005E42DA" w:rsidRPr="008047F0">
        <w:rPr>
          <w:rFonts w:ascii="Times New Roman" w:hAnsi="Times New Roman" w:cs="Times New Roman"/>
          <w:sz w:val="22"/>
          <w:szCs w:val="22"/>
        </w:rPr>
        <w:fldChar w:fldCharType="separate"/>
      </w:r>
      <w:r w:rsidR="00637D28" w:rsidRPr="008047F0">
        <w:rPr>
          <w:rFonts w:ascii="Times New Roman" w:hAnsi="Times New Roman" w:cs="Times New Roman"/>
          <w:kern w:val="0"/>
          <w:sz w:val="22"/>
          <w:szCs w:val="22"/>
          <w:vertAlign w:val="superscript"/>
        </w:rPr>
        <w:t>6</w:t>
      </w:r>
      <w:r w:rsidR="005E42DA" w:rsidRPr="008047F0">
        <w:rPr>
          <w:rFonts w:ascii="Times New Roman" w:hAnsi="Times New Roman" w:cs="Times New Roman"/>
          <w:sz w:val="22"/>
          <w:szCs w:val="22"/>
        </w:rPr>
        <w:fldChar w:fldCharType="end"/>
      </w:r>
      <w:r w:rsidR="00632557" w:rsidRPr="008047F0">
        <w:rPr>
          <w:rFonts w:ascii="Times New Roman" w:hAnsi="Times New Roman" w:cs="Times New Roman"/>
          <w:sz w:val="22"/>
          <w:szCs w:val="22"/>
        </w:rPr>
        <w:t xml:space="preserve"> Initial clinical data from the first prime editing therapeutic trial, in p47phox chronic granulomatous disease, demonstrate a correction rate of 82% in colony-forming cells, </w:t>
      </w:r>
      <w:r w:rsidR="00DE117D">
        <w:rPr>
          <w:rFonts w:ascii="Times New Roman" w:hAnsi="Times New Roman" w:cs="Times New Roman"/>
          <w:sz w:val="22"/>
          <w:szCs w:val="22"/>
        </w:rPr>
        <w:t>fewer</w:t>
      </w:r>
      <w:r w:rsidR="00632557" w:rsidRPr="008047F0">
        <w:rPr>
          <w:rFonts w:ascii="Times New Roman" w:hAnsi="Times New Roman" w:cs="Times New Roman"/>
          <w:sz w:val="22"/>
          <w:szCs w:val="22"/>
        </w:rPr>
        <w:t xml:space="preserve"> than 2% unintended edits, a favorable safety profile, and efficacious restoration of cellular function (NCT06559176).</w:t>
      </w:r>
      <w:r w:rsidR="00892CDC" w:rsidRPr="008047F0">
        <w:rPr>
          <w:rFonts w:ascii="Times New Roman" w:hAnsi="Times New Roman" w:cs="Times New Roman"/>
          <w:sz w:val="22"/>
          <w:szCs w:val="22"/>
        </w:rPr>
        <w:fldChar w:fldCharType="begin"/>
      </w:r>
      <w:r w:rsidR="008047F0" w:rsidRPr="008047F0">
        <w:rPr>
          <w:rFonts w:ascii="Times New Roman" w:hAnsi="Times New Roman" w:cs="Times New Roman"/>
          <w:sz w:val="22"/>
          <w:szCs w:val="22"/>
        </w:rPr>
        <w:instrText xml:space="preserve"> ADDIN ZOTERO_ITEM CSL_CITATION {"citationID":"mts0rk2N","properties":{"unsorted":false,"formattedCitation":"\\super 7\\nosupersub{}","plainCitation":"7","noteIndex":0},"citationItems":[{"id":3390,"uris":["http://zotero.org/users/2859303/items/7R6EFWJT"],"itemData":{"id":3390,"type":"report","abstract":"This is an open-label, single-arm, multicenter Phase 1/2 study evaluating the safety and efficacy of gene therapy by transplantation of Prime Edited autologous CD34+ stem cells modified ex vivo (PM359) in participants with autosomal recessive Chronic Granulomatous Disease (CGD) caused by mutations in the NCF1 (Neutrophil Cytosolic Factor 1) gene.","genre":"Clinical trial registration","note":"submitted: 2024-07-11","number":"NCT06559176","publisher":"clinicaltrials.gov","source":"clinicaltrials.gov","title":"A Phase 1/2 Study Evaluating Gene Therapy by Transplantation of Autologous CD34+ Stem Cells Modified Ex Vivo Using Prime Editing (PM359) in Participants With Autosomal Recessive Chronic Granulomatous Disease Due to Mutations in the NCF1 Gene","title-short":"A Study of the Safety and Efficacy of Prime Editing (PM359) in Participants With p47phox Autosomal Recessive Chronic Granulomatous Disease (CGD )","URL":"https://clinicaltrials.gov/study/NCT06559176","author":[{"literal":"Prime Medicine, Inc."}],"accessed":{"date-parts":[["2026",4,7]]},"issued":{"date-parts":[["2026",3,31]]}}}],"schema":"https://github.com/citation-style-language/schema/raw/master/csl-citation.json"} </w:instrText>
      </w:r>
      <w:r w:rsidR="00892CDC" w:rsidRPr="008047F0">
        <w:rPr>
          <w:rFonts w:ascii="Times New Roman" w:hAnsi="Times New Roman" w:cs="Times New Roman"/>
          <w:sz w:val="22"/>
          <w:szCs w:val="22"/>
        </w:rPr>
        <w:fldChar w:fldCharType="separate"/>
      </w:r>
      <w:r w:rsidR="00892CDC" w:rsidRPr="008047F0">
        <w:rPr>
          <w:rFonts w:ascii="Times New Roman" w:hAnsi="Times New Roman" w:cs="Times New Roman"/>
          <w:kern w:val="0"/>
          <w:sz w:val="22"/>
          <w:szCs w:val="22"/>
          <w:vertAlign w:val="superscript"/>
        </w:rPr>
        <w:t>7</w:t>
      </w:r>
      <w:r w:rsidR="00892CDC" w:rsidRPr="008047F0">
        <w:rPr>
          <w:rFonts w:ascii="Times New Roman" w:hAnsi="Times New Roman" w:cs="Times New Roman"/>
          <w:sz w:val="22"/>
          <w:szCs w:val="22"/>
        </w:rPr>
        <w:fldChar w:fldCharType="end"/>
      </w:r>
      <w:r w:rsidR="00632557" w:rsidRPr="008047F0">
        <w:rPr>
          <w:rFonts w:ascii="Times New Roman" w:hAnsi="Times New Roman" w:cs="Times New Roman"/>
          <w:sz w:val="22"/>
          <w:szCs w:val="22"/>
        </w:rPr>
        <w:t xml:space="preserve"> The work proposed here will extend the paradigm of </w:t>
      </w:r>
      <w:r w:rsidR="00632557" w:rsidRPr="008047F0">
        <w:rPr>
          <w:rFonts w:ascii="Times New Roman" w:hAnsi="Times New Roman" w:cs="Times New Roman"/>
          <w:i/>
          <w:iCs/>
          <w:sz w:val="22"/>
          <w:szCs w:val="22"/>
        </w:rPr>
        <w:t xml:space="preserve">ex vivo </w:t>
      </w:r>
      <w:r w:rsidR="00632557" w:rsidRPr="008047F0">
        <w:rPr>
          <w:rFonts w:ascii="Times New Roman" w:hAnsi="Times New Roman" w:cs="Times New Roman"/>
          <w:sz w:val="22"/>
          <w:szCs w:val="22"/>
        </w:rPr>
        <w:t>gene editing in autologous cell therapy to the central nervous system and neurodegenerative disease.</w:t>
      </w:r>
    </w:p>
    <w:p w14:paraId="054D1345" w14:textId="2E36151C" w:rsidR="00632557" w:rsidRPr="008047F0" w:rsidRDefault="00632557"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 xml:space="preserve">Building on this foundation, gene editing and cellular reprogramming can be combined in a novel “one-step” strategy to simultaneously generate mutation-corrected </w:t>
      </w:r>
      <w:proofErr w:type="spellStart"/>
      <w:r w:rsidRPr="008047F0">
        <w:rPr>
          <w:rFonts w:ascii="Times New Roman" w:hAnsi="Times New Roman" w:cs="Times New Roman"/>
          <w:sz w:val="22"/>
          <w:szCs w:val="22"/>
        </w:rPr>
        <w:t>hiPSCs</w:t>
      </w:r>
      <w:proofErr w:type="spellEnd"/>
      <w:r w:rsidRPr="008047F0">
        <w:rPr>
          <w:rFonts w:ascii="Times New Roman" w:hAnsi="Times New Roman" w:cs="Times New Roman"/>
          <w:sz w:val="22"/>
          <w:szCs w:val="22"/>
        </w:rPr>
        <w:t xml:space="preserve"> from patient fibroblasts. Rather than sequentially gene editing and then reprogramming fibroblasts (or vice </w:t>
      </w:r>
      <w:proofErr w:type="gramStart"/>
      <w:r w:rsidRPr="008047F0">
        <w:rPr>
          <w:rFonts w:ascii="Times New Roman" w:hAnsi="Times New Roman" w:cs="Times New Roman"/>
          <w:sz w:val="22"/>
          <w:szCs w:val="22"/>
        </w:rPr>
        <w:t>versa) —</w:t>
      </w:r>
      <w:proofErr w:type="gramEnd"/>
      <w:r w:rsidRPr="008047F0">
        <w:rPr>
          <w:rFonts w:ascii="Times New Roman" w:hAnsi="Times New Roman" w:cs="Times New Roman"/>
          <w:sz w:val="22"/>
          <w:szCs w:val="22"/>
        </w:rPr>
        <w:t xml:space="preserve"> a time-consuming series of steps that subjects cells to considerable stressors and risks increased genomic damage — this approach integrates both steps simultaneously. Preliminary data from our lab </w:t>
      </w:r>
      <w:proofErr w:type="gramStart"/>
      <w:r w:rsidRPr="008047F0">
        <w:rPr>
          <w:rFonts w:ascii="Times New Roman" w:hAnsi="Times New Roman" w:cs="Times New Roman"/>
          <w:sz w:val="22"/>
          <w:szCs w:val="22"/>
        </w:rPr>
        <w:t>demonstrate</w:t>
      </w:r>
      <w:proofErr w:type="gramEnd"/>
      <w:r w:rsidRPr="008047F0">
        <w:rPr>
          <w:rFonts w:ascii="Times New Roman" w:hAnsi="Times New Roman" w:cs="Times New Roman"/>
          <w:sz w:val="22"/>
          <w:szCs w:val="22"/>
        </w:rPr>
        <w:t xml:space="preserve"> the successful generation of mutation-corrected hiPSC clones using this approach, with subsequent differentiation into mDAPs.</w:t>
      </w:r>
    </w:p>
    <w:p w14:paraId="587423F8" w14:textId="2C93C748" w:rsidR="00632557" w:rsidRPr="008047F0" w:rsidRDefault="00632557"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 xml:space="preserve">Corrected cells will undergo extensive quality control testing to ensure safety and efficacy and suitability for clinical application, both </w:t>
      </w:r>
      <w:r w:rsidRPr="008047F0">
        <w:rPr>
          <w:rFonts w:ascii="Times New Roman" w:hAnsi="Times New Roman" w:cs="Times New Roman"/>
          <w:i/>
          <w:iCs/>
          <w:sz w:val="22"/>
          <w:szCs w:val="22"/>
        </w:rPr>
        <w:t>in vitro</w:t>
      </w:r>
      <w:r w:rsidRPr="008047F0">
        <w:rPr>
          <w:rFonts w:ascii="Times New Roman" w:hAnsi="Times New Roman" w:cs="Times New Roman"/>
          <w:sz w:val="22"/>
          <w:szCs w:val="22"/>
        </w:rPr>
        <w:t xml:space="preserve"> and </w:t>
      </w:r>
      <w:r w:rsidRPr="008047F0">
        <w:rPr>
          <w:rFonts w:ascii="Times New Roman" w:hAnsi="Times New Roman" w:cs="Times New Roman"/>
          <w:i/>
          <w:iCs/>
          <w:sz w:val="22"/>
          <w:szCs w:val="22"/>
        </w:rPr>
        <w:t>in vivo</w:t>
      </w:r>
      <w:r w:rsidRPr="008047F0">
        <w:rPr>
          <w:rFonts w:ascii="Times New Roman" w:hAnsi="Times New Roman" w:cs="Times New Roman"/>
          <w:sz w:val="22"/>
          <w:szCs w:val="22"/>
        </w:rPr>
        <w:t xml:space="preserve">. Functional testing will be used to demonstrate the correction of established Parkinson’s disease–associated and mutation-specific cellular phenotypes following gene editing </w:t>
      </w:r>
      <w:r w:rsidRPr="008047F0">
        <w:rPr>
          <w:rFonts w:ascii="Times New Roman" w:hAnsi="Times New Roman" w:cs="Times New Roman"/>
          <w:i/>
          <w:iCs/>
          <w:sz w:val="22"/>
          <w:szCs w:val="22"/>
        </w:rPr>
        <w:t>in vitro</w:t>
      </w:r>
      <w:r w:rsidRPr="008047F0">
        <w:rPr>
          <w:rFonts w:ascii="Times New Roman" w:hAnsi="Times New Roman" w:cs="Times New Roman"/>
          <w:sz w:val="22"/>
          <w:szCs w:val="22"/>
        </w:rPr>
        <w:t xml:space="preserve">. The efficacy of corrected cell–derived grafts will be assessed via behavioral testing in </w:t>
      </w:r>
      <w:r w:rsidR="00AF37D8" w:rsidRPr="00AF37D8">
        <w:rPr>
          <w:rFonts w:ascii="Times New Roman" w:hAnsi="Times New Roman" w:cs="Times New Roman"/>
          <w:sz w:val="22"/>
          <w:szCs w:val="22"/>
        </w:rPr>
        <w:t>6-hydroxydopamine (6-OHDA) hemi-lesioned</w:t>
      </w:r>
      <w:r w:rsidRPr="008047F0">
        <w:rPr>
          <w:rFonts w:ascii="Times New Roman" w:hAnsi="Times New Roman" w:cs="Times New Roman"/>
          <w:sz w:val="22"/>
          <w:szCs w:val="22"/>
        </w:rPr>
        <w:t xml:space="preserve"> athymic rats, a well-established model of Parkinson’s disease used to assess cell transplantation; administration of 6-OHDA </w:t>
      </w:r>
      <w:r w:rsidR="00BF1B6B" w:rsidRPr="008047F0">
        <w:rPr>
          <w:rFonts w:ascii="Times New Roman" w:hAnsi="Times New Roman" w:cs="Times New Roman"/>
          <w:sz w:val="22"/>
          <w:szCs w:val="22"/>
        </w:rPr>
        <w:t xml:space="preserve">to the medial forebrain bundle causes ipsilateral dopaminergic neuron loss resulting in motor function impairments. Safety will be assessed in immunocompromised Nod </w:t>
      </w:r>
      <w:proofErr w:type="spellStart"/>
      <w:r w:rsidR="00BF1B6B" w:rsidRPr="008047F0">
        <w:rPr>
          <w:rFonts w:ascii="Times New Roman" w:hAnsi="Times New Roman" w:cs="Times New Roman"/>
          <w:sz w:val="22"/>
          <w:szCs w:val="22"/>
        </w:rPr>
        <w:t>Scid</w:t>
      </w:r>
      <w:proofErr w:type="spellEnd"/>
      <w:r w:rsidR="00BF1B6B" w:rsidRPr="008047F0">
        <w:rPr>
          <w:rFonts w:ascii="Times New Roman" w:hAnsi="Times New Roman" w:cs="Times New Roman"/>
          <w:sz w:val="22"/>
          <w:szCs w:val="22"/>
        </w:rPr>
        <w:t xml:space="preserve"> γ mice implanted with the patient-derived grafts via histological and immunohistochemical analysis for evidence of unexpected tumor formation, graft maturity, and the spread of graft cells beyond the immediate area of the graft at 3 and 6</w:t>
      </w:r>
      <w:r w:rsidR="00F05EF4">
        <w:rPr>
          <w:rFonts w:ascii="Times New Roman" w:hAnsi="Times New Roman" w:cs="Times New Roman"/>
          <w:sz w:val="22"/>
          <w:szCs w:val="22"/>
        </w:rPr>
        <w:t xml:space="preserve"> </w:t>
      </w:r>
      <w:r w:rsidR="00BF1B6B" w:rsidRPr="008047F0">
        <w:rPr>
          <w:rFonts w:ascii="Times New Roman" w:hAnsi="Times New Roman" w:cs="Times New Roman"/>
          <w:sz w:val="22"/>
          <w:szCs w:val="22"/>
        </w:rPr>
        <w:t>months post-transplantation.</w:t>
      </w:r>
    </w:p>
    <w:p w14:paraId="67B4B297" w14:textId="3C667997" w:rsidR="00BF1B6B" w:rsidRPr="008047F0" w:rsidRDefault="00BF1B6B"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In summary, the proposed research is a highly translational project that unifies regenerative cell therapy with precision genomic medicine to extend the existing clinical paradigm to familial Parkinson’s disease patients, spanning patient cell acquisition, gene editing and cellular reprogramming, and preclinical testing for safety, efficacy, and function</w:t>
      </w:r>
      <w:r w:rsidR="007913AD">
        <w:rPr>
          <w:rFonts w:ascii="Times New Roman" w:hAnsi="Times New Roman" w:cs="Times New Roman"/>
          <w:sz w:val="22"/>
          <w:szCs w:val="22"/>
        </w:rPr>
        <w:t xml:space="preserve"> within the “genomic medicine cycle”</w:t>
      </w:r>
      <w:r w:rsidRPr="008047F0">
        <w:rPr>
          <w:rFonts w:ascii="Times New Roman" w:hAnsi="Times New Roman" w:cs="Times New Roman"/>
          <w:sz w:val="22"/>
          <w:szCs w:val="22"/>
        </w:rPr>
        <w:t>. With its genetically defined target population and the application of novel, precise gene editing and cellular reprogramming techniques to generate personalized cell products, it is well-aligned with the aims of precision and genomic medicine. Beyond the opportunity to extend a breakthrough therapeutic avenue to familial Parkinson’s patients, the novel methodologies that will be developed in this project have the potential to refine and transform the application of autologous cell replacement therapy to a broad range of genetic diseases.</w:t>
      </w:r>
    </w:p>
    <w:p w14:paraId="5DC6CE74" w14:textId="77777777" w:rsidR="00BF1B6B" w:rsidRPr="008047F0" w:rsidRDefault="00BF1B6B" w:rsidP="008047F0">
      <w:pPr>
        <w:spacing w:after="120" w:line="240" w:lineRule="auto"/>
        <w:rPr>
          <w:rFonts w:ascii="Times New Roman" w:hAnsi="Times New Roman" w:cs="Times New Roman"/>
          <w:sz w:val="22"/>
          <w:szCs w:val="22"/>
        </w:rPr>
      </w:pPr>
    </w:p>
    <w:p w14:paraId="693522DF" w14:textId="77777777" w:rsidR="00BF1B6B" w:rsidRPr="008047F0" w:rsidRDefault="00BF1B6B" w:rsidP="008047F0">
      <w:pPr>
        <w:spacing w:after="120" w:line="240" w:lineRule="auto"/>
        <w:rPr>
          <w:rFonts w:ascii="Times New Roman" w:hAnsi="Times New Roman" w:cs="Times New Roman"/>
          <w:i/>
          <w:iCs/>
          <w:sz w:val="22"/>
          <w:szCs w:val="22"/>
        </w:rPr>
      </w:pPr>
      <w:r w:rsidRPr="008047F0">
        <w:rPr>
          <w:rFonts w:ascii="Times New Roman" w:hAnsi="Times New Roman" w:cs="Times New Roman"/>
          <w:i/>
          <w:iCs/>
          <w:sz w:val="22"/>
          <w:szCs w:val="22"/>
        </w:rPr>
        <w:t>Proposed mentors</w:t>
      </w:r>
    </w:p>
    <w:p w14:paraId="5F545F52" w14:textId="320041C9" w:rsidR="003D62DA" w:rsidRPr="008047F0" w:rsidRDefault="00487066"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I propose to conduct this work under the mentorship of Bin Song, MD, PhD, a member of the T32 Training Program in Precision and Genomic Medicine faculty and the Research Director of the George A. “Doc” Lopez, MD, Laboratory for Regenerative Cell Therapy in the Department of Neurosurgery at Massachusetts General Hospital. Jeffrey Schweitzer, MD, PhD, the Clinical Director of the Lopez Lab, will serve as an ongoing collaborator. Together, Drs. Song and Schweitzer led the first reported autologous cell replacement therapy for Parkinson’s disease, and the lab is currently supporting a clinical trial for its use in sporadic Parkinson’s disease (NCT06687837). With their support, I am confident that I will be able to complete this work while continuing my growth toward becoming an independent investigator in precision medicine.</w:t>
      </w:r>
      <w:r w:rsidR="00BF1B6B" w:rsidRPr="008047F0">
        <w:rPr>
          <w:rFonts w:ascii="Times New Roman" w:hAnsi="Times New Roman" w:cs="Times New Roman"/>
          <w:sz w:val="22"/>
          <w:szCs w:val="22"/>
        </w:rPr>
        <w:t xml:space="preserve"> </w:t>
      </w:r>
    </w:p>
    <w:p w14:paraId="4EE88E11" w14:textId="77777777" w:rsidR="003D62DA" w:rsidRPr="008047F0" w:rsidRDefault="003D62DA" w:rsidP="008047F0">
      <w:pPr>
        <w:spacing w:after="120" w:line="240" w:lineRule="auto"/>
        <w:rPr>
          <w:rFonts w:ascii="Times New Roman" w:hAnsi="Times New Roman" w:cs="Times New Roman"/>
          <w:sz w:val="22"/>
          <w:szCs w:val="22"/>
        </w:rPr>
      </w:pPr>
      <w:r w:rsidRPr="008047F0">
        <w:rPr>
          <w:rFonts w:ascii="Times New Roman" w:hAnsi="Times New Roman" w:cs="Times New Roman"/>
          <w:sz w:val="22"/>
          <w:szCs w:val="22"/>
        </w:rPr>
        <w:br w:type="page"/>
      </w:r>
    </w:p>
    <w:p w14:paraId="68A0DF80" w14:textId="7D0DA525" w:rsidR="003D62DA" w:rsidRPr="008047F0" w:rsidRDefault="003D62DA" w:rsidP="008047F0">
      <w:pPr>
        <w:spacing w:after="120" w:line="240" w:lineRule="auto"/>
        <w:rPr>
          <w:rFonts w:ascii="Times New Roman" w:hAnsi="Times New Roman" w:cs="Times New Roman"/>
          <w:b/>
          <w:bCs/>
          <w:sz w:val="22"/>
          <w:szCs w:val="22"/>
        </w:rPr>
      </w:pPr>
      <w:r w:rsidRPr="008047F0">
        <w:rPr>
          <w:rFonts w:ascii="Times New Roman" w:hAnsi="Times New Roman" w:cs="Times New Roman"/>
          <w:b/>
          <w:bCs/>
          <w:sz w:val="22"/>
          <w:szCs w:val="22"/>
        </w:rPr>
        <w:lastRenderedPageBreak/>
        <w:t>Works Cited</w:t>
      </w:r>
    </w:p>
    <w:p w14:paraId="3224B53E" w14:textId="77777777" w:rsidR="003D62DA" w:rsidRPr="008047F0" w:rsidRDefault="003D62DA" w:rsidP="008047F0">
      <w:pPr>
        <w:spacing w:after="120" w:line="240" w:lineRule="auto"/>
        <w:rPr>
          <w:rFonts w:ascii="Times New Roman" w:hAnsi="Times New Roman" w:cs="Times New Roman"/>
          <w:b/>
          <w:bCs/>
          <w:sz w:val="22"/>
          <w:szCs w:val="22"/>
        </w:rPr>
      </w:pPr>
    </w:p>
    <w:p w14:paraId="4B87D3D6" w14:textId="77777777" w:rsidR="008047F0" w:rsidRPr="008047F0" w:rsidRDefault="003D62DA" w:rsidP="008047F0">
      <w:pPr>
        <w:pStyle w:val="Bibliography"/>
        <w:spacing w:after="120" w:line="240" w:lineRule="auto"/>
        <w:rPr>
          <w:rFonts w:ascii="Times New Roman" w:hAnsi="Times New Roman" w:cs="Times New Roman"/>
          <w:sz w:val="22"/>
          <w:szCs w:val="22"/>
        </w:rPr>
      </w:pPr>
      <w:r w:rsidRPr="008047F0">
        <w:rPr>
          <w:rFonts w:ascii="Times New Roman" w:hAnsi="Times New Roman" w:cs="Times New Roman"/>
          <w:color w:val="000000" w:themeColor="text1"/>
          <w:sz w:val="22"/>
          <w:szCs w:val="22"/>
        </w:rPr>
        <w:fldChar w:fldCharType="begin"/>
      </w:r>
      <w:r w:rsidR="008047F0" w:rsidRPr="008047F0">
        <w:rPr>
          <w:rFonts w:ascii="Times New Roman" w:hAnsi="Times New Roman" w:cs="Times New Roman"/>
          <w:color w:val="000000" w:themeColor="text1"/>
          <w:sz w:val="22"/>
          <w:szCs w:val="22"/>
        </w:rPr>
        <w:instrText xml:space="preserve"> ADDIN ZOTERO_BIBL {"uncited":[],"omitted":[],"custom":[]} CSL_BIBLIOGRAPHY </w:instrText>
      </w:r>
      <w:r w:rsidRPr="008047F0">
        <w:rPr>
          <w:rFonts w:ascii="Times New Roman" w:hAnsi="Times New Roman" w:cs="Times New Roman"/>
          <w:color w:val="000000" w:themeColor="text1"/>
          <w:sz w:val="22"/>
          <w:szCs w:val="22"/>
        </w:rPr>
        <w:fldChar w:fldCharType="separate"/>
      </w:r>
      <w:r w:rsidR="008047F0" w:rsidRPr="008047F0">
        <w:rPr>
          <w:rFonts w:ascii="Times New Roman" w:hAnsi="Times New Roman" w:cs="Times New Roman"/>
          <w:sz w:val="22"/>
          <w:szCs w:val="22"/>
        </w:rPr>
        <w:t>1.</w:t>
      </w:r>
      <w:r w:rsidR="008047F0" w:rsidRPr="008047F0">
        <w:rPr>
          <w:rFonts w:ascii="Times New Roman" w:hAnsi="Times New Roman" w:cs="Times New Roman"/>
          <w:sz w:val="22"/>
          <w:szCs w:val="22"/>
        </w:rPr>
        <w:tab/>
        <w:t xml:space="preserve">Takahashi, K. &amp; Yamanaka, S. Induction of pluripotent stem cells from mouse embryonic and adult fibroblast cultures by defined factors. </w:t>
      </w:r>
      <w:r w:rsidR="008047F0" w:rsidRPr="008047F0">
        <w:rPr>
          <w:rFonts w:ascii="Times New Roman" w:hAnsi="Times New Roman" w:cs="Times New Roman"/>
          <w:i/>
          <w:iCs/>
          <w:sz w:val="22"/>
          <w:szCs w:val="22"/>
        </w:rPr>
        <w:t>Cell</w:t>
      </w:r>
      <w:r w:rsidR="008047F0" w:rsidRPr="008047F0">
        <w:rPr>
          <w:rFonts w:ascii="Times New Roman" w:hAnsi="Times New Roman" w:cs="Times New Roman"/>
          <w:sz w:val="22"/>
          <w:szCs w:val="22"/>
        </w:rPr>
        <w:t xml:space="preserve"> </w:t>
      </w:r>
      <w:r w:rsidR="008047F0" w:rsidRPr="008047F0">
        <w:rPr>
          <w:rFonts w:ascii="Times New Roman" w:hAnsi="Times New Roman" w:cs="Times New Roman"/>
          <w:b/>
          <w:bCs/>
          <w:sz w:val="22"/>
          <w:szCs w:val="22"/>
        </w:rPr>
        <w:t>126</w:t>
      </w:r>
      <w:r w:rsidR="008047F0" w:rsidRPr="008047F0">
        <w:rPr>
          <w:rFonts w:ascii="Times New Roman" w:hAnsi="Times New Roman" w:cs="Times New Roman"/>
          <w:sz w:val="22"/>
          <w:szCs w:val="22"/>
        </w:rPr>
        <w:t>, 663–676 (2006).</w:t>
      </w:r>
    </w:p>
    <w:p w14:paraId="34D6967A" w14:textId="77777777" w:rsidR="008047F0" w:rsidRPr="008047F0" w:rsidRDefault="008047F0" w:rsidP="008047F0">
      <w:pPr>
        <w:pStyle w:val="Bibliography"/>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2.</w:t>
      </w:r>
      <w:r w:rsidRPr="008047F0">
        <w:rPr>
          <w:rFonts w:ascii="Times New Roman" w:hAnsi="Times New Roman" w:cs="Times New Roman"/>
          <w:sz w:val="22"/>
          <w:szCs w:val="22"/>
        </w:rPr>
        <w:tab/>
        <w:t xml:space="preserve">Schweitzer, J. S. </w:t>
      </w:r>
      <w:r w:rsidRPr="008047F0">
        <w:rPr>
          <w:rFonts w:ascii="Times New Roman" w:hAnsi="Times New Roman" w:cs="Times New Roman"/>
          <w:i/>
          <w:iCs/>
          <w:sz w:val="22"/>
          <w:szCs w:val="22"/>
        </w:rPr>
        <w:t>Phase I Trial of Autologous Induced Pluripotent Stem Cell-Derived Dopaminergic Progenitor Cell Transplantation for Parkinson’s Disease</w:t>
      </w:r>
      <w:r w:rsidRPr="008047F0">
        <w:rPr>
          <w:rFonts w:ascii="Times New Roman" w:hAnsi="Times New Roman" w:cs="Times New Roman"/>
          <w:sz w:val="22"/>
          <w:szCs w:val="22"/>
        </w:rPr>
        <w:t>. https://clinicaltrials.gov/study/NCT06687837 (2026).</w:t>
      </w:r>
    </w:p>
    <w:p w14:paraId="2757A914" w14:textId="77777777" w:rsidR="008047F0" w:rsidRPr="008047F0" w:rsidRDefault="008047F0" w:rsidP="008047F0">
      <w:pPr>
        <w:pStyle w:val="Bibliography"/>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3.</w:t>
      </w:r>
      <w:r w:rsidRPr="008047F0">
        <w:rPr>
          <w:rFonts w:ascii="Times New Roman" w:hAnsi="Times New Roman" w:cs="Times New Roman"/>
          <w:sz w:val="22"/>
          <w:szCs w:val="22"/>
        </w:rPr>
        <w:tab/>
        <w:t xml:space="preserve">Kolicheski, A. </w:t>
      </w:r>
      <w:r w:rsidRPr="008047F0">
        <w:rPr>
          <w:rFonts w:ascii="Times New Roman" w:hAnsi="Times New Roman" w:cs="Times New Roman"/>
          <w:i/>
          <w:iCs/>
          <w:sz w:val="22"/>
          <w:szCs w:val="22"/>
        </w:rPr>
        <w:t>et al.</w:t>
      </w:r>
      <w:r w:rsidRPr="008047F0">
        <w:rPr>
          <w:rFonts w:ascii="Times New Roman" w:hAnsi="Times New Roman" w:cs="Times New Roman"/>
          <w:sz w:val="22"/>
          <w:szCs w:val="22"/>
        </w:rPr>
        <w:t xml:space="preserve"> Early-Onset Parkinson’s Disease: Creating the Right Environment for a Genetic Disorder. </w:t>
      </w:r>
      <w:r w:rsidRPr="008047F0">
        <w:rPr>
          <w:rFonts w:ascii="Times New Roman" w:hAnsi="Times New Roman" w:cs="Times New Roman"/>
          <w:i/>
          <w:iCs/>
          <w:sz w:val="22"/>
          <w:szCs w:val="22"/>
        </w:rPr>
        <w:t>J. Park. Dis.</w:t>
      </w:r>
      <w:r w:rsidRPr="008047F0">
        <w:rPr>
          <w:rFonts w:ascii="Times New Roman" w:hAnsi="Times New Roman" w:cs="Times New Roman"/>
          <w:sz w:val="22"/>
          <w:szCs w:val="22"/>
        </w:rPr>
        <w:t xml:space="preserve"> </w:t>
      </w:r>
      <w:r w:rsidRPr="008047F0">
        <w:rPr>
          <w:rFonts w:ascii="Times New Roman" w:hAnsi="Times New Roman" w:cs="Times New Roman"/>
          <w:b/>
          <w:bCs/>
          <w:sz w:val="22"/>
          <w:szCs w:val="22"/>
        </w:rPr>
        <w:t>12</w:t>
      </w:r>
      <w:r w:rsidRPr="008047F0">
        <w:rPr>
          <w:rFonts w:ascii="Times New Roman" w:hAnsi="Times New Roman" w:cs="Times New Roman"/>
          <w:sz w:val="22"/>
          <w:szCs w:val="22"/>
        </w:rPr>
        <w:t>, 2353–2367.</w:t>
      </w:r>
    </w:p>
    <w:p w14:paraId="68FE272D" w14:textId="77777777" w:rsidR="008047F0" w:rsidRPr="008047F0" w:rsidRDefault="008047F0" w:rsidP="008047F0">
      <w:pPr>
        <w:pStyle w:val="Bibliography"/>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4.</w:t>
      </w:r>
      <w:r w:rsidRPr="008047F0">
        <w:rPr>
          <w:rFonts w:ascii="Times New Roman" w:hAnsi="Times New Roman" w:cs="Times New Roman"/>
          <w:sz w:val="22"/>
          <w:szCs w:val="22"/>
        </w:rPr>
        <w:tab/>
        <w:t xml:space="preserve">Campbell, S. T. Approval of the First CRISPR-Cas9 Gene Editing Therapy for Sickle Cell Disease. </w:t>
      </w:r>
      <w:r w:rsidRPr="008047F0">
        <w:rPr>
          <w:rFonts w:ascii="Times New Roman" w:hAnsi="Times New Roman" w:cs="Times New Roman"/>
          <w:i/>
          <w:iCs/>
          <w:sz w:val="22"/>
          <w:szCs w:val="22"/>
        </w:rPr>
        <w:t>Clin. Chem.</w:t>
      </w:r>
      <w:r w:rsidRPr="008047F0">
        <w:rPr>
          <w:rFonts w:ascii="Times New Roman" w:hAnsi="Times New Roman" w:cs="Times New Roman"/>
          <w:sz w:val="22"/>
          <w:szCs w:val="22"/>
        </w:rPr>
        <w:t xml:space="preserve"> </w:t>
      </w:r>
      <w:r w:rsidRPr="008047F0">
        <w:rPr>
          <w:rFonts w:ascii="Times New Roman" w:hAnsi="Times New Roman" w:cs="Times New Roman"/>
          <w:b/>
          <w:bCs/>
          <w:sz w:val="22"/>
          <w:szCs w:val="22"/>
        </w:rPr>
        <w:t>70</w:t>
      </w:r>
      <w:r w:rsidRPr="008047F0">
        <w:rPr>
          <w:rFonts w:ascii="Times New Roman" w:hAnsi="Times New Roman" w:cs="Times New Roman"/>
          <w:sz w:val="22"/>
          <w:szCs w:val="22"/>
        </w:rPr>
        <w:t>, 1298 (2024).</w:t>
      </w:r>
    </w:p>
    <w:p w14:paraId="7931CB0D" w14:textId="77777777" w:rsidR="008047F0" w:rsidRPr="008047F0" w:rsidRDefault="008047F0" w:rsidP="008047F0">
      <w:pPr>
        <w:pStyle w:val="Bibliography"/>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5.</w:t>
      </w:r>
      <w:r w:rsidRPr="008047F0">
        <w:rPr>
          <w:rFonts w:ascii="Times New Roman" w:hAnsi="Times New Roman" w:cs="Times New Roman"/>
          <w:sz w:val="22"/>
          <w:szCs w:val="22"/>
        </w:rPr>
        <w:tab/>
        <w:t xml:space="preserve">Gupta, A. O. </w:t>
      </w:r>
      <w:r w:rsidRPr="008047F0">
        <w:rPr>
          <w:rFonts w:ascii="Times New Roman" w:hAnsi="Times New Roman" w:cs="Times New Roman"/>
          <w:i/>
          <w:iCs/>
          <w:sz w:val="22"/>
          <w:szCs w:val="22"/>
        </w:rPr>
        <w:t>et al.</w:t>
      </w:r>
      <w:r w:rsidRPr="008047F0">
        <w:rPr>
          <w:rFonts w:ascii="Times New Roman" w:hAnsi="Times New Roman" w:cs="Times New Roman"/>
          <w:sz w:val="22"/>
          <w:szCs w:val="22"/>
        </w:rPr>
        <w:t xml:space="preserve"> Safety and Efficacy of Autologous CD34+ Base Edited Hematopoietic Stem Cells (BEAM-101) for the Treatment of Sickle Cell Disease with Severe Vaso-Occlusive Crises: Results from the Ongoing Phase 1/2 Beacon Study. </w:t>
      </w:r>
      <w:r w:rsidRPr="008047F0">
        <w:rPr>
          <w:rFonts w:ascii="Times New Roman" w:hAnsi="Times New Roman" w:cs="Times New Roman"/>
          <w:i/>
          <w:iCs/>
          <w:sz w:val="22"/>
          <w:szCs w:val="22"/>
        </w:rPr>
        <w:t>Transplant. Cell. Ther.</w:t>
      </w:r>
      <w:r w:rsidRPr="008047F0">
        <w:rPr>
          <w:rFonts w:ascii="Times New Roman" w:hAnsi="Times New Roman" w:cs="Times New Roman"/>
          <w:sz w:val="22"/>
          <w:szCs w:val="22"/>
        </w:rPr>
        <w:t xml:space="preserve"> </w:t>
      </w:r>
      <w:r w:rsidRPr="008047F0">
        <w:rPr>
          <w:rFonts w:ascii="Times New Roman" w:hAnsi="Times New Roman" w:cs="Times New Roman"/>
          <w:b/>
          <w:bCs/>
          <w:sz w:val="22"/>
          <w:szCs w:val="22"/>
        </w:rPr>
        <w:t>31</w:t>
      </w:r>
      <w:r w:rsidRPr="008047F0">
        <w:rPr>
          <w:rFonts w:ascii="Times New Roman" w:hAnsi="Times New Roman" w:cs="Times New Roman"/>
          <w:sz w:val="22"/>
          <w:szCs w:val="22"/>
        </w:rPr>
        <w:t>, S22 (2025).</w:t>
      </w:r>
    </w:p>
    <w:p w14:paraId="0647AC89" w14:textId="77777777" w:rsidR="008047F0" w:rsidRPr="008047F0" w:rsidRDefault="008047F0" w:rsidP="008047F0">
      <w:pPr>
        <w:pStyle w:val="Bibliography"/>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6.</w:t>
      </w:r>
      <w:r w:rsidRPr="008047F0">
        <w:rPr>
          <w:rFonts w:ascii="Times New Roman" w:hAnsi="Times New Roman" w:cs="Times New Roman"/>
          <w:sz w:val="22"/>
          <w:szCs w:val="22"/>
        </w:rPr>
        <w:tab/>
        <w:t xml:space="preserve">Chen, P. J. &amp; Liu, D. R. Prime editing for precise and highly versatile genome manipulation. </w:t>
      </w:r>
      <w:r w:rsidRPr="008047F0">
        <w:rPr>
          <w:rFonts w:ascii="Times New Roman" w:hAnsi="Times New Roman" w:cs="Times New Roman"/>
          <w:i/>
          <w:iCs/>
          <w:sz w:val="22"/>
          <w:szCs w:val="22"/>
        </w:rPr>
        <w:t>Nat. Rev. Genet.</w:t>
      </w:r>
      <w:r w:rsidRPr="008047F0">
        <w:rPr>
          <w:rFonts w:ascii="Times New Roman" w:hAnsi="Times New Roman" w:cs="Times New Roman"/>
          <w:sz w:val="22"/>
          <w:szCs w:val="22"/>
        </w:rPr>
        <w:t xml:space="preserve"> </w:t>
      </w:r>
      <w:r w:rsidRPr="008047F0">
        <w:rPr>
          <w:rFonts w:ascii="Times New Roman" w:hAnsi="Times New Roman" w:cs="Times New Roman"/>
          <w:b/>
          <w:bCs/>
          <w:sz w:val="22"/>
          <w:szCs w:val="22"/>
        </w:rPr>
        <w:t>24</w:t>
      </w:r>
      <w:r w:rsidRPr="008047F0">
        <w:rPr>
          <w:rFonts w:ascii="Times New Roman" w:hAnsi="Times New Roman" w:cs="Times New Roman"/>
          <w:sz w:val="22"/>
          <w:szCs w:val="22"/>
        </w:rPr>
        <w:t>, 161–177 (2023).</w:t>
      </w:r>
    </w:p>
    <w:p w14:paraId="06B2AC29" w14:textId="77777777" w:rsidR="008047F0" w:rsidRPr="008047F0" w:rsidRDefault="008047F0" w:rsidP="008047F0">
      <w:pPr>
        <w:pStyle w:val="Bibliography"/>
        <w:spacing w:after="120" w:line="240" w:lineRule="auto"/>
        <w:rPr>
          <w:rFonts w:ascii="Times New Roman" w:hAnsi="Times New Roman" w:cs="Times New Roman"/>
          <w:sz w:val="22"/>
          <w:szCs w:val="22"/>
        </w:rPr>
      </w:pPr>
      <w:r w:rsidRPr="008047F0">
        <w:rPr>
          <w:rFonts w:ascii="Times New Roman" w:hAnsi="Times New Roman" w:cs="Times New Roman"/>
          <w:sz w:val="22"/>
          <w:szCs w:val="22"/>
        </w:rPr>
        <w:t>7.</w:t>
      </w:r>
      <w:r w:rsidRPr="008047F0">
        <w:rPr>
          <w:rFonts w:ascii="Times New Roman" w:hAnsi="Times New Roman" w:cs="Times New Roman"/>
          <w:sz w:val="22"/>
          <w:szCs w:val="22"/>
        </w:rPr>
        <w:tab/>
        <w:t xml:space="preserve">Prime Medicine, Inc. </w:t>
      </w:r>
      <w:r w:rsidRPr="008047F0">
        <w:rPr>
          <w:rFonts w:ascii="Times New Roman" w:hAnsi="Times New Roman" w:cs="Times New Roman"/>
          <w:i/>
          <w:iCs/>
          <w:sz w:val="22"/>
          <w:szCs w:val="22"/>
        </w:rPr>
        <w:t>A Phase 1/2 Study Evaluating Gene Therapy by Transplantation of Autologous CD34+ Stem Cells Modified Ex Vivo Using Prime Editing (PM359) in Participants With Autosomal Recessive Chronic Granulomatous Disease Due to Mutations in the NCF1 Gene</w:t>
      </w:r>
      <w:r w:rsidRPr="008047F0">
        <w:rPr>
          <w:rFonts w:ascii="Times New Roman" w:hAnsi="Times New Roman" w:cs="Times New Roman"/>
          <w:sz w:val="22"/>
          <w:szCs w:val="22"/>
        </w:rPr>
        <w:t>. https://clinicaltrials.gov/study/NCT06559176 (2026).</w:t>
      </w:r>
    </w:p>
    <w:p w14:paraId="100E4C0D" w14:textId="3BBBB885" w:rsidR="003D62DA" w:rsidRPr="008047F0" w:rsidRDefault="003D62DA" w:rsidP="008047F0">
      <w:pPr>
        <w:spacing w:after="120" w:line="240" w:lineRule="auto"/>
        <w:rPr>
          <w:rFonts w:ascii="Times New Roman" w:hAnsi="Times New Roman" w:cs="Times New Roman"/>
          <w:sz w:val="22"/>
          <w:szCs w:val="22"/>
        </w:rPr>
      </w:pPr>
      <w:r w:rsidRPr="008047F0">
        <w:rPr>
          <w:rFonts w:ascii="Times New Roman" w:hAnsi="Times New Roman" w:cs="Times New Roman"/>
          <w:color w:val="000000" w:themeColor="text1"/>
          <w:sz w:val="22"/>
          <w:szCs w:val="22"/>
        </w:rPr>
        <w:fldChar w:fldCharType="end"/>
      </w:r>
    </w:p>
    <w:sectPr w:rsidR="003D62DA" w:rsidRPr="00804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92"/>
    <w:rsid w:val="000606B8"/>
    <w:rsid w:val="00230E1D"/>
    <w:rsid w:val="003A5979"/>
    <w:rsid w:val="003D62DA"/>
    <w:rsid w:val="00414692"/>
    <w:rsid w:val="00487066"/>
    <w:rsid w:val="004E7A94"/>
    <w:rsid w:val="005E42DA"/>
    <w:rsid w:val="00632557"/>
    <w:rsid w:val="00637D28"/>
    <w:rsid w:val="00641193"/>
    <w:rsid w:val="007913AD"/>
    <w:rsid w:val="00802004"/>
    <w:rsid w:val="008047F0"/>
    <w:rsid w:val="00892CDC"/>
    <w:rsid w:val="008959A7"/>
    <w:rsid w:val="00934CB9"/>
    <w:rsid w:val="00AB46B6"/>
    <w:rsid w:val="00AF37D8"/>
    <w:rsid w:val="00B7752E"/>
    <w:rsid w:val="00B776EA"/>
    <w:rsid w:val="00BF1B6B"/>
    <w:rsid w:val="00BF217A"/>
    <w:rsid w:val="00D01939"/>
    <w:rsid w:val="00DE117D"/>
    <w:rsid w:val="00EB7463"/>
    <w:rsid w:val="00F05EF4"/>
    <w:rsid w:val="00FB6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C539"/>
  <w15:chartTrackingRefBased/>
  <w15:docId w15:val="{52F32F86-E1FC-4540-9A0B-D148C0697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92"/>
    <w:rPr>
      <w:rFonts w:eastAsiaTheme="majorEastAsia" w:cstheme="majorBidi"/>
      <w:color w:val="272727" w:themeColor="text1" w:themeTint="D8"/>
    </w:rPr>
  </w:style>
  <w:style w:type="paragraph" w:styleId="Title">
    <w:name w:val="Title"/>
    <w:basedOn w:val="Normal"/>
    <w:next w:val="Normal"/>
    <w:link w:val="TitleChar"/>
    <w:uiPriority w:val="10"/>
    <w:qFormat/>
    <w:rsid w:val="0041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92"/>
    <w:pPr>
      <w:spacing w:before="160"/>
      <w:jc w:val="center"/>
    </w:pPr>
    <w:rPr>
      <w:i/>
      <w:iCs/>
      <w:color w:val="404040" w:themeColor="text1" w:themeTint="BF"/>
    </w:rPr>
  </w:style>
  <w:style w:type="character" w:customStyle="1" w:styleId="QuoteChar">
    <w:name w:val="Quote Char"/>
    <w:basedOn w:val="DefaultParagraphFont"/>
    <w:link w:val="Quote"/>
    <w:uiPriority w:val="29"/>
    <w:rsid w:val="00414692"/>
    <w:rPr>
      <w:i/>
      <w:iCs/>
      <w:color w:val="404040" w:themeColor="text1" w:themeTint="BF"/>
    </w:rPr>
  </w:style>
  <w:style w:type="paragraph" w:styleId="ListParagraph">
    <w:name w:val="List Paragraph"/>
    <w:basedOn w:val="Normal"/>
    <w:uiPriority w:val="34"/>
    <w:qFormat/>
    <w:rsid w:val="00414692"/>
    <w:pPr>
      <w:ind w:left="720"/>
      <w:contextualSpacing/>
    </w:pPr>
  </w:style>
  <w:style w:type="character" w:styleId="IntenseEmphasis">
    <w:name w:val="Intense Emphasis"/>
    <w:basedOn w:val="DefaultParagraphFont"/>
    <w:uiPriority w:val="21"/>
    <w:qFormat/>
    <w:rsid w:val="00414692"/>
    <w:rPr>
      <w:i/>
      <w:iCs/>
      <w:color w:val="0F4761" w:themeColor="accent1" w:themeShade="BF"/>
    </w:rPr>
  </w:style>
  <w:style w:type="paragraph" w:styleId="IntenseQuote">
    <w:name w:val="Intense Quote"/>
    <w:basedOn w:val="Normal"/>
    <w:next w:val="Normal"/>
    <w:link w:val="IntenseQuoteChar"/>
    <w:uiPriority w:val="30"/>
    <w:qFormat/>
    <w:rsid w:val="00414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92"/>
    <w:rPr>
      <w:i/>
      <w:iCs/>
      <w:color w:val="0F4761" w:themeColor="accent1" w:themeShade="BF"/>
    </w:rPr>
  </w:style>
  <w:style w:type="character" w:styleId="IntenseReference">
    <w:name w:val="Intense Reference"/>
    <w:basedOn w:val="DefaultParagraphFont"/>
    <w:uiPriority w:val="32"/>
    <w:qFormat/>
    <w:rsid w:val="00414692"/>
    <w:rPr>
      <w:b/>
      <w:bCs/>
      <w:smallCaps/>
      <w:color w:val="0F4761" w:themeColor="accent1" w:themeShade="BF"/>
      <w:spacing w:val="5"/>
    </w:rPr>
  </w:style>
  <w:style w:type="paragraph" w:styleId="Bibliography">
    <w:name w:val="Bibliography"/>
    <w:basedOn w:val="Normal"/>
    <w:next w:val="Normal"/>
    <w:uiPriority w:val="37"/>
    <w:unhideWhenUsed/>
    <w:rsid w:val="003D62DA"/>
    <w:pPr>
      <w:tabs>
        <w:tab w:val="left" w:pos="264"/>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3544</Words>
  <Characters>21906</Characters>
  <Application>Microsoft Office Word</Application>
  <DocSecurity>0</DocSecurity>
  <Lines>300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Hsiang, Harrison Wood</dc:creator>
  <cp:keywords/>
  <dc:description/>
  <cp:lastModifiedBy>Hsiang, Harrison Wood</cp:lastModifiedBy>
  <cp:revision>21</cp:revision>
  <dcterms:created xsi:type="dcterms:W3CDTF">2026-04-07T13:06:00Z</dcterms:created>
  <dcterms:modified xsi:type="dcterms:W3CDTF">2026-04-09T20:28:00Z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id="9avooLM5"/&gt;&lt;style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