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color w:val="1F497D"/>
          <w:sz w:val="22"/>
        </w:rPr>
        <w:t>Haitong Huang</w:t>
      </w:r>
      <w:r>
        <w:rPr>
          <w:rFonts w:ascii="Calibri" w:hAnsi="Calibri"/>
          <w:b w:val="0"/>
          <w:i w:val="0"/>
          <w:color w:val="5F5F5F"/>
          <w:sz w:val="22"/>
        </w:rPr>
        <w:t>,  MD / PhD  |  PMP  |  CSM  |  RAC-US</w:t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color w:val="5F5F5F"/>
          <w:sz w:val="22"/>
        </w:rPr>
        <w:t>Baltimore, MD  ·  haitonghuang7@gmail.com  ·  (410) 555-0192  ·  linkedin.com/in/haitonghuang</w:t>
      </w:r>
    </w:p>
    <w:p>
      <w:pPr>
        <w:spacing w:before="80" w:after="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2"/>
        </w:rPr>
        <w:t>PROFESSIONAL SUMMARY</w:t>
      </w:r>
    </w:p>
    <w:p>
      <w:pPr>
        <w:spacing w:before="20" w:after="40" w:line="260" w:lineRule="exact"/>
      </w:pPr>
      <w:r>
        <w:rPr>
          <w:rFonts w:ascii="Calibri" w:hAnsi="Calibri"/>
          <w:b w:val="0"/>
          <w:i w:val="0"/>
          <w:sz w:val="22"/>
        </w:rPr>
        <w:t>Physician-scientist (MD/PhD, JHU MSTP) and Healthcare AI Director with 8 years bridging clinical medicine and enterprise AI delivery — $200M+ in program value, 7 FDA 510(k) clearances across radiology, clinical NLP, predictive monitoring, and surgical AI, with 21.4M patients impacted. Published co-first author in N. Engl. J. Med. (2022), HIMSS 2024 keynote speaker, and FDA Digital Health Center of Excellence Expert Panelist.</w:t>
      </w:r>
    </w:p>
    <w:p>
      <w:pPr>
        <w:spacing w:before="80" w:after="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2"/>
        </w:rPr>
        <w:t>PROFESSIONAL EXPERIENCE</w:t>
      </w:r>
    </w:p>
    <w:p>
      <w:pPr>
        <w:tabs>
          <w:tab w:pos="9144" w:val="bar"/>
        </w:tabs>
        <w:spacing w:before="60" w:after="0"/>
      </w:pPr>
      <w:r>
        <w:rPr>
          <w:rFonts w:ascii="Calibri" w:hAnsi="Calibri"/>
          <w:b/>
          <w:i w:val="0"/>
          <w:color w:val="141414"/>
          <w:sz w:val="22"/>
        </w:rPr>
        <w:t xml:space="preserve">Director, Healthcare AI Programs  |  </w:t>
      </w:r>
      <w:r>
        <w:rPr>
          <w:rFonts w:ascii="Calibri" w:hAnsi="Calibri"/>
          <w:b w:val="0"/>
          <w:i w:val="0"/>
          <w:color w:val="5F5F5F"/>
          <w:sz w:val="22"/>
        </w:rPr>
        <w:t>Optum AI (UnitedHealth Group)  |  Eden Prairie, MN</w:t>
      </w:r>
      <w:r>
        <w:rPr>
          <w:rFonts w:ascii="Calibri" w:hAnsi="Calibri"/>
          <w:b w:val="0"/>
          <w:i/>
          <w:color w:val="5F5F5F"/>
          <w:sz w:val="22"/>
        </w:rPr>
        <w:tab/>
        <w:t>Jan 2023–Present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Portfolio: 23 AI/ML programs ($81M) — radiology triage, clinical NLP (2.3M notes/day), ICU predictive monitoring — 97.3% on-time, 78-member distributed team, 21.4M patients across 340+ systems, zero patient safety incidents.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Four FDA 510(k) clearances in 14 months, 37% below benchmark: chest imaging, sepsis early warning, clinical NLP triage, medication reconciliation AI — each via structured Pre-Submission and Q-Submission strategy.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$14.6M annual AI budget end-to-end: GPU cluster ($2.4M), team scaling 78→130 specialists by 2026, AWS/Azure/NVIDIA negotiation — 3.8× ROI across 2023–2024 cohort.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Without direct authority in a $280B matrix: C-suite alignment at 8 health system clients on AI governance, data privacy, and reimbursement; monthly steering committees with culturally diverse clinical leadership.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Model-to-production: 19 wks → 11 wks (42% reduction) via MLOps framework across Jira, Azure DevOps, AWS SageMaker; zero HIPAA incidents across 4.2M patient records.</w:t>
      </w:r>
    </w:p>
    <w:p>
      <w:pPr>
        <w:tabs>
          <w:tab w:pos="9144" w:val="bar"/>
        </w:tabs>
        <w:spacing w:before="60" w:after="0"/>
      </w:pPr>
      <w:r>
        <w:rPr>
          <w:rFonts w:ascii="Calibri" w:hAnsi="Calibri"/>
          <w:b/>
          <w:i w:val="0"/>
          <w:color w:val="141414"/>
          <w:sz w:val="22"/>
        </w:rPr>
        <w:t xml:space="preserve">Senior AI Project Manager  |  </w:t>
      </w:r>
      <w:r>
        <w:rPr>
          <w:rFonts w:ascii="Calibri" w:hAnsi="Calibri"/>
          <w:b w:val="0"/>
          <w:i w:val="0"/>
          <w:color w:val="5F5F5F"/>
          <w:sz w:val="22"/>
        </w:rPr>
        <w:t>Mayo Clinic Platform  |  Rochester, MN</w:t>
      </w:r>
      <w:r>
        <w:rPr>
          <w:rFonts w:ascii="Calibri" w:hAnsi="Calibri"/>
          <w:b w:val="0"/>
          <w:i/>
          <w:color w:val="5F5F5F"/>
          <w:sz w:val="22"/>
        </w:rPr>
        <w:tab/>
        <w:t>Feb 2020–Dec 2022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Across radiology, surgical planning, and population health: 17 concurrent AI/ML programs ($53M), 96.1% on-time delivery, 61-member cross-functional team over three years.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31,400-patient multicenter RCT of AI colonoscopy detection (9 distributed sites, data annotation QA for 480K+ image labels) — co-first author, N. Engl. J. Med. (2022); underpinned FDA De Novo clearance.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FDA clearance in 7 months — half the 12-month industry average — via 3 Pre-Submission meetings for AI ECG analysis; regulatory template adopted across 5 subsequent Mayo programs.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Directed 6 concurrent IRB protocols (behavioral health AI, 12,800 patients) — 0 deviations, 0 adverse events; coordinated Epic &amp; Cerner FHIR R4 API integrations for 14 hospital systems.</w:t>
      </w:r>
    </w:p>
    <w:p>
      <w:pPr>
        <w:tabs>
          <w:tab w:pos="9144" w:val="bar"/>
        </w:tabs>
        <w:spacing w:before="60" w:after="0"/>
      </w:pPr>
      <w:r>
        <w:rPr>
          <w:rFonts w:ascii="Calibri" w:hAnsi="Calibri"/>
          <w:b/>
          <w:i w:val="0"/>
          <w:color w:val="141414"/>
          <w:sz w:val="22"/>
        </w:rPr>
        <w:t xml:space="preserve">AI / ML Project Manager  |  </w:t>
      </w:r>
      <w:r>
        <w:rPr>
          <w:rFonts w:ascii="Calibri" w:hAnsi="Calibri"/>
          <w:b w:val="0"/>
          <w:i w:val="0"/>
          <w:color w:val="5F5F5F"/>
          <w:sz w:val="22"/>
        </w:rPr>
        <w:t>IBM Watson Health (Merative)  |  Cambridge, MA</w:t>
      </w:r>
      <w:r>
        <w:rPr>
          <w:rFonts w:ascii="Calibri" w:hAnsi="Calibri"/>
          <w:b w:val="0"/>
          <w:i/>
          <w:color w:val="5F5F5F"/>
          <w:sz w:val="22"/>
        </w:rPr>
        <w:tab/>
        <w:t>Jun 2018–Jan 2020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Twelve AI medical device projects at 95.8% on-time — CE marking for surgical planning and predictive monitoring tools (MDD/MDR transition) — established the division’s first formal EU regulatory playbook.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Over 18 months, rebuilt 4 ML team delivery culture via Agile/Scrum (Jira, Asana, MS Project): sprint defect rate fell 52%, post-deployment incidents fell 67%.</w:t>
      </w:r>
    </w:p>
    <w:p>
      <w:pPr>
        <w:spacing w:before="0" w:after="0" w:line="220" w:lineRule="exact"/>
        <w:ind w:left="230" w:hanging="187"/>
      </w:pPr>
      <w:r>
        <w:rPr>
          <w:rFonts w:ascii="Calibri" w:hAnsi="Calibri"/>
          <w:b w:val="0"/>
          <w:i w:val="0"/>
          <w:color w:val="141414"/>
          <w:sz w:val="22"/>
        </w:rPr>
        <w:t>•  HIPAA-compliant AWS pipeline (S3, SageMaker, Redshift) processing 1.9M records/month under $7.3M cloud budget; international scaling playbook adopted for 6 European health system deployments.</w:t>
      </w:r>
    </w:p>
    <w:p>
      <w:pPr>
        <w:spacing w:before="80" w:after="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2"/>
        </w:rPr>
        <w:t>EDUCATION</w:t>
      </w:r>
    </w:p>
    <w:p>
      <w:pPr>
        <w:spacing w:before="20" w:after="0"/>
      </w:pPr>
      <w:r>
        <w:rPr>
          <w:rFonts w:ascii="Calibri" w:hAnsi="Calibri"/>
          <w:b/>
          <w:i w:val="0"/>
          <w:sz w:val="22"/>
        </w:rPr>
        <w:t>MD / PhD, Biomedical Informatics</w:t>
      </w:r>
      <w:r>
        <w:rPr>
          <w:rFonts w:ascii="Calibri" w:hAnsi="Calibri"/>
          <w:b w:val="0"/>
          <w:i w:val="0"/>
          <w:sz w:val="22"/>
        </w:rPr>
        <w:t xml:space="preserve">  ·  Johns Hopkins University (MSTP Program)  ·  2018  ·  Alpha Omega Alpha  ·  NIH MSTP Fellow</w:t>
      </w:r>
    </w:p>
    <w:p>
      <w:pPr>
        <w:spacing w:before="20" w:after="40"/>
      </w:pPr>
      <w:r>
        <w:rPr>
          <w:rFonts w:ascii="Calibri" w:hAnsi="Calibri"/>
          <w:b/>
          <w:i w:val="0"/>
          <w:sz w:val="22"/>
        </w:rPr>
        <w:t>B.S., Biomedical Engineering (Summa Cum Laude)</w:t>
      </w:r>
      <w:r>
        <w:rPr>
          <w:rFonts w:ascii="Calibri" w:hAnsi="Calibri"/>
          <w:b w:val="0"/>
          <w:i w:val="0"/>
          <w:sz w:val="22"/>
        </w:rPr>
        <w:t xml:space="preserve">  ·  Carnegie Mellon University  ·  2011  ·  GPA 3.94</w:t>
      </w:r>
    </w:p>
    <w:p>
      <w:pPr>
        <w:spacing w:before="80" w:after="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2"/>
        </w:rPr>
        <w:t>PUBLICATIONS &amp; SPEAKING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22"/>
        </w:rPr>
        <w:t>N. Engl. J. Med. 2022 (co-first author)  ·  JAMA Network Open 2023  ·  HIMSS 2024 Keynote  ·  FDA DiSCE Expert Panelist 2024–Present</w:t>
      </w:r>
    </w:p>
    <w:p>
      <w:pPr>
        <w:spacing w:before="80" w:after="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2"/>
        </w:rPr>
        <w:t>CERTIFICATIONS</w:t>
      </w:r>
    </w:p>
    <w:p>
      <w:pPr>
        <w:spacing w:before="20" w:after="40"/>
      </w:pPr>
      <w:r>
        <w:rPr>
          <w:rFonts w:ascii="Calibri" w:hAnsi="Calibri"/>
          <w:b w:val="0"/>
          <w:i w:val="0"/>
          <w:sz w:val="22"/>
        </w:rPr>
        <w:t>PMP (PMI, 2018)  ·  CSM (Scrum Alliance, 2019)  ·  AWS Solutions Architect–Associate (2020)  ·  HIPAA Privacy &amp; Security (AHIMA, 2020)  ·  Lean Six Sigma Black Belt (ASQ, 2022)  ·  RAC-US (RAPS, 2021)</w:t>
      </w:r>
    </w:p>
    <w:p>
      <w:pPr>
        <w:spacing w:before="80" w:after="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2"/>
        </w:rPr>
        <w:t>TECHNICAL SKILLS</w:t>
      </w:r>
    </w:p>
    <w:p>
      <w:pPr>
        <w:spacing w:before="20" w:after="0" w:line="220" w:lineRule="exact"/>
      </w:pPr>
      <w:r>
        <w:rPr>
          <w:rFonts w:ascii="Calibri" w:hAnsi="Calibri"/>
          <w:b/>
          <w:i w:val="0"/>
          <w:sz w:val="22"/>
        </w:rPr>
        <w:t xml:space="preserve">PM Tools: </w:t>
      </w:r>
      <w:r>
        <w:rPr>
          <w:rFonts w:ascii="Calibri" w:hAnsi="Calibri"/>
          <w:b w:val="0"/>
          <w:i w:val="0"/>
          <w:sz w:val="22"/>
        </w:rPr>
        <w:t>Jira  ·  Asana  ·  MS Project  ·  Smartsheet  ·  Azure DevOps</w:t>
      </w:r>
    </w:p>
    <w:p>
      <w:pPr>
        <w:spacing w:before="20" w:after="0" w:line="220" w:lineRule="exact"/>
      </w:pPr>
      <w:r>
        <w:rPr>
          <w:rFonts w:ascii="Calibri" w:hAnsi="Calibri"/>
          <w:b/>
          <w:i w:val="0"/>
          <w:sz w:val="22"/>
        </w:rPr>
        <w:t xml:space="preserve">Cloud / AI-ML: </w:t>
      </w:r>
      <w:r>
        <w:rPr>
          <w:rFonts w:ascii="Calibri" w:hAnsi="Calibri"/>
          <w:b w:val="0"/>
          <w:i w:val="0"/>
          <w:sz w:val="22"/>
        </w:rPr>
        <w:t>AWS (SageMaker, S3, Redshift)  ·  Azure ML  ·  GCP Vertex AI  ·  MLOps  ·  Python  ·  SQL  ·  Model Validation</w:t>
      </w:r>
    </w:p>
    <w:p>
      <w:pPr>
        <w:spacing w:before="20" w:after="0" w:line="220" w:lineRule="exact"/>
      </w:pPr>
      <w:r>
        <w:rPr>
          <w:rFonts w:ascii="Calibri" w:hAnsi="Calibri"/>
          <w:b/>
          <w:i w:val="0"/>
          <w:sz w:val="22"/>
        </w:rPr>
        <w:t xml:space="preserve">Healthcare IT: </w:t>
      </w:r>
      <w:r>
        <w:rPr>
          <w:rFonts w:ascii="Calibri" w:hAnsi="Calibri"/>
          <w:b w:val="0"/>
          <w:i w:val="0"/>
          <w:sz w:val="22"/>
        </w:rPr>
        <w:t>Epic  ·  Cerner  ·  HL7 FHIR R4  ·  DICOM  ·  IRB Protocol Management  ·  Clinical Trial Management</w:t>
      </w:r>
    </w:p>
    <w:p>
      <w:pPr>
        <w:spacing w:before="20" w:after="0" w:line="220" w:lineRule="exact"/>
      </w:pPr>
      <w:r>
        <w:rPr>
          <w:rFonts w:ascii="Calibri" w:hAnsi="Calibri"/>
          <w:b/>
          <w:i w:val="0"/>
          <w:sz w:val="22"/>
        </w:rPr>
        <w:t xml:space="preserve">Regulatory: </w:t>
      </w:r>
      <w:r>
        <w:rPr>
          <w:rFonts w:ascii="Calibri" w:hAnsi="Calibri"/>
          <w:b w:val="0"/>
          <w:i w:val="0"/>
          <w:sz w:val="22"/>
        </w:rPr>
        <w:t>FDA 510(k) / De Novo / PMA  ·  CE Marking (MDR 2017/745)  ·  HIPAA  ·  GCP  ·  AI Bias &amp; Fairness Auditing</w:t>
      </w:r>
    </w:p>
    <w:sectPr w:rsidR="00FC693F" w:rsidRPr="0006063C" w:rsidSect="00034616">
      <w:pgSz w:w="12240" w:h="15840"/>
      <w:pgMar w:top="576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