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071A3A"/>
          <w:left w:val="single" w:sz="4" w:space="0" w:color="071A3A"/>
          <w:bottom w:val="single" w:sz="4" w:space="0" w:color="071A3A"/>
          <w:right w:val="single" w:sz="4" w:space="0" w:color="071A3A"/>
          <w:insideH w:val="single" w:sz="4" w:space="0" w:color="071A3A"/>
          <w:insideV w:val="single" w:sz="4" w:space="0" w:color="071A3A"/>
        </w:tblBorders>
      </w:tblPr>
      <w:tblGrid>
        <w:gridCol w:w="9360"/>
      </w:tblGrid>
      <w:tr>
        <w:tc>
          <w:tcPr>
            <w:tcW w:type="dxa" w:w="9360"/>
            <w:tcMar>
              <w:top w:w="260" w:type="dxa"/>
              <w:start w:w="260" w:type="dxa"/>
              <w:bottom w:w="260" w:type="dxa"/>
              <w:end w:w="260" w:type="dxa"/>
            </w:tcMar>
            <w:vAlign w:val="center"/>
            <w:shd w:fill="071A3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97680" cy="1546631"/>
                  <wp:docPr id="1" name="Picture 1" title="ONO Prop" descr="Logotipo de ONO Pro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ONOProp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546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0"/>
      </w:pPr>
    </w:p>
    <w:p>
      <w:pPr>
        <w:spacing w:after="240"/>
        <w:jc w:val="center"/>
      </w:pPr>
      <w:r>
        <w:rPr>
          <w:rFonts w:ascii="Calibri" w:hAnsi="Calibri"/>
          <w:b/>
          <w:color w:val="0D6EFD"/>
          <w:sz w:val="21"/>
        </w:rPr>
        <w:t>GUÍA OPERATIVA</w:t>
      </w:r>
    </w:p>
    <w:p>
      <w:pPr>
        <w:spacing w:after="200"/>
        <w:jc w:val="center"/>
      </w:pPr>
      <w:r>
        <w:rPr>
          <w:rFonts w:ascii="Calibri" w:hAnsi="Calibri"/>
          <w:b/>
          <w:color w:val="071A3A"/>
          <w:sz w:val="60"/>
        </w:rPr>
        <w:t>Administración de alquileres</w:t>
      </w:r>
    </w:p>
    <w:p>
      <w:pPr>
        <w:spacing w:after="520"/>
        <w:jc w:val="center"/>
      </w:pPr>
      <w:r>
        <w:rPr>
          <w:rFonts w:ascii="Calibri" w:hAnsi="Calibri"/>
          <w:color w:val="0B4AA2"/>
          <w:sz w:val="30"/>
        </w:rPr>
        <w:t>Manual de usuario para inmobiliarias</w:t>
      </w:r>
    </w:p>
    <w:p>
      <w:pPr>
        <w:spacing w:after="1600"/>
        <w:jc w:val="center"/>
      </w:pPr>
      <w:r>
        <w:rPr>
          <w:rFonts w:ascii="Calibri" w:hAnsi="Calibri"/>
          <w:i/>
          <w:color w:val="6B7280"/>
          <w:sz w:val="21"/>
        </w:rPr>
        <w:t>Versión 1.1 · 8 de octubre de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71A3A"/>
          <w:left w:val="single" w:sz="8" w:space="0" w:color="071A3A"/>
          <w:bottom w:val="single" w:sz="8" w:space="0" w:color="071A3A"/>
          <w:right w:val="single" w:sz="8" w:space="0" w:color="071A3A"/>
          <w:insideH w:val="single" w:sz="8" w:space="0" w:color="071A3A"/>
          <w:insideV w:val="single" w:sz="8" w:space="0" w:color="071A3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3A"/>
              </w:rPr>
              <w:t>Objetivo del manual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Guiar al equipo de la inmobiliaria desde la carga de las partes y el contrato hasta el cobro, la liquidación al locador, la cuenta corriente y, cuando esté habilitada, la facturación electrónica.</w:t>
            </w:r>
          </w:p>
        </w:tc>
      </w:tr>
    </w:tbl>
    <w:p>
      <w:pPr>
        <w:spacing w:after="40"/>
      </w:pPr>
    </w:p>
    <w:p>
      <w:pPr>
        <w:spacing w:before="240"/>
        <w:jc w:val="center"/>
      </w:pPr>
      <w:r>
        <w:rPr>
          <w:rFonts w:ascii="Calibri" w:hAnsi="Calibri"/>
          <w:i/>
          <w:color w:val="6B7280"/>
          <w:sz w:val="18"/>
        </w:rPr>
        <w:t>Documento operativo. No reemplaza asesoramiento jurídico, contable ni impositivo.</w:t>
      </w:r>
    </w:p>
    <w:p>
      <w:r>
        <w:br w:type="page"/>
      </w:r>
    </w:p>
    <w:p>
      <w:pPr>
        <w:pStyle w:val="Heading1"/>
      </w:pPr>
      <w:r>
        <w:t>Cómo usar este manual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Las instrucciones siguen las etiquetas visibles en ONO Prop. Cuando se menciona un botón o estado, aparece en </w:t>
      </w:r>
      <w:r>
        <w:rPr>
          <w:rFonts w:ascii="Calibri" w:hAnsi="Calibri"/>
          <w:b/>
          <w:i w:val="0"/>
          <w:color w:val="1F2937"/>
        </w:rPr>
        <w:t>negrita</w:t>
      </w:r>
      <w:r>
        <w:rPr>
          <w:rFonts w:ascii="Calibri" w:hAnsi="Calibri"/>
          <w:b w:val="0"/>
          <w:i w:val="0"/>
          <w:color w:val="1F2937"/>
        </w:rPr>
        <w:t>. La disponibilidad de una acción depende del módulo contratado y del rol asignado al usuario.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700"/>
          <w:left w:val="single" w:sz="8" w:space="0" w:color="9A6700"/>
          <w:bottom w:val="single" w:sz="8" w:space="0" w:color="9A6700"/>
          <w:right w:val="single" w:sz="8" w:space="0" w:color="9A6700"/>
          <w:insideH w:val="single" w:sz="8" w:space="0" w:color="9A6700"/>
          <w:insideV w:val="single" w:sz="8" w:space="0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</w:rPr>
              <w:t>Antes de comenzar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Verificá que la inmobiliaria correcta esté seleccionada en la barra de navegación. Gestión de propiedades conserva la ficha técnica y comercial; Administración de alquileres conserva personas, contratos, obligaciones, cobros, liquidaciones y comprobantes.</w:t>
            </w:r>
          </w:p>
        </w:tc>
      </w:tr>
    </w:tbl>
    <w:p>
      <w:pPr>
        <w:spacing w:after="40"/>
      </w:pPr>
    </w:p>
    <w:p>
      <w:pPr>
        <w:pStyle w:val="Heading2"/>
      </w:pPr>
      <w:r>
        <w:t>Ruta rápida recomendada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F2937"/>
        </w:rPr>
        <w:t>Cargar la ficha en Gestión de propiedades, aunque todavía no esté publicada.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F2937"/>
        </w:rPr>
        <w:t>Registrar locadores, locatarios y garantes en Personas.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F2937"/>
        </w:rPr>
        <w:t>Crear el contrato como Borrador, revisar todos los datos y luego activarlo.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F2937"/>
        </w:rPr>
        <w:t>Controlar las obligaciones generadas y registrar cada cobro en el período correcto.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F2937"/>
        </w:rPr>
        <w:t>Emitir el recibo del locatario, cargar gastos y preparar la liquidación.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F2937"/>
        </w:rPr>
        <w:t>Registrar el pago al locador y confirmar posteriormente la recepción.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F2937"/>
        </w:rPr>
        <w:t>Revisar la cuenta corriente y los fondos pendientes de entrega.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1F2937"/>
        </w:rPr>
        <w:t>Si corresponde, preparar la documentación fiscal y emitir sólo después de revisar la vista previa.</w:t>
      </w:r>
    </w:p>
    <w:p>
      <w:pPr>
        <w:pStyle w:val="Heading2"/>
      </w:pPr>
      <w:r>
        <w:t>Contenido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1. Acceso, permisos y panel principal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2. Personas y partes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3. Creación y edición del contrato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4. Obligaciones, ajustes y gastos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5. Cobros, recibos y cancelaciones externas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6. Liquidaciones y pagos al locador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7. Cuentas corrientes y fondos pendientes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8. Facturación ARCA: HOMO y Producción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9. Rectificaciones, archivo y controles periódicos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10. Estados, preguntas frecuentes y soporte</w:t>
      </w:r>
    </w:p>
    <w:p>
      <w:pPr>
        <w:pStyle w:val="Heading1"/>
        <w:pageBreakBefore/>
      </w:pPr>
      <w:r>
        <w:t>1. Acceso, permisos y panel principal</w:t>
      </w:r>
    </w:p>
    <w:p>
      <w:pPr>
        <w:pStyle w:val="Heading2"/>
      </w:pPr>
      <w:r>
        <w:t>1.1 Ingreso al módulo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Iniciá sesión, abrí el menú administrativo y elegí </w:t>
      </w:r>
      <w:r>
        <w:rPr>
          <w:rFonts w:ascii="Calibri" w:hAnsi="Calibri"/>
          <w:b/>
          <w:i w:val="0"/>
          <w:color w:val="1F2937"/>
        </w:rPr>
        <w:t>Administración de alquileres</w:t>
      </w:r>
      <w:r>
        <w:rPr>
          <w:rFonts w:ascii="Calibri" w:hAnsi="Calibri"/>
          <w:b w:val="0"/>
          <w:i w:val="0"/>
          <w:color w:val="1F2937"/>
        </w:rPr>
        <w:t>. Si administrás más de una inmobiliaria, confirmá la inmobiliaria activa antes de cargar o modificar datos.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4AA2"/>
          <w:left w:val="single" w:sz="8" w:space="0" w:color="0B4AA2"/>
          <w:bottom w:val="single" w:sz="8" w:space="0" w:color="0B4AA2"/>
          <w:right w:val="single" w:sz="8" w:space="0" w:color="0B4AA2"/>
          <w:insideH w:val="single" w:sz="8" w:space="0" w:color="0B4AA2"/>
          <w:insideV w:val="single" w:sz="8" w:space="0" w:color="0B4AA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EF5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4AA2"/>
              </w:rPr>
              <w:t>Si el módulo no aparece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La inmobiliaria puede no tener el servicio habilitado o tu usuario puede no tener permiso. Consultá al administrador interno o a ONO Prop.</w:t>
            </w:r>
          </w:p>
        </w:tc>
      </w:tr>
    </w:tbl>
    <w:p>
      <w:pPr>
        <w:spacing w:after="40"/>
      </w:pPr>
    </w:p>
    <w:p>
      <w:pPr>
        <w:pStyle w:val="Heading2"/>
      </w:pPr>
      <w:r>
        <w:t>1.2 Permisos internos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C"/>
          <w:left w:val="single" w:sz="6" w:space="0" w:color="DCE3EC"/>
          <w:bottom w:val="single" w:sz="6" w:space="0" w:color="DCE3EC"/>
          <w:right w:val="single" w:sz="6" w:space="0" w:color="DCE3EC"/>
          <w:insideH w:val="single" w:sz="6" w:space="0" w:color="DCE3EC"/>
          <w:insideV w:val="single" w:sz="6" w:space="0" w:color="DCE3EC"/>
        </w:tblBorders>
      </w:tblPr>
      <w:tblGrid>
        <w:gridCol w:w="1800"/>
        <w:gridCol w:w="3240"/>
        <w:gridCol w:w="43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Rol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Puede consultar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Puede gestionar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Administrador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Contratos, movimientos, recibos y cuentas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Personas, contratos, cobros, gastos y liquidaciones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Editor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Contratos, movimientos, recibos y cuentas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Personas, contratos, cobros, gastos y liquidaciones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Lector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Contratos, movimientos, recibos y cuentas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No puede registrar ni rectificar movimientos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La emisión fiscal real requiere, además, una habilitación expresa de ONO Prop. Ver el capítulo 8.</w:t>
      </w:r>
    </w:p>
    <w:p>
      <w:pPr>
        <w:pStyle w:val="Heading2"/>
      </w:pPr>
      <w:r>
        <w:t>1.3 Panel principal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El panel resume </w:t>
      </w:r>
      <w:r>
        <w:rPr>
          <w:rFonts w:ascii="Calibri" w:hAnsi="Calibri"/>
          <w:b/>
          <w:i w:val="0"/>
          <w:color w:val="1F2937"/>
        </w:rPr>
        <w:t>Contratos activos</w:t>
      </w:r>
      <w:r>
        <w:rPr>
          <w:rFonts w:ascii="Calibri" w:hAnsi="Calibri"/>
          <w:b w:val="0"/>
          <w:i w:val="0"/>
          <w:color w:val="1F2937"/>
        </w:rPr>
        <w:t xml:space="preserve">, </w:t>
      </w:r>
      <w:r>
        <w:rPr>
          <w:rFonts w:ascii="Calibri" w:hAnsi="Calibri"/>
          <w:b/>
          <w:i w:val="0"/>
          <w:color w:val="1F2937"/>
        </w:rPr>
        <w:t>Obligaciones vencidas</w:t>
      </w:r>
      <w:r>
        <w:rPr>
          <w:rFonts w:ascii="Calibri" w:hAnsi="Calibri"/>
          <w:b w:val="0"/>
          <w:i w:val="0"/>
          <w:color w:val="1F2937"/>
        </w:rPr>
        <w:t xml:space="preserve">, </w:t>
      </w:r>
      <w:r>
        <w:rPr>
          <w:rFonts w:ascii="Calibri" w:hAnsi="Calibri"/>
          <w:b/>
          <w:i w:val="0"/>
          <w:color w:val="1F2937"/>
        </w:rPr>
        <w:t>Cobrado este período</w:t>
      </w:r>
      <w:r>
        <w:rPr>
          <w:rFonts w:ascii="Calibri" w:hAnsi="Calibri"/>
          <w:b w:val="0"/>
          <w:i w:val="0"/>
          <w:color w:val="1F2937"/>
        </w:rPr>
        <w:t xml:space="preserve"> y </w:t>
      </w:r>
      <w:r>
        <w:rPr>
          <w:rFonts w:ascii="Calibri" w:hAnsi="Calibri"/>
          <w:b/>
          <w:i w:val="0"/>
          <w:color w:val="1F2937"/>
        </w:rPr>
        <w:t>Ajustes en 45 días</w:t>
      </w:r>
      <w:r>
        <w:rPr>
          <w:rFonts w:ascii="Calibri" w:hAnsi="Calibri"/>
          <w:b w:val="0"/>
          <w:i w:val="0"/>
          <w:color w:val="1F2937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Usá Buscar contrato para localizar por inmueble, dirección, locador o locatario.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Filtrá por Borrador, Activo, Finalizado o Rescindido.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Elegí Gestionar para operar el contrato o Editar contrato para cambiar sus condiciones.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Accedé a Personas y Cuentas de locadores desde los botones superiores.</w:t>
      </w:r>
    </w:p>
    <w:p>
      <w:pPr>
        <w:pStyle w:val="Heading1"/>
      </w:pPr>
      <w:r>
        <w:t>2. Personas y partes</w:t>
      </w:r>
    </w:p>
    <w:p>
      <w:pPr>
        <w:pStyle w:val="Heading2"/>
      </w:pPr>
      <w:r>
        <w:t>2.1 Registrar una persona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1F2937"/>
        </w:rPr>
        <w:t>Entrá en Personas y completá Nombre o razón social.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1F2937"/>
        </w:rPr>
        <w:t>Elegí Persona humana o Persona jurídica.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1F2937"/>
        </w:rPr>
        <w:t>Ingresá DNI o CUIT y la condición frente al IVA. Estos datos son especialmente importantes para ARCA.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1F2937"/>
        </w:rPr>
        <w:t>Marcá al menos un rol: Locador, Locatario o Garante. Una misma persona puede tener más de un rol.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1F2937"/>
        </w:rPr>
        <w:t>Completá email, teléfono, domicilio y, para locadores, CBU, CVU o alias.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1F2937"/>
        </w:rPr>
        <w:t>Guardá. La persona aparecerá en el directorio y en los selectores de contratos.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4AA2"/>
          <w:left w:val="single" w:sz="8" w:space="0" w:color="0B4AA2"/>
          <w:bottom w:val="single" w:sz="8" w:space="0" w:color="0B4AA2"/>
          <w:right w:val="single" w:sz="8" w:space="0" w:color="0B4AA2"/>
          <w:insideH w:val="single" w:sz="8" w:space="0" w:color="0B4AA2"/>
          <w:insideV w:val="single" w:sz="8" w:space="0" w:color="0B4AA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EF5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4AA2"/>
              </w:rPr>
              <w:t>Dato histórico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Al vincular una persona, el contrato conserva una copia de su identificación. Si después editás el directorio, revisá el contrato cuando necesites reflejar el cambio en ese vínculo histórico.</w:t>
            </w:r>
          </w:p>
        </w:tc>
      </w:tr>
    </w:tbl>
    <w:p>
      <w:pPr>
        <w:spacing w:after="40"/>
      </w:pPr>
    </w:p>
    <w:p>
      <w:pPr>
        <w:pStyle w:val="Heading2"/>
      </w:pPr>
      <w:r>
        <w:t>2.2 Editar o archivar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Usá </w:t>
      </w:r>
      <w:r>
        <w:rPr>
          <w:rFonts w:ascii="Calibri" w:hAnsi="Calibri"/>
          <w:b/>
          <w:i w:val="0"/>
          <w:color w:val="1F2937"/>
        </w:rPr>
        <w:t>Editar</w:t>
      </w:r>
      <w:r>
        <w:rPr>
          <w:rFonts w:ascii="Calibri" w:hAnsi="Calibri"/>
          <w:b w:val="0"/>
          <w:i w:val="0"/>
          <w:color w:val="1F2937"/>
        </w:rPr>
        <w:t xml:space="preserve"> para corregir datos. Usá </w:t>
      </w:r>
      <w:r>
        <w:rPr>
          <w:rFonts w:ascii="Calibri" w:hAnsi="Calibri"/>
          <w:b/>
          <w:i w:val="0"/>
          <w:color w:val="1F2937"/>
        </w:rPr>
        <w:t>Archivar</w:t>
      </w:r>
      <w:r>
        <w:rPr>
          <w:rFonts w:ascii="Calibri" w:hAnsi="Calibri"/>
          <w:b w:val="0"/>
          <w:i w:val="0"/>
          <w:color w:val="1F2937"/>
        </w:rPr>
        <w:t xml:space="preserve"> cuando la persona ya no deba aparecer en nuevas cargas. Archivar no elimina su identificación de los contratos existentes.</w:t>
      </w:r>
    </w:p>
    <w:p>
      <w:pPr>
        <w:pStyle w:val="Heading1"/>
      </w:pPr>
      <w:r>
        <w:t>3. Creación y edición del contrato</w:t>
      </w:r>
    </w:p>
    <w:p>
      <w:pPr>
        <w:pStyle w:val="Heading2"/>
      </w:pPr>
      <w:r>
        <w:t>3.1 Requisitos previos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F2937"/>
        </w:rPr>
        <w:t>El inmueble debe estar cargado en Gestión de propiedades dentro de la inmobiliaria activa, publicado o no.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F2937"/>
        </w:rPr>
        <w:t>Debe existir al menos un locador y un locatario activos en Personas.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F2937"/>
        </w:rPr>
        <w:t>El usuario debe tener permiso para gestionar alquileres.</w:t>
      </w:r>
    </w:p>
    <w:p>
      <w:pPr>
        <w:pStyle w:val="Heading2"/>
      </w:pPr>
      <w:r>
        <w:t>3.2 Completar el formulario</w:t>
      </w:r>
    </w:p>
    <w:p>
      <w:pPr>
        <w:pStyle w:val="Heading3"/>
      </w:pPr>
      <w:r>
        <w:t>Inmueble y estado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Seleccioná el inmueble administrado. Si iniciás el contrato desde Gestión de propiedades, la ficha aparece preseleccionada. Para revisar antes de operar, comenzá con estado Borrador.</w:t>
      </w:r>
    </w:p>
    <w:p>
      <w:pPr>
        <w:pStyle w:val="Heading3"/>
      </w:pPr>
      <w:r>
        <w:t>Partes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Elegí uno o más locadores y locatarios. Los garantes son opcionales. El sistema impide que la misma persona sea locador y locatario en un mismo contrato.</w:t>
      </w:r>
    </w:p>
    <w:p>
      <w:pPr>
        <w:pStyle w:val="Heading3"/>
      </w:pPr>
      <w:r>
        <w:t>Vigencia y valores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Ingresá inicio, finalización, fecha de firma, día mensual de vencimiento, moneda, alquiler inicial y depósito.</w:t>
      </w:r>
    </w:p>
    <w:p>
      <w:pPr>
        <w:pStyle w:val="Heading3"/>
      </w:pPr>
      <w:r>
        <w:t>Honorarios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Podés establecer un porcentaje mensual, un importe fijo o ambos. El cálculo nunca supera el monto cobrado.</w:t>
      </w:r>
    </w:p>
    <w:p>
      <w:pPr>
        <w:pStyle w:val="Heading3"/>
      </w:pPr>
      <w:r>
        <w:t>Actualización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Elegí actualización manual, porcentaje fijo, índice de referencia o fórmula contractual. Para índice o fórmula, el nuevo importe se confirma manualmente.</w:t>
      </w:r>
    </w:p>
    <w:p>
      <w:pPr>
        <w:pStyle w:val="Heading3"/>
      </w:pPr>
      <w:r>
        <w:t>Documentación y notas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Registrá conceptos incluidos, mora pactada, enlace al contrato digitalizado y notas internas.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875D"/>
          <w:left w:val="single" w:sz="8" w:space="0" w:color="16875D"/>
          <w:bottom w:val="single" w:sz="8" w:space="0" w:color="16875D"/>
          <w:right w:val="single" w:sz="8" w:space="0" w:color="16875D"/>
          <w:insideH w:val="single" w:sz="8" w:space="0" w:color="16875D"/>
          <w:insideV w:val="single" w:sz="8" w:space="0" w:color="16875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AF8F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875D"/>
              </w:rPr>
              <w:t>Cuándo activar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Activá el contrato después de verificar inmueble, partes, vigencia, alquiler, vencimiento y actualización. Al activarlo se generan obligaciones mensuales; luego la automatización mantiene cubiertos los próximos 45 días.</w:t>
            </w:r>
          </w:p>
        </w:tc>
      </w:tr>
    </w:tbl>
    <w:p>
      <w:pPr>
        <w:spacing w:after="40"/>
      </w:pPr>
    </w:p>
    <w:p>
      <w:pPr>
        <w:pStyle w:val="Heading2"/>
      </w:pPr>
      <w:r>
        <w:t>3.3 Estados del contrato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C"/>
          <w:left w:val="single" w:sz="6" w:space="0" w:color="DCE3EC"/>
          <w:bottom w:val="single" w:sz="6" w:space="0" w:color="DCE3EC"/>
          <w:right w:val="single" w:sz="6" w:space="0" w:color="DCE3EC"/>
          <w:insideH w:val="single" w:sz="6" w:space="0" w:color="DCE3EC"/>
          <w:insideV w:val="single" w:sz="6" w:space="0" w:color="DCE3EC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Estado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Uso recomendado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Borrador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Carga y revisión antes de comenzar la administración.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Activo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Contrato vigente con generación y gestión de obligaciones.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Finalizado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La vigencia terminó normalmente.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Rescindido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El contrato terminó anticipadamente.</w:t>
            </w:r>
          </w:p>
        </w:tc>
      </w:tr>
    </w:tbl>
    <w:p>
      <w:pPr>
        <w:spacing w:after="40"/>
      </w:pPr>
    </w:p>
    <w:p>
      <w:pPr>
        <w:pStyle w:val="Heading2"/>
      </w:pPr>
      <w:r>
        <w:t>3.4 Editar un contrato vigente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Desde el panel elegí </w:t>
      </w:r>
      <w:r>
        <w:rPr>
          <w:rFonts w:ascii="Calibri" w:hAnsi="Calibri"/>
          <w:b/>
          <w:i w:val="0"/>
          <w:color w:val="1F2937"/>
        </w:rPr>
        <w:t>Editar contrato</w:t>
      </w:r>
      <w:r>
        <w:rPr>
          <w:rFonts w:ascii="Calibri" w:hAnsi="Calibri"/>
          <w:b w:val="0"/>
          <w:i w:val="0"/>
          <w:color w:val="1F2937"/>
        </w:rPr>
        <w:t xml:space="preserve">. Después de guardar, revisá los períodos. Si la vigencia cambió, el bloque ARCA puede mostrar </w:t>
      </w:r>
      <w:r>
        <w:rPr>
          <w:rFonts w:ascii="Calibri" w:hAnsi="Calibri"/>
          <w:b/>
          <w:i w:val="0"/>
          <w:color w:val="1F2937"/>
        </w:rPr>
        <w:t>Sincronizar períodos ahora</w:t>
      </w:r>
      <w:r>
        <w:rPr>
          <w:rFonts w:ascii="Calibri" w:hAnsi="Calibri"/>
          <w:b w:val="0"/>
          <w:i w:val="0"/>
          <w:color w:val="1F2937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700"/>
          <w:left w:val="single" w:sz="8" w:space="0" w:color="9A6700"/>
          <w:bottom w:val="single" w:sz="8" w:space="0" w:color="9A6700"/>
          <w:right w:val="single" w:sz="8" w:space="0" w:color="9A6700"/>
          <w:insideH w:val="single" w:sz="8" w:space="0" w:color="9A6700"/>
          <w:insideV w:val="single" w:sz="8" w:space="0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</w:rPr>
              <w:t>Protección del historial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Los períodos sin actividad pueden sincronizarse o apartarse. Los que ya tienen pagos, cancelaciones externas o gestión fiscal quedan preservados y requieren revisión manual.</w:t>
            </w:r>
          </w:p>
        </w:tc>
      </w:tr>
    </w:tbl>
    <w:p>
      <w:pPr>
        <w:spacing w:after="40"/>
      </w:pPr>
    </w:p>
    <w:p>
      <w:pPr>
        <w:pStyle w:val="Heading1"/>
      </w:pPr>
      <w:r>
        <w:t>4. Obligaciones, ajustes y gastos</w:t>
      </w:r>
    </w:p>
    <w:p>
      <w:pPr>
        <w:pStyle w:val="Heading2"/>
      </w:pPr>
      <w:r>
        <w:t>4.1 Generar obligaciones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En el detalle del contrato, el bloque </w:t>
      </w:r>
      <w:r>
        <w:rPr>
          <w:rFonts w:ascii="Calibri" w:hAnsi="Calibri"/>
          <w:b/>
          <w:i w:val="0"/>
          <w:color w:val="1F2937"/>
        </w:rPr>
        <w:t>Generar obligaciones</w:t>
      </w:r>
      <w:r>
        <w:rPr>
          <w:rFonts w:ascii="Calibri" w:hAnsi="Calibri"/>
          <w:b w:val="0"/>
          <w:i w:val="0"/>
          <w:color w:val="1F2937"/>
        </w:rPr>
        <w:t xml:space="preserve"> permite elegir una fecha y presionar </w:t>
      </w:r>
      <w:r>
        <w:rPr>
          <w:rFonts w:ascii="Calibri" w:hAnsi="Calibri"/>
          <w:b/>
          <w:i w:val="0"/>
          <w:color w:val="1F2937"/>
        </w:rPr>
        <w:t>Generar hasta fecha</w:t>
      </w:r>
      <w:r>
        <w:rPr>
          <w:rFonts w:ascii="Calibri" w:hAnsi="Calibri"/>
          <w:b w:val="0"/>
          <w:i w:val="0"/>
          <w:color w:val="1F2937"/>
        </w:rPr>
        <w:t>. Los períodos existentes no se duplican.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Los contratos activos también se procesan automáticamente todos los días. El sistema procura dejar creadas las obligaciones comprendidas dentro de los próximos 45 días.</w:t>
      </w:r>
    </w:p>
    <w:p>
      <w:pPr>
        <w:pStyle w:val="Heading2"/>
      </w:pPr>
      <w:r>
        <w:t>4.2 Leer una obligación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C"/>
          <w:left w:val="single" w:sz="6" w:space="0" w:color="DCE3EC"/>
          <w:bottom w:val="single" w:sz="6" w:space="0" w:color="DCE3EC"/>
          <w:right w:val="single" w:sz="6" w:space="0" w:color="DCE3EC"/>
          <w:insideH w:val="single" w:sz="6" w:space="0" w:color="DCE3EC"/>
          <w:insideV w:val="single" w:sz="6" w:space="0" w:color="DCE3E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Dato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Total</w:t>
            </w:r>
          </w:p>
        </w:tc>
        <w:tc>
          <w:tcPr>
            <w:tcW w:type="dxa" w:w="68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Alquiler del período más otros cargos registrados.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Cobrado por la inmobiliaria</w:t>
            </w:r>
          </w:p>
        </w:tc>
        <w:tc>
          <w:tcPr>
            <w:tcW w:type="dxa" w:w="68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Suma de pagos activos imputados al período.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Cerrado fuera de gestión</w:t>
            </w:r>
          </w:p>
        </w:tc>
        <w:tc>
          <w:tcPr>
            <w:tcW w:type="dxa" w:w="68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Importe cerrado sin simular una cobranza de la inmobiliaria.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Saldo operativo</w:t>
            </w:r>
          </w:p>
        </w:tc>
        <w:tc>
          <w:tcPr>
            <w:tcW w:type="dxa" w:w="68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Importe todavía pendiente dentro de la gestión.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Neto locador</w:t>
            </w:r>
          </w:p>
        </w:tc>
        <w:tc>
          <w:tcPr>
            <w:tcW w:type="dxa" w:w="68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Cobrado menos honorarios y gastos a cargo del locador.</w:t>
            </w:r>
          </w:p>
        </w:tc>
      </w:tr>
    </w:tbl>
    <w:p>
      <w:pPr>
        <w:spacing w:after="40"/>
      </w:pPr>
    </w:p>
    <w:p>
      <w:pPr>
        <w:pStyle w:val="Heading2"/>
      </w:pPr>
      <w:r>
        <w:t>4.3 Confirmar un nuevo alquiler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1F2937"/>
        </w:rPr>
        <w:t>Ingresá la fecha desde la cual rige el ajuste.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1F2937"/>
        </w:rPr>
        <w:t>Ingresá el nuevo importe.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1F2937"/>
        </w:rPr>
        <w:t>Documentá el índice, la fuente o el cálculo en Notas del ajuste.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1F2937"/>
        </w:rPr>
        <w:t>Presioná Registrar y revisá las obligaciones afectadas.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4AA2"/>
          <w:left w:val="single" w:sz="8" w:space="0" w:color="0B4AA2"/>
          <w:bottom w:val="single" w:sz="8" w:space="0" w:color="0B4AA2"/>
          <w:right w:val="single" w:sz="8" w:space="0" w:color="0B4AA2"/>
          <w:insideH w:val="single" w:sz="8" w:space="0" w:color="0B4AA2"/>
          <w:insideV w:val="single" w:sz="8" w:space="0" w:color="0B4AA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EF5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4AA2"/>
              </w:rPr>
              <w:t>Índice o fórmula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El sistema registra la regla y genera alertas, pero exige confirmar el importe efectivamente aplicado para conservar trazabilidad.</w:t>
            </w:r>
          </w:p>
        </w:tc>
      </w:tr>
    </w:tbl>
    <w:p>
      <w:pPr>
        <w:spacing w:after="40"/>
      </w:pPr>
    </w:p>
    <w:p>
      <w:pPr>
        <w:pStyle w:val="Heading2"/>
      </w:pPr>
      <w:r>
        <w:t>4.4 Otros cargos y gastos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Usá </w:t>
      </w:r>
      <w:r>
        <w:rPr>
          <w:rFonts w:ascii="Calibri" w:hAnsi="Calibri"/>
          <w:b/>
          <w:i w:val="0"/>
          <w:color w:val="1F2937"/>
        </w:rPr>
        <w:t>Otros cargos del período</w:t>
      </w:r>
      <w:r>
        <w:rPr>
          <w:rFonts w:ascii="Calibri" w:hAnsi="Calibri"/>
          <w:b w:val="0"/>
          <w:i w:val="0"/>
          <w:color w:val="1F2937"/>
        </w:rPr>
        <w:t xml:space="preserve"> para incorporar conceptos que aumentan la obligación. Usá </w:t>
      </w:r>
      <w:r>
        <w:rPr>
          <w:rFonts w:ascii="Calibri" w:hAnsi="Calibri"/>
          <w:b/>
          <w:i w:val="0"/>
          <w:color w:val="1F2937"/>
        </w:rPr>
        <w:t>Registrar gasto</w:t>
      </w:r>
      <w:r>
        <w:rPr>
          <w:rFonts w:ascii="Calibri" w:hAnsi="Calibri"/>
          <w:b w:val="0"/>
          <w:i w:val="0"/>
          <w:color w:val="1F2937"/>
        </w:rPr>
        <w:t xml:space="preserve"> para registrar egresos y asignarlos al locador, locatario o inmobiliaria.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Sólo los gastos asignados </w:t>
      </w:r>
      <w:r>
        <w:rPr>
          <w:rFonts w:ascii="Calibri" w:hAnsi="Calibri"/>
          <w:b/>
          <w:i w:val="0"/>
          <w:color w:val="1F2937"/>
        </w:rPr>
        <w:t>A cargo del locador</w:t>
      </w:r>
      <w:r>
        <w:rPr>
          <w:rFonts w:ascii="Calibri" w:hAnsi="Calibri"/>
          <w:b w:val="0"/>
          <w:i w:val="0"/>
          <w:color w:val="1F2937"/>
        </w:rPr>
        <w:t xml:space="preserve"> se descuentan del neto de su liquidación. Los demás quedan registrados sin disminuir ese neto.</w:t>
      </w:r>
    </w:p>
    <w:p>
      <w:pPr>
        <w:pStyle w:val="Heading1"/>
        <w:pageBreakBefore/>
      </w:pPr>
      <w:r>
        <w:t>5. Cobros, recibos y cancelaciones externas</w:t>
      </w:r>
    </w:p>
    <w:p>
      <w:pPr>
        <w:pStyle w:val="Heading2"/>
      </w:pPr>
      <w:r>
        <w:t>5.1 Registrar un cobro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F2937"/>
        </w:rPr>
        <w:t>Ubicá el período correcto y presioná Registrar pago.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F2937"/>
        </w:rPr>
        <w:t>Confirmá importe y fecha. El importe propuesto es el saldo, pero puede registrarse un pago parcial.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F2937"/>
        </w:rPr>
        <w:t>Elegí transferencia, efectivo, depósito, tarjeta/plataforma u otro.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F2937"/>
        </w:rPr>
        <w:t>Agregá referencia y notas cuando exista un comprobante bancario o una aclaración.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1F2937"/>
        </w:rPr>
        <w:t>Presioná Confirmar pago.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700"/>
          <w:left w:val="single" w:sz="8" w:space="0" w:color="9A6700"/>
          <w:bottom w:val="single" w:sz="8" w:space="0" w:color="9A6700"/>
          <w:right w:val="single" w:sz="8" w:space="0" w:color="9A6700"/>
          <w:insideH w:val="single" w:sz="8" w:space="0" w:color="9A6700"/>
          <w:insideV w:val="single" w:sz="8" w:space="0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</w:rPr>
              <w:t>Imputación correcta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Un cobro modifica saldos, recibos, liquidación y cuenta corriente. Verificá siempre contrato, período, fecha e importe antes de confirmarlo.</w:t>
            </w:r>
          </w:p>
        </w:tc>
      </w:tr>
    </w:tbl>
    <w:p>
      <w:pPr>
        <w:spacing w:after="40"/>
      </w:pPr>
    </w:p>
    <w:p>
      <w:pPr>
        <w:pStyle w:val="Heading2"/>
      </w:pPr>
      <w:r>
        <w:t>5.2 Recibo del locatario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Después del cobro, elegí </w:t>
      </w:r>
      <w:r>
        <w:rPr>
          <w:rFonts w:ascii="Calibri" w:hAnsi="Calibri"/>
          <w:b/>
          <w:i w:val="0"/>
          <w:color w:val="1F2937"/>
        </w:rPr>
        <w:t>Ver recibo</w:t>
      </w:r>
      <w:r>
        <w:rPr>
          <w:rFonts w:ascii="Calibri" w:hAnsi="Calibri"/>
          <w:b w:val="0"/>
          <w:i w:val="0"/>
          <w:color w:val="1F2937"/>
        </w:rPr>
        <w:t xml:space="preserve"> y luego </w:t>
      </w:r>
      <w:r>
        <w:rPr>
          <w:rFonts w:ascii="Calibri" w:hAnsi="Calibri"/>
          <w:b/>
          <w:i w:val="0"/>
          <w:color w:val="1F2937"/>
        </w:rPr>
        <w:t>Imprimir triplicado / guardar PDF</w:t>
      </w:r>
      <w:r>
        <w:rPr>
          <w:rFonts w:ascii="Calibri" w:hAnsi="Calibri"/>
          <w:b w:val="0"/>
          <w:i w:val="0"/>
          <w:color w:val="1F2937"/>
        </w:rPr>
        <w:t>. El sistema genera: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Original para el locatario.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Duplicado para el locador.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Triplicado para la inmobiliaria.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El recibo expresa la moneda y el monto en letras mayúsculas, seguido por la cifra entre paréntesis.</w:t>
      </w:r>
    </w:p>
    <w:p>
      <w:pPr>
        <w:pStyle w:val="Heading2"/>
      </w:pPr>
      <w:r>
        <w:t>5.3 Cancelación externa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Usá </w:t>
      </w:r>
      <w:r>
        <w:rPr>
          <w:rFonts w:ascii="Calibri" w:hAnsi="Calibri"/>
          <w:b/>
          <w:i w:val="0"/>
          <w:color w:val="1F2937"/>
        </w:rPr>
        <w:t>Cancelación externa</w:t>
      </w:r>
      <w:r>
        <w:rPr>
          <w:rFonts w:ascii="Calibri" w:hAnsi="Calibri"/>
          <w:b w:val="0"/>
          <w:i w:val="0"/>
          <w:color w:val="1F2937"/>
        </w:rPr>
        <w:t xml:space="preserve"> cuando el período no fue cobrado por la inmobiliaria: por ejemplo, era anterior al inicio de la administración, el locador cobró directamente o intervino un tercero.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Esta acción lleva el saldo operativo a cero, pero </w:t>
      </w:r>
      <w:r>
        <w:rPr>
          <w:rFonts w:ascii="Calibri" w:hAnsi="Calibri"/>
          <w:b/>
          <w:i w:val="0"/>
          <w:color w:val="B42318"/>
        </w:rPr>
        <w:t>no genera cobranza, recibo, honorario ni liquidación</w:t>
      </w:r>
      <w:r>
        <w:rPr>
          <w:rFonts w:ascii="Calibri" w:hAnsi="Calibri"/>
          <w:b w:val="0"/>
          <w:i w:val="0"/>
          <w:color w:val="1F2937"/>
        </w:rPr>
        <w:t xml:space="preserve">. Puede revertirse mediante </w:t>
      </w:r>
      <w:r>
        <w:rPr>
          <w:rFonts w:ascii="Calibri" w:hAnsi="Calibri"/>
          <w:b/>
          <w:i w:val="0"/>
          <w:color w:val="1F2937"/>
        </w:rPr>
        <w:t>Reabrir período</w:t>
      </w:r>
      <w:r>
        <w:rPr>
          <w:rFonts w:ascii="Calibri" w:hAnsi="Calibri"/>
          <w:b w:val="0"/>
          <w:i w:val="0"/>
          <w:color w:val="1F2937"/>
        </w:rPr>
        <w:t>.</w:t>
      </w:r>
    </w:p>
    <w:p>
      <w:pPr>
        <w:pStyle w:val="Heading2"/>
      </w:pPr>
      <w:r>
        <w:t>5.4 Facturación externa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La opción </w:t>
      </w:r>
      <w:r>
        <w:rPr>
          <w:rFonts w:ascii="Calibri" w:hAnsi="Calibri"/>
          <w:b/>
          <w:i w:val="0"/>
          <w:color w:val="1F2937"/>
        </w:rPr>
        <w:t>Factura externa</w:t>
      </w:r>
      <w:r>
        <w:rPr>
          <w:rFonts w:ascii="Calibri" w:hAnsi="Calibri"/>
          <w:b w:val="0"/>
          <w:i w:val="0"/>
          <w:color w:val="1F2937"/>
        </w:rPr>
        <w:t xml:space="preserve"> indica que la gestión fiscal se realizó fuera de ONO Prop y evita una nueva preparación ARCA para ese período.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Si conocés los datos, elegí tipo, punto de venta, número, fecha, importe y opcionalmente CAE.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Si no disponés del comprobante, elegí Sin datos del comprobante.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Usá Editar datos o Quitar marca sólo si corresponde corregir la clasificación.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4AA2"/>
          <w:left w:val="single" w:sz="8" w:space="0" w:color="0B4AA2"/>
          <w:bottom w:val="single" w:sz="8" w:space="0" w:color="0B4AA2"/>
          <w:right w:val="single" w:sz="8" w:space="0" w:color="0B4AA2"/>
          <w:insideH w:val="single" w:sz="8" w:space="0" w:color="0B4AA2"/>
          <w:insideV w:val="single" w:sz="8" w:space="0" w:color="0B4AA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EF5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4AA2"/>
              </w:rPr>
              <w:t>No confundir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Cancelación externa describe quién administró el cobro. Facturación externa describe dónde se gestionó el comprobante fiscal. Son registros distintos.</w:t>
            </w:r>
          </w:p>
        </w:tc>
      </w:tr>
    </w:tbl>
    <w:p>
      <w:pPr>
        <w:spacing w:after="40"/>
      </w:pPr>
    </w:p>
    <w:p>
      <w:pPr>
        <w:pStyle w:val="Heading1"/>
      </w:pPr>
      <w:r>
        <w:t>6. Liquidaciones y pagos al locador</w:t>
      </w:r>
    </w:p>
    <w:p>
      <w:pPr>
        <w:pStyle w:val="Heading2"/>
      </w:pPr>
      <w:r>
        <w:t>6.1 Preparar la liquidación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Cuando exista al menos un cobro, presioná </w:t>
      </w:r>
      <w:r>
        <w:rPr>
          <w:rFonts w:ascii="Calibri" w:hAnsi="Calibri"/>
          <w:b/>
          <w:i w:val="0"/>
          <w:color w:val="1F2937"/>
        </w:rPr>
        <w:t>Liquidar</w:t>
      </w:r>
      <w:r>
        <w:rPr>
          <w:rFonts w:ascii="Calibri" w:hAnsi="Calibri"/>
          <w:b w:val="0"/>
          <w:i w:val="0"/>
          <w:color w:val="1F2937"/>
        </w:rPr>
        <w:t>. El cálculo toma el cobrado por la inmobiliaria y deduce: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Honorarios porcentuales y/o fijos del período.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Gastos registrados a cargo del locador.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Si luego cambia un cobro o gasto y la liquidación sigue en borrador, usá </w:t>
      </w:r>
      <w:r>
        <w:rPr>
          <w:rFonts w:ascii="Calibri" w:hAnsi="Calibri"/>
          <w:b/>
          <w:i w:val="0"/>
          <w:color w:val="1F2937"/>
        </w:rPr>
        <w:t>Recalcular</w:t>
      </w:r>
      <w:r>
        <w:rPr>
          <w:rFonts w:ascii="Calibri" w:hAnsi="Calibri"/>
          <w:b w:val="0"/>
          <w:i w:val="0"/>
          <w:color w:val="1F2937"/>
        </w:rPr>
        <w:t>.</w:t>
      </w:r>
    </w:p>
    <w:p>
      <w:pPr>
        <w:pStyle w:val="Heading2"/>
      </w:pPr>
      <w:r>
        <w:t>6.2 Registrar el pago al locador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F2937"/>
        </w:rPr>
        <w:t>Presioná Registrar pago al locador.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F2937"/>
        </w:rPr>
        <w:t>Ingresá fecha, medio de pago, referencia y observaciones.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F2937"/>
        </w:rPr>
        <w:t>Confirmá para generar el recibo de liquidación.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1F2937"/>
        </w:rPr>
        <w:t>Abrí Recibo locador e imprimí el duplicado: original para el locador y duplicado para la inmobiliaria.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700"/>
          <w:left w:val="single" w:sz="8" w:space="0" w:color="9A6700"/>
          <w:bottom w:val="single" w:sz="8" w:space="0" w:color="9A6700"/>
          <w:right w:val="single" w:sz="8" w:space="0" w:color="9A6700"/>
          <w:insideH w:val="single" w:sz="8" w:space="0" w:color="9A6700"/>
          <w:insideV w:val="single" w:sz="8" w:space="0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</w:rPr>
              <w:t>Estado intermedio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Registrar el pago indica que el dinero salió de la inmobiliaria. La liquidación queda como Pago registrado · recepción pendiente hasta que exista confirmación del locador.</w:t>
            </w:r>
          </w:p>
        </w:tc>
      </w:tr>
    </w:tbl>
    <w:p>
      <w:pPr>
        <w:spacing w:after="40"/>
      </w:pPr>
    </w:p>
    <w:p>
      <w:pPr>
        <w:pStyle w:val="Heading2"/>
      </w:pPr>
      <w:r>
        <w:t>6.3 Confirmar la recepción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Presioná </w:t>
      </w:r>
      <w:r>
        <w:rPr>
          <w:rFonts w:ascii="Calibri" w:hAnsi="Calibri"/>
          <w:b/>
          <w:i w:val="0"/>
          <w:color w:val="1F2937"/>
        </w:rPr>
        <w:t>Confirmar recepción</w:t>
      </w:r>
      <w:r>
        <w:rPr>
          <w:rFonts w:ascii="Calibri" w:hAnsi="Calibri"/>
          <w:b w:val="0"/>
          <w:i w:val="0"/>
          <w:color w:val="1F2937"/>
        </w:rPr>
        <w:t xml:space="preserve"> y registrá fecha, medio de confirmación, referencia y observaciones. Los medios disponibles incluyen recibo firmado, confirmación escrita, acreditación bancaria, confirmación verbal u otro medio documentado.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Al confirmar, el estado cambia a </w:t>
      </w:r>
      <w:r>
        <w:rPr>
          <w:rFonts w:ascii="Calibri" w:hAnsi="Calibri"/>
          <w:b/>
          <w:i w:val="0"/>
          <w:color w:val="16875D"/>
        </w:rPr>
        <w:t>Recepción confirmada por el locador</w:t>
      </w:r>
      <w:r>
        <w:rPr>
          <w:rFonts w:ascii="Calibri" w:hAnsi="Calibri"/>
          <w:b w:val="0"/>
          <w:i w:val="0"/>
          <w:color w:val="1F2937"/>
        </w:rPr>
        <w:t>.</w:t>
      </w:r>
    </w:p>
    <w:p>
      <w:pPr>
        <w:pStyle w:val="Heading1"/>
      </w:pPr>
      <w:r>
        <w:t>7. Cuentas corrientes y fondos pendientes</w:t>
      </w:r>
    </w:p>
    <w:p>
      <w:pPr>
        <w:pStyle w:val="Heading2"/>
      </w:pPr>
      <w:r>
        <w:t>7.1 Cuenta de un contrato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Desde el contrato elegí </w:t>
      </w:r>
      <w:r>
        <w:rPr>
          <w:rFonts w:ascii="Calibri" w:hAnsi="Calibri"/>
          <w:b/>
          <w:i w:val="0"/>
          <w:color w:val="1F2937"/>
        </w:rPr>
        <w:t>Cuenta corriente</w:t>
      </w:r>
      <w:r>
        <w:rPr>
          <w:rFonts w:ascii="Calibri" w:hAnsi="Calibri"/>
          <w:b w:val="0"/>
          <w:i w:val="0"/>
          <w:color w:val="1F2937"/>
        </w:rPr>
        <w:t>. Los créditos representan cobros administrados a favor del locador. Los débitos incluyen honorarios, gastos a su cargo y pagos realizados.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Un pago con recepción pendiente reduce el saldo porque el dinero ya salió de la inmobiliaria, pero conserva la advertencia hasta la confirmación.</w:t>
      </w:r>
    </w:p>
    <w:p>
      <w:pPr>
        <w:pStyle w:val="Heading2"/>
      </w:pPr>
      <w:r>
        <w:t>7.2 Vista consolidada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En el panel principal presioná </w:t>
      </w:r>
      <w:r>
        <w:rPr>
          <w:rFonts w:ascii="Calibri" w:hAnsi="Calibri"/>
          <w:b/>
          <w:i w:val="0"/>
          <w:color w:val="1F2937"/>
        </w:rPr>
        <w:t>Cuentas de locadores</w:t>
      </w:r>
      <w:r>
        <w:rPr>
          <w:rFonts w:ascii="Calibri" w:hAnsi="Calibri"/>
          <w:b w:val="0"/>
          <w:i w:val="0"/>
          <w:color w:val="1F2937"/>
        </w:rPr>
        <w:t>. Allí se muestran fondos pendientes de entrega, cantidad de locadores con saldo y cuenta consolidada por locador.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Elegí Ver detalle o seleccioná un locador.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Si existen contratos en distintas monedas, elegí la moneda. Los saldos no se mezclan.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</w:rPr>
        <w:t>Usá Imprimir cuenta seleccionada para entregar o archivar el estado de cuenta.</w:t>
      </w:r>
    </w:p>
    <w:p>
      <w:pPr>
        <w:pStyle w:val="Heading1"/>
        <w:pageBreakBefore/>
      </w:pPr>
      <w:r>
        <w:t>8. Facturación ARCA: HOMO y Producción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700"/>
          <w:left w:val="single" w:sz="8" w:space="0" w:color="9A6700"/>
          <w:bottom w:val="single" w:sz="8" w:space="0" w:color="9A6700"/>
          <w:right w:val="single" w:sz="8" w:space="0" w:color="9A6700"/>
          <w:insideH w:val="single" w:sz="8" w:space="0" w:color="9A6700"/>
          <w:insideV w:val="single" w:sz="8" w:space="0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</w:rPr>
              <w:t>Alcance actual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Esta etapa admite Factura C de servicios para contratos en pesos argentinos (ARS). La emisión real sólo aparece en cuentas expresamente habilitadas y con un perfil fiscal activo.</w:t>
            </w:r>
          </w:p>
        </w:tc>
      </w:tr>
    </w:tbl>
    <w:p>
      <w:pPr>
        <w:spacing w:after="40"/>
      </w:pPr>
    </w:p>
    <w:p>
      <w:pPr>
        <w:pStyle w:val="Heading2"/>
      </w:pPr>
      <w:r>
        <w:t>8.1 Diferencia entre ambientes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C"/>
          <w:left w:val="single" w:sz="6" w:space="0" w:color="DCE3EC"/>
          <w:bottom w:val="single" w:sz="6" w:space="0" w:color="DCE3EC"/>
          <w:right w:val="single" w:sz="6" w:space="0" w:color="DCE3EC"/>
          <w:insideH w:val="single" w:sz="6" w:space="0" w:color="DCE3EC"/>
          <w:insideV w:val="single" w:sz="6" w:space="0" w:color="DCE3EC"/>
        </w:tblBorders>
      </w:tblPr>
      <w:tblGrid>
        <w:gridCol w:w="1500"/>
        <w:gridCol w:w="3660"/>
        <w:gridCol w:w="42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Ambiente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Efecto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HOMO</w:t>
            </w:r>
          </w:p>
        </w:tc>
        <w:tc>
          <w:tcPr>
            <w:tcW w:type="dxa" w:w="36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Genera un CAE de homologación sin valor fiscal real</w:t>
            </w:r>
          </w:p>
        </w:tc>
        <w:tc>
          <w:tcPr>
            <w:tcW w:type="dxa" w:w="42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Pruebas de datos, fechas, punto de venta y conexión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PROD</w:t>
            </w:r>
          </w:p>
        </w:tc>
        <w:tc>
          <w:tcPr>
            <w:tcW w:type="dxa" w:w="36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Genera una factura real con CAE y numeración fiscal</w:t>
            </w:r>
          </w:p>
        </w:tc>
        <w:tc>
          <w:tcPr>
            <w:tcW w:type="dxa" w:w="42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Sólo después de una revisión definitiva</w:t>
            </w:r>
          </w:p>
        </w:tc>
      </w:tr>
    </w:tbl>
    <w:p>
      <w:pPr>
        <w:spacing w:after="40"/>
      </w:pPr>
    </w:p>
    <w:p>
      <w:pPr>
        <w:pStyle w:val="Heading2"/>
      </w:pPr>
      <w:r>
        <w:t>8.2 Preparar el borrador fiscal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F2937"/>
        </w:rPr>
        <w:t>En Comprobantes ARCA, elegí Preparar junto al período.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F2937"/>
        </w:rPr>
        <w:t>Revisá perfil emisor y locatario receptor.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F2937"/>
        </w:rPr>
        <w:t>Confirmá nombre o razón social, documento y condición frente al IVA.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F2937"/>
        </w:rPr>
        <w:t>Revisá fecha del comprobante, importe en ARS, período de servicio y vencimiento.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F2937"/>
        </w:rPr>
        <w:t>Si modificás importe, fechas o vencimiento respecto del contrato, documentá el Motivo de la excepción.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1F2937"/>
        </w:rPr>
        <w:t>Presioná Validar y guardar borrador.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4AA2"/>
          <w:left w:val="single" w:sz="8" w:space="0" w:color="0B4AA2"/>
          <w:bottom w:val="single" w:sz="8" w:space="0" w:color="0B4AA2"/>
          <w:right w:val="single" w:sz="8" w:space="0" w:color="0B4AA2"/>
          <w:insideH w:val="single" w:sz="8" w:space="0" w:color="0B4AA2"/>
          <w:insideV w:val="single" w:sz="8" w:space="0" w:color="0B4AA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EF5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4AA2"/>
              </w:rPr>
              <w:t>Fechas de servicios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ARCA admite una fecha de comprobante comprendida entre 10 días antes y 10 días después de la solicitud. El vencimiento para el pago no puede ser anterior a la fecha del comprobante.</w:t>
            </w:r>
          </w:p>
        </w:tc>
      </w:tr>
    </w:tbl>
    <w:p>
      <w:pPr>
        <w:spacing w:after="40"/>
      </w:pPr>
    </w:p>
    <w:p>
      <w:pPr>
        <w:pStyle w:val="Heading2"/>
      </w:pPr>
      <w:r>
        <w:t>8.3 Probar en homologación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Presioná </w:t>
      </w:r>
      <w:r>
        <w:rPr>
          <w:rFonts w:ascii="Calibri" w:hAnsi="Calibri"/>
          <w:b/>
          <w:i w:val="0"/>
          <w:color w:val="1F2937"/>
        </w:rPr>
        <w:t>Solicitar CAE HOMO</w:t>
      </w:r>
      <w:r>
        <w:rPr>
          <w:rFonts w:ascii="Calibri" w:hAnsi="Calibri"/>
          <w:b w:val="0"/>
          <w:i w:val="0"/>
          <w:color w:val="1F2937"/>
        </w:rPr>
        <w:t xml:space="preserve">. El sistema advierte expresamente que no es una factura real. Si ARCA autoriza, el período mostrará </w:t>
      </w:r>
      <w:r>
        <w:rPr>
          <w:rFonts w:ascii="Calibri" w:hAnsi="Calibri"/>
          <w:b/>
          <w:i w:val="0"/>
          <w:color w:val="1F2937"/>
        </w:rPr>
        <w:t>Autorizado HOMO</w:t>
      </w:r>
      <w:r>
        <w:rPr>
          <w:rFonts w:ascii="Calibri" w:hAnsi="Calibri"/>
          <w:b w:val="0"/>
          <w:i w:val="0"/>
          <w:color w:val="1F2937"/>
        </w:rPr>
        <w:t xml:space="preserve"> y podrás abrir </w:t>
      </w:r>
      <w:r>
        <w:rPr>
          <w:rFonts w:ascii="Calibri" w:hAnsi="Calibri"/>
          <w:b/>
          <w:i w:val="0"/>
          <w:color w:val="1F2937"/>
        </w:rPr>
        <w:t>Ver HOMO</w:t>
      </w:r>
      <w:r>
        <w:rPr>
          <w:rFonts w:ascii="Calibri" w:hAnsi="Calibri"/>
          <w:b w:val="0"/>
          <w:i w:val="0"/>
          <w:color w:val="1F2937"/>
        </w:rPr>
        <w:t>.</w:t>
      </w:r>
    </w:p>
    <w:p>
      <w:pPr>
        <w:pStyle w:val="Heading2"/>
      </w:pPr>
      <w:r>
        <w:t>8.4 Preparar y emitir en Producción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color w:val="1F2937"/>
        </w:rPr>
        <w:t>Desde un borrador validado, presioná Preparar PROD o Actualizar PROD.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color w:val="1F2937"/>
        </w:rPr>
        <w:t>La preparación consulta la numeración real, pero todavía no solicita CAE ni reserva número.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color w:val="1F2937"/>
        </w:rPr>
        <w:t>Revisá emisor, CUIT, receptor, período, importe, fechas y número estimado en Vistas previas de Producción.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color w:val="1F2937"/>
        </w:rPr>
        <w:t>Presioná Emitir factura real sólo cuando todo sea definitivo.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color w:val="1F2937"/>
        </w:rPr>
        <w:t>Confirmá la advertencia y escribí EMITIR en la segunda confirmación.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color w:val="1F2937"/>
        </w:rPr>
        <w:t>Esperá el resultado. Si fue autorizada, abrí Ver factura PROD y guardá la representación con QR.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2318"/>
          <w:left w:val="single" w:sz="8" w:space="0" w:color="B42318"/>
          <w:bottom w:val="single" w:sz="8" w:space="0" w:color="B42318"/>
          <w:right w:val="single" w:sz="8" w:space="0" w:color="B42318"/>
          <w:insideH w:val="single" w:sz="8" w:space="0" w:color="B42318"/>
          <w:insideV w:val="single" w:sz="8" w:space="0" w:color="B4231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2318"/>
              </w:rPr>
              <w:t>Acción irreversible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Una factura real autorizada no se elimina ni se reclasifica como externa. Si contiene un error, no alteres el período: consultá al responsable fiscal y a ONO Prop para definir el comprobante de ajuste correspondiente.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700"/>
          <w:left w:val="single" w:sz="8" w:space="0" w:color="9A6700"/>
          <w:bottom w:val="single" w:sz="8" w:space="0" w:color="9A6700"/>
          <w:right w:val="single" w:sz="8" w:space="0" w:color="9A6700"/>
          <w:insideH w:val="single" w:sz="8" w:space="0" w:color="9A6700"/>
          <w:insideV w:val="single" w:sz="8" w:space="0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</w:rPr>
              <w:t>Respuesta a reconciliar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Si aparece este estado, no prepares otra factura. Presioná Reconciliar emisión: el sistema consulta si ARCA ya autorizó el número propuesto y evita duplicados.</w:t>
            </w:r>
          </w:p>
        </w:tc>
      </w:tr>
    </w:tbl>
    <w:p>
      <w:pPr>
        <w:spacing w:after="40"/>
      </w:pPr>
    </w:p>
    <w:p>
      <w:pPr>
        <w:pStyle w:val="Heading2"/>
      </w:pPr>
      <w:r>
        <w:t>8.5 Facturación de períodos renegociados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El borrador permite editar importe, servicio y vencimiento sin modificar la obligación contractual. Usá esta excepción sólo para reflejar lo efectivamente acordado y documentá el motivo, por ejemplo: importe y fecha renegociados con el locatario.</w:t>
      </w:r>
    </w:p>
    <w:p>
      <w:pPr>
        <w:pStyle w:val="Heading1"/>
        <w:pageBreakBefore/>
      </w:pPr>
      <w:r>
        <w:t>9. Rectificaciones, archivo y controles</w:t>
      </w:r>
    </w:p>
    <w:p>
      <w:pPr>
        <w:pStyle w:val="Heading2"/>
      </w:pPr>
      <w:r>
        <w:t>9.1 Anular un cobro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Junto al pago presioná </w:t>
      </w:r>
      <w:r>
        <w:rPr>
          <w:rFonts w:ascii="Calibri" w:hAnsi="Calibri"/>
          <w:b/>
          <w:i w:val="0"/>
          <w:color w:val="1F2937"/>
        </w:rPr>
        <w:t>Anular cobro</w:t>
      </w:r>
      <w:r>
        <w:rPr>
          <w:rFonts w:ascii="Calibri" w:hAnsi="Calibri"/>
          <w:b w:val="0"/>
          <w:i w:val="0"/>
          <w:color w:val="1F2937"/>
        </w:rPr>
        <w:t xml:space="preserve"> e ingresá un motivo. El movimiento no se borra: queda marcado como anulado, se recalculan saldo y estado, y la cuenta corriente deja de computarlo.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A6700"/>
          <w:left w:val="single" w:sz="8" w:space="0" w:color="9A6700"/>
          <w:bottom w:val="single" w:sz="8" w:space="0" w:color="9A6700"/>
          <w:right w:val="single" w:sz="8" w:space="0" w:color="9A6700"/>
          <w:insideH w:val="single" w:sz="8" w:space="0" w:color="9A6700"/>
          <w:insideV w:val="single" w:sz="8" w:space="0" w:color="9A67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A6700"/>
              </w:rPr>
              <w:t>Liquidación relacionada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No puede anularse un cobro si la liquidación ya figura pagada o recibida. Primero debe rectificarse el circuito del locador en orden inverso.</w:t>
            </w:r>
          </w:p>
        </w:tc>
      </w:tr>
    </w:tbl>
    <w:p>
      <w:pPr>
        <w:spacing w:after="40"/>
      </w:pPr>
    </w:p>
    <w:p>
      <w:pPr>
        <w:pStyle w:val="Heading2"/>
      </w:pPr>
      <w:r>
        <w:t>9.2 Rectificar el circuito del locador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color w:val="1F2937"/>
        </w:rPr>
        <w:t>Si la recepción fue confirmada por error, usá Rectificar recepción e indicá el motivo.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color w:val="1F2937"/>
        </w:rPr>
        <w:t>La liquidación volverá a Pago registrado · recepción pendiente.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color w:val="1F2937"/>
        </w:rPr>
        <w:t>Si también fue erróneo el pago, usá Anular pago al locador e indicá el motivo.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color w:val="1F2937"/>
        </w:rPr>
        <w:t>La liquidación volverá a borrador y conservará el historial de correcciones.</w:t>
      </w:r>
    </w:p>
    <w:p>
      <w:pPr>
        <w:pStyle w:val="Heading2"/>
      </w:pPr>
      <w:r>
        <w:t>9.3 Archivar el contrato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 xml:space="preserve">Usá </w:t>
      </w:r>
      <w:r>
        <w:rPr>
          <w:rFonts w:ascii="Calibri" w:hAnsi="Calibri"/>
          <w:b/>
          <w:i w:val="0"/>
          <w:color w:val="1F2937"/>
        </w:rPr>
        <w:t>Archivar</w:t>
      </w:r>
      <w:r>
        <w:rPr>
          <w:rFonts w:ascii="Calibri" w:hAnsi="Calibri"/>
          <w:b w:val="0"/>
          <w:i w:val="0"/>
          <w:color w:val="1F2937"/>
        </w:rPr>
        <w:t xml:space="preserve"> cuando el contrato ya no deba aparecer en la gestión habitual. El archivo no elimina obligaciones, pagos, recibos ni liquidaciones.</w:t>
      </w:r>
    </w:p>
    <w:p>
      <w:pPr>
        <w:pStyle w:val="Heading2"/>
      </w:pPr>
      <w:r>
        <w:t>9.4 Rutina operativa recomendada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C"/>
          <w:left w:val="single" w:sz="6" w:space="0" w:color="DCE3EC"/>
          <w:bottom w:val="single" w:sz="6" w:space="0" w:color="DCE3EC"/>
          <w:right w:val="single" w:sz="6" w:space="0" w:color="DCE3EC"/>
          <w:insideH w:val="single" w:sz="6" w:space="0" w:color="DCE3EC"/>
          <w:insideV w:val="single" w:sz="6" w:space="0" w:color="DCE3EC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Frecuencia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Control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Diaria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Revisar vencidas, registrar cobros, emitir recibos y comprobar mensajes de error.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Semanal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Revisar fondos pendientes, liquidaciones pagadas sin recepción y ajustes próximos.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Mensual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Conciliar cuentas de locadores, controlar gastos, períodos y contratos que terminan.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Antes de PROD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Revisar perfil, receptor, importe, fechas, numeración estimada y respaldo documental.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10. Estados, preguntas frecuentes y soporte</w:t>
      </w:r>
    </w:p>
    <w:p>
      <w:pPr>
        <w:pStyle w:val="Heading2"/>
      </w:pPr>
      <w:r>
        <w:t>10.1 Estados de las obligaciones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C"/>
          <w:left w:val="single" w:sz="6" w:space="0" w:color="DCE3EC"/>
          <w:bottom w:val="single" w:sz="6" w:space="0" w:color="DCE3EC"/>
          <w:right w:val="single" w:sz="6" w:space="0" w:color="DCE3EC"/>
          <w:insideH w:val="single" w:sz="6" w:space="0" w:color="DCE3EC"/>
          <w:insideV w:val="single" w:sz="6" w:space="0" w:color="DCE3E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Estado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Pendiente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Todavía no tiene cobros y no está vencida.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Pago parcial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Tiene cobros, pero conserva saldo antes del vencimiento.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Vencida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Conserva saldo después del vencimiento.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Pagada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El saldo operativo llegó a cero mediante cobros de la inmobiliaria.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Cancelación externa</w:t>
            </w:r>
          </w:p>
        </w:tc>
        <w:tc>
          <w:tcPr>
            <w:tcW w:type="dxa" w:w="72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El saldo fue cerrado fuera de la gestión de la inmobiliaria.</w:t>
            </w:r>
          </w:p>
        </w:tc>
      </w:tr>
    </w:tbl>
    <w:p>
      <w:pPr>
        <w:spacing w:after="40"/>
      </w:pPr>
    </w:p>
    <w:p>
      <w:pPr>
        <w:pStyle w:val="Heading2"/>
      </w:pPr>
      <w:r>
        <w:t>10.2 Estados de las liquidaciones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C"/>
          <w:left w:val="single" w:sz="6" w:space="0" w:color="DCE3EC"/>
          <w:bottom w:val="single" w:sz="6" w:space="0" w:color="DCE3EC"/>
          <w:right w:val="single" w:sz="6" w:space="0" w:color="DCE3EC"/>
          <w:insideH w:val="single" w:sz="6" w:space="0" w:color="DCE3EC"/>
          <w:insideV w:val="single" w:sz="6" w:space="0" w:color="DCE3EC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Estado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Acción siguiente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Liquidación preparada</w:t>
            </w:r>
          </w:p>
        </w:tc>
        <w:tc>
          <w:tcPr>
            <w:tcW w:type="dxa" w:w="60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Revisar cálculo y registrar pago al locador.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Requiere recálculo</w:t>
            </w:r>
          </w:p>
        </w:tc>
        <w:tc>
          <w:tcPr>
            <w:tcW w:type="dxa" w:w="60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Recalcular porque cambió un movimiento relacionado.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Pago registrado · recepción pendiente</w:t>
            </w:r>
          </w:p>
        </w:tc>
        <w:tc>
          <w:tcPr>
            <w:tcW w:type="dxa" w:w="60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Obtener respaldo y confirmar recepción.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Recepción confirmada</w:t>
            </w:r>
          </w:p>
        </w:tc>
        <w:tc>
          <w:tcPr>
            <w:tcW w:type="dxa" w:w="60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Circuito administrativo finalizado.</w:t>
            </w:r>
          </w:p>
        </w:tc>
      </w:tr>
    </w:tbl>
    <w:p>
      <w:pPr>
        <w:spacing w:after="40"/>
      </w:pPr>
    </w:p>
    <w:p>
      <w:pPr>
        <w:pStyle w:val="Heading2"/>
      </w:pPr>
      <w:r>
        <w:t>10.3 Preguntas frecuentes</w:t>
      </w:r>
    </w:p>
    <w:p>
      <w:pPr>
        <w:pStyle w:val="Heading3"/>
      </w:pPr>
      <w:r>
        <w:t>No aparece un inmueble al crear el contrato.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Debe estar cargado en Gestión de propiedades dentro de la inmobiliaria activa. Puede permanecer sin publicar.</w:t>
      </w:r>
    </w:p>
    <w:p>
      <w:pPr>
        <w:pStyle w:val="Heading3"/>
      </w:pPr>
      <w:r>
        <w:t>Una persona no aparece como locador o locatario.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Revisá que esté activa y tenga marcado el rol correspondiente.</w:t>
      </w:r>
    </w:p>
    <w:p>
      <w:pPr>
        <w:pStyle w:val="Heading3"/>
      </w:pPr>
      <w:r>
        <w:t>El contrato editado conserva períodos anteriores.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Usá Sincronizar períodos ahora. Los períodos con actividad se preservan para revisión.</w:t>
      </w:r>
    </w:p>
    <w:p>
      <w:pPr>
        <w:pStyle w:val="Heading3"/>
      </w:pPr>
      <w:r>
        <w:t>No puedo liquidar.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Debe existir al menos un cobro activo y el período no debe estar cerrado externamente. Una liquidación pagada o recibida no puede recalcularse.</w:t>
      </w:r>
    </w:p>
    <w:p>
      <w:pPr>
        <w:pStyle w:val="Heading3"/>
      </w:pPr>
      <w:r>
        <w:t>No aparece un perfil ARCA.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La inmobiliaria no tiene un perfil fiscal activo o tu cuenta no está habilitada. Contactá a ONO Prop.</w:t>
      </w:r>
    </w:p>
    <w:p>
      <w:pPr>
        <w:pStyle w:val="Heading3"/>
      </w:pPr>
      <w:r>
        <w:t>ARCA rechaza la fecha.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Verificá el rango de 10 días respecto de la solicitud y que el vencimiento no sea anterior al comprobante.</w:t>
      </w:r>
    </w:p>
    <w:p>
      <w:pPr>
        <w:pStyle w:val="Heading3"/>
      </w:pPr>
      <w:r>
        <w:t>El contrato está en USD o EUR.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La facturación ARCA integrada actual admite únicamente contratos en ARS.</w:t>
      </w:r>
    </w:p>
    <w:p>
      <w:pPr>
        <w:pStyle w:val="Heading3"/>
      </w:pPr>
      <w:r>
        <w:t>La impresión no muestra el recibo.</w:t>
      </w:r>
    </w:p>
    <w:p>
      <w:pPr>
        <w:keepNext w:val="0"/>
        <w:spacing w:after="120"/>
      </w:pPr>
      <w:r>
        <w:rPr>
          <w:rFonts w:ascii="Calibri" w:hAnsi="Calibri"/>
          <w:b w:val="0"/>
          <w:i w:val="0"/>
          <w:color w:val="1F2937"/>
        </w:rPr>
        <w:t>Abrí el recibo desde Ver recibo o Recibo locador y usá el botón de impresión de esa pantalla. Revisá la vista previa antes de guardar PDF.</w:t>
      </w:r>
    </w:p>
    <w:p>
      <w:pPr>
        <w:pStyle w:val="Heading2"/>
      </w:pPr>
      <w:r>
        <w:t>10.4 Buenas prácticas de seguridad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F2937"/>
        </w:rPr>
        <w:t>No compartas usuarios ni contraseñas entre operadores.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F2937"/>
        </w:rPr>
        <w:t>Asigná el rol Lector a quienes sólo deban consultar.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F2937"/>
        </w:rPr>
        <w:t>No incluyas contraseñas ni secretos fiscales en notas del contrato.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F2937"/>
        </w:rPr>
        <w:t>Guardá referencias de transferencias, confirmaciones y recibos firmados.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1F2937"/>
        </w:rPr>
        <w:t>Ante una duda fiscal productiva, detené la emisión y conservá el mensaje exacto.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71A3A"/>
          <w:left w:val="single" w:sz="8" w:space="0" w:color="071A3A"/>
          <w:bottom w:val="single" w:sz="8" w:space="0" w:color="071A3A"/>
          <w:right w:val="single" w:sz="8" w:space="0" w:color="071A3A"/>
          <w:insideH w:val="single" w:sz="8" w:space="0" w:color="071A3A"/>
          <w:insideV w:val="single" w:sz="8" w:space="0" w:color="071A3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A3A"/>
              </w:rPr>
              <w:t>Soporte ONO Prop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F2937"/>
                <w:sz w:val="21"/>
              </w:rPr>
              <w:t>Al solicitar ayuda, informá la inmobiliaria, el contrato, el período, la acción realizada y el mensaje completo. No envíes certificados, claves privadas ni contraseñas. Contacto: contacto@onoprop.com.</w:t>
            </w:r>
          </w:p>
        </w:tc>
      </w:tr>
    </w:tbl>
    <w:p>
      <w:pPr>
        <w:spacing w:after="40"/>
      </w:pPr>
    </w:p>
    <w:p>
      <w:pPr>
        <w:pStyle w:val="Heading2"/>
      </w:pPr>
      <w:r>
        <w:t>Control de versión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C"/>
          <w:left w:val="single" w:sz="6" w:space="0" w:color="DCE3EC"/>
          <w:bottom w:val="single" w:sz="6" w:space="0" w:color="DCE3EC"/>
          <w:right w:val="single" w:sz="6" w:space="0" w:color="DCE3EC"/>
          <w:insideH w:val="single" w:sz="6" w:space="0" w:color="DCE3EC"/>
          <w:insideV w:val="single" w:sz="6" w:space="0" w:color="DCE3EC"/>
        </w:tblBorders>
      </w:tblPr>
      <w:tblGrid>
        <w:gridCol w:w="1400"/>
        <w:gridCol w:w="1900"/>
        <w:gridCol w:w="60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Versión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Fecha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A"/>
                <w:sz w:val="19"/>
              </w:rPr>
              <w:t>Alcance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1.0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10/08/2026</w:t>
            </w:r>
          </w:p>
        </w:tc>
        <w:tc>
          <w:tcPr>
            <w:tcW w:type="dxa" w:w="60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Primera edición: circuito completo de administración de alquileres y facturación ARCA.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1.1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08/10/2026</w:t>
            </w:r>
          </w:p>
        </w:tc>
        <w:tc>
          <w:tcPr>
            <w:tcW w:type="dxa" w:w="606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7"/>
                <w:sz w:val="19"/>
              </w:rPr>
              <w:t>Diferenciación entre Gestión de propiedades y Administración de alquileres; acceso al contrato desde una propiedad preseleccionada.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Calibri" w:hAnsi="Calibri"/>
          <w:b/>
          <w:i w:val="0"/>
          <w:color w:val="1F2937"/>
        </w:rPr>
        <w:t xml:space="preserve">Importante: </w:t>
      </w:r>
      <w:r>
        <w:rPr>
          <w:rFonts w:ascii="Calibri" w:hAnsi="Calibri"/>
          <w:b w:val="0"/>
          <w:i w:val="0"/>
          <w:color w:val="1F2937"/>
        </w:rPr>
        <w:t>la interfaz puede incorporar mejoras posteriores. Ante diferencias, prevalecen las validaciones y advertencias visibles en ONO Prop.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</w:pPr>
    <w:r>
      <w:rPr>
        <w:rFonts w:ascii="Calibri" w:hAnsi="Calibri"/>
        <w:color w:val="6B7280"/>
        <w:sz w:val="16"/>
      </w:rPr>
      <w:t>onoprop.com · Versión 1.1 · Octubre 2026</w:t>
    </w:r>
    <w:r>
      <w:tab/>
    </w:r>
    <w:r>
      <w:rPr>
        <w:rFonts w:ascii="Calibri" w:hAnsi="Calibri"/>
        <w:color w:val="6B7280"/>
        <w:sz w:val="16"/>
      </w:rPr>
      <w:t xml:space="preserve">Página </w:t>
    </w:r>
    <w:r>
      <w:rPr>
        <w:rFonts w:ascii="Calibri" w:hAnsi="Calibri"/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80"/>
      <w:pBdr>
        <w:bottom w:val="single" w:sz="6" w:space="4" w:color="D7DBE2"/>
      </w:pBdr>
    </w:pPr>
    <w:r>
      <w:rPr>
        <w:rFonts w:ascii="Calibri" w:hAnsi="Calibri"/>
        <w:b/>
        <w:color w:val="0B4AA2"/>
        <w:sz w:val="17"/>
      </w:rPr>
      <w:t>ONO PROP</w:t>
    </w:r>
    <w:r>
      <w:tab/>
    </w:r>
    <w:r>
      <w:rPr>
        <w:rFonts w:ascii="Calibri" w:hAnsi="Calibri"/>
        <w:color w:val="6B7280"/>
        <w:sz w:val="16"/>
      </w:rPr>
      <w:t>MANUAL DE USUARIO · ADMINISTRACIÓN DE ALQUILERES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4AA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4A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Administración de alquileres</dc:title>
  <dc:subject>Guía operativa del módulo de Administración de alquileres de ONO Prop</dc:subject>
  <dc:creator>ONO Prop</dc:creator>
  <cp:keywords>ONO Prop, alquileres, inmobiliaria, contratos, cobros, ARCA</cp:keywords>
  <dc:description>Versión 1.1 - Octubre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