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STitle"/>
      </w:pPr>
      <w:r>
        <w:t>An Illustrative Manuscript: Steady Diffusion in a Square Plate</w:t>
      </w:r>
    </w:p>
    <w:p>
      <w:pPr>
        <w:pStyle w:val="MSAuthors"/>
      </w:pPr>
      <w:r>
        <w:t>A. Author</w:t>
      </w:r>
      <w:r>
        <w:rPr>
          <w:vertAlign w:val="superscript"/>
        </w:rPr>
        <w:t>1*</w:t>
      </w:r>
      <w:r>
        <w:t xml:space="preserve">, </w:t>
      </w:r>
      <w:r>
        <w:t>B. Author</w:t>
      </w:r>
      <w:r>
        <w:rPr>
          <w:vertAlign w:val="superscript"/>
        </w:rPr>
        <w:t>2</w:t>
      </w:r>
    </w:p>
    <w:p>
      <w:pPr>
        <w:pStyle w:val="MSAffiliation"/>
      </w:pPr>
      <w:r>
        <w:rPr>
          <w:vertAlign w:val="superscript"/>
        </w:rPr>
        <w:t>1</w:t>
      </w:r>
      <w:r>
        <w:t>Department of Example Studies, Example University, City, Country</w:t>
      </w:r>
    </w:p>
    <w:p>
      <w:pPr>
        <w:pStyle w:val="MSAffiliation"/>
      </w:pPr>
      <w:r>
        <w:rPr>
          <w:vertAlign w:val="superscript"/>
        </w:rPr>
        <w:t>2</w:t>
      </w:r>
      <w:r>
        <w:t>Example Research Institute, City, Country</w:t>
      </w:r>
    </w:p>
    <w:p>
      <w:pPr>
        <w:pStyle w:val="MSCorresponding"/>
      </w:pPr>
      <w:r>
        <w:t>Corresponding author: corresponding-author@example.org</w:t>
      </w:r>
    </w:p>
    <w:p>
      <w:pPr>
        <w:pStyle w:val="MSAbstractHeading"/>
      </w:pPr>
      <w:r>
        <w:t>Abstract</w:t>
      </w:r>
    </w:p>
    <w:p>
      <w:pPr>
        <w:pStyle w:val="MSAbstract"/>
      </w:pPr>
      <w:r>
        <w:t>This synthetic manuscript demonstrates the document layout produced by the Skill. A steady diffusion problem in a square plate is used only as a vehicle for inline and display equations, a figure, a table and cross-references. No result in this document is research data.</w:t>
      </w:r>
    </w:p>
    <w:p>
      <w:pPr>
        <w:pStyle w:val="MSKeywords"/>
      </w:pPr>
      <w:r>
        <w:rPr>
          <w:b/>
        </w:rPr>
        <w:t xml:space="preserve">Keywords: </w:t>
      </w:r>
      <w:r>
        <w:rPr>
          <w:i/>
        </w:rPr>
        <w:t>Layout test; Diffusion; Boundary-value problem.</w:t>
      </w:r>
    </w:p>
    <w:p>
      <w:pPr>
        <w:pStyle w:val="MSHeading1"/>
      </w:pPr>
      <w:r>
        <w:t>1. Introduction</w:t>
      </w:r>
    </w:p>
    <w:p>
      <w:pPr>
        <w:pStyle w:val="MSBody"/>
      </w:pPr>
      <w:r>
        <w:t>Steady diffusion in a homogeneous plate is a classical boundary-value problem. It is used here only to show how equations, figures and tables are set in the manuscript layout.</w:t>
      </w:r>
    </w:p>
    <w:p>
      <w:pPr>
        <w:pStyle w:val="MSBody"/>
      </w:pPr>
      <w:r>
        <w:t xml:space="preserve">The unknown field is denoted by </w:t>
      </w:r>
      <w:r>
        <w:rPr>
          <w:i/>
        </w:rPr>
        <w:t xml:space="preserve"> [FORMULA PREVIEW ONLY] </w:t>
      </w:r>
      <w:r>
        <w:t xml:space="preserve"> and the plate occupies the domain </w:t>
      </w:r>
      <w:r>
        <w:rPr>
          <w:i/>
        </w:rPr>
        <w:t xml:space="preserve"> [FORMULA PREVIEW ONLY] </w:t>
      </w:r>
      <w:r>
        <w:t>.</w:t>
      </w:r>
    </w:p>
    <w:p>
      <w:pPr>
        <w:pStyle w:val="MSHeading2"/>
      </w:pPr>
      <w:r>
        <w:t>1.1 Governing equations</w:t>
      </w:r>
    </w:p>
    <w:p>
      <w:pPr>
        <w:pStyle w:val="MSBody"/>
      </w:pPr>
      <w:r>
        <w:t>The flux is related to the gradient of the field by</w:t>
      </w:r>
    </w:p>
    <w:p>
      <w:pPr>
        <w:pStyle w:val="MSEquation"/>
        <w:tabs>
          <w:tab w:pos="4680" w:val="center"/>
          <w:tab w:pos="9360" w:val="right"/>
        </w:tabs>
        <w:ind w:left="0" w:firstLine="0"/>
        <w:jc w:val="left"/>
      </w:pPr>
      <w:r>
        <w:tab/>
        <w:t>[FORMULA PREVIEW ONLY]</w:t>
        <w:tab/>
      </w:r>
      <w:bookmarkStart w:id="101" w:name="MS_EQ_a8a6ee902c723aaea6eddc5f"/>
      <w:r>
        <w:t>(1)</w:t>
      </w:r>
      <w:bookmarkEnd w:id="101"/>
    </w:p>
    <w:p>
      <w:pPr>
        <w:pStyle w:val="MSBody"/>
        <w:ind w:firstLine="0"/>
      </w:pPr>
      <w:r>
        <w:t>where q is the flux vector and k &gt; 0 is the diffusivity. The weak form of the balance equation reads</w:t>
      </w:r>
    </w:p>
    <w:p>
      <w:pPr>
        <w:pStyle w:val="MSEquation"/>
        <w:tabs>
          <w:tab w:pos="4680" w:val="center"/>
          <w:tab w:pos="9360" w:val="right"/>
        </w:tabs>
        <w:ind w:left="0" w:firstLine="0"/>
        <w:jc w:val="left"/>
      </w:pPr>
      <w:r>
        <w:tab/>
        <w:t>[FORMULA PREVIEW ONLY]</w:t>
        <w:tab/>
      </w:r>
      <w:bookmarkStart w:id="102" w:name="MS_EQ_f8b7235e97d9919024306f40"/>
      <w:r>
        <w:t>(2)</w:t>
      </w:r>
      <w:bookmarkEnd w:id="102"/>
    </w:p>
    <w:p>
      <w:pPr>
        <w:pStyle w:val="MSBody"/>
        <w:ind w:firstLine="0"/>
      </w:pPr>
      <w:r>
        <w:t>for every admissible test function v. A two-node discretisation leads to the matrix equation</w:t>
      </w:r>
    </w:p>
    <w:p>
      <w:pPr>
        <w:pStyle w:val="MSEquation"/>
        <w:tabs>
          <w:tab w:pos="4680" w:val="center"/>
          <w:tab w:pos="9360" w:val="right"/>
        </w:tabs>
        <w:ind w:left="0" w:firstLine="0"/>
        <w:jc w:val="left"/>
      </w:pPr>
      <w:r>
        <w:tab/>
        <w:t>[FORMULA PREVIEW ONLY]</w:t>
        <w:tab/>
      </w:r>
      <w:bookmarkStart w:id="103" w:name="MS_EQ_e0bdbdb4acfa0ef54576b806"/>
      <w:r>
        <w:t>(3)</w:t>
      </w:r>
      <w:bookmarkEnd w:id="103"/>
    </w:p>
    <w:p>
      <w:pPr>
        <w:pStyle w:val="MSBody"/>
      </w:pPr>
      <w:r>
        <w:t xml:space="preserve">The relation in </w:t>
      </w:r>
      <w:r>
        <w:t xml:space="preserve">Eq. </w:t>
      </w:r>
      <w:r>
        <w:fldChar w:fldCharType="begin"/>
      </w:r>
      <w:r>
        <w:instrText xml:space="preserve"> REF MS_EQ_a8a6ee902c723aaea6eddc5f \h </w:instrText>
      </w:r>
      <w:r>
        <w:fldChar w:fldCharType="separate"/>
      </w:r>
      <w:r>
        <w:t>(1)</w:t>
      </w:r>
      <w:r>
        <w:fldChar w:fldCharType="end"/>
      </w:r>
      <w:r>
        <w:t xml:space="preserve"> and the weak form </w:t>
      </w:r>
      <w:r>
        <w:t xml:space="preserve">Eq. </w:t>
      </w:r>
      <w:r>
        <w:fldChar w:fldCharType="begin"/>
      </w:r>
      <w:r>
        <w:instrText xml:space="preserve"> REF MS_EQ_f8b7235e97d9919024306f40 \h </w:instrText>
      </w:r>
      <w:r>
        <w:fldChar w:fldCharType="separate"/>
      </w:r>
      <w:r>
        <w:t>(2)</w:t>
      </w:r>
      <w:r>
        <w:fldChar w:fldCharType="end"/>
      </w:r>
      <w:r>
        <w:t xml:space="preserve"> are the reference model of the following section.</w:t>
      </w:r>
    </w:p>
    <w:p>
      <w:pPr>
        <w:pStyle w:val="MSHeading1"/>
      </w:pPr>
      <w:r>
        <w:t>2. Illustrative numerical layout</w:t>
      </w:r>
    </w:p>
    <w:p>
      <w:pPr>
        <w:pStyle w:val="MSBody"/>
      </w:pPr>
      <w:r>
        <w:t>The figure and the table below contain schematic data for layout testing only and must not be reported as research findings.</w:t>
      </w:r>
    </w:p>
    <w:p>
      <w:pPr>
        <w:pStyle w:val="MSFigure"/>
      </w:pPr>
      <w:r>
        <w:drawing>
          <wp:inline xmlns:a="http://schemas.openxmlformats.org/drawingml/2006/main" xmlns:pic="http://schemas.openxmlformats.org/drawingml/2006/picture">
            <wp:extent cx="3840480" cy="1920240"/>
            <wp:docPr id="1" name="Picture 1" descr="Illustrative curve of normalised response versus coordinat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mo_fig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SFigureCaption"/>
        <w:keepLines/>
      </w:pPr>
      <w:r>
        <w:t xml:space="preserve">Figure </w:t>
      </w:r>
      <w:bookmarkStart w:id="104" w:name="MS_FIG_e4e18d865b2373fa033459c8"/>
      <w:r>
        <w:fldChar w:fldCharType="begin"/>
      </w:r>
      <w:r>
        <w:instrText xml:space="preserve"> SEQ Figure \r 1 \* ARABIC </w:instrText>
      </w:r>
      <w:r>
        <w:fldChar w:fldCharType="separate"/>
      </w:r>
      <w:r>
        <w:t>1</w:t>
      </w:r>
      <w:r>
        <w:fldChar w:fldCharType="end"/>
      </w:r>
      <w:bookmarkEnd w:id="104"/>
      <w:r>
        <w:t xml:space="preserve">. </w:t>
      </w:r>
      <w:r>
        <w:t>Illustrative variation of a normalised response with a dimensionless coordinate (layout demonstration only).</w:t>
      </w:r>
    </w:p>
    <w:p>
      <w:pPr>
        <w:pStyle w:val="MSTableCaption"/>
      </w:pPr>
      <w:r>
        <w:t xml:space="preserve">Table </w:t>
      </w:r>
      <w:bookmarkStart w:id="105" w:name="MS_TAB_83075ba2b92c5a1f9022973f"/>
      <w:r>
        <w:fldChar w:fldCharType="begin"/>
      </w:r>
      <w:r>
        <w:instrText xml:space="preserve"> SEQ Table \r 1 \* ARABIC </w:instrText>
      </w:r>
      <w:r>
        <w:fldChar w:fldCharType="separate"/>
      </w:r>
      <w:r>
        <w:t>1</w:t>
      </w:r>
      <w:r>
        <w:fldChar w:fldCharType="end"/>
      </w:r>
      <w:bookmarkEnd w:id="105"/>
      <w:r>
        <w:t xml:space="preserve">. </w:t>
      </w:r>
      <w:r>
        <w:t>Illustrative values used to test table formatting (not research data).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</w:tblPr>
      <w:tblGrid>
        <w:gridCol w:w="3120"/>
        <w:gridCol w:w="3120"/>
        <w:gridCol w:w="3120"/>
      </w:tblGrid>
      <w:tr>
        <w:trPr>
          <w:tblHeader w:val="true"/>
          <w:cantSplit/>
        </w:trPr>
        <w:tc>
          <w:tcPr>
            <w:tcW w:type="dxa" w:w="312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bottom w:val="single" w:sz="6" w:space="0" w:color="000000"/>
            </w:tcBorders>
          </w:tcPr>
          <w:p>
            <w:pPr>
              <w:pStyle w:val="MSTableCell"/>
            </w:pPr>
            <w:r>
              <w:rPr>
                <w:b/>
              </w:rPr>
            </w:r>
            <w:r>
              <w:rPr>
                <w:b/>
              </w:rPr>
              <w:t>Case</w:t>
            </w:r>
          </w:p>
        </w:tc>
        <w:tc>
          <w:tcPr>
            <w:tcW w:type="dxa" w:w="312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bottom w:val="single" w:sz="6" w:space="0" w:color="000000"/>
            </w:tcBorders>
          </w:tcPr>
          <w:p>
            <w:pPr>
              <w:pStyle w:val="MSTableCell"/>
            </w:pPr>
            <w:r>
              <w:rPr>
                <w:b/>
              </w:rPr>
            </w:r>
            <w:r>
              <w:rPr>
                <w:b/>
              </w:rPr>
              <w:t>Number of elements</w:t>
            </w:r>
          </w:p>
        </w:tc>
        <w:tc>
          <w:tcPr>
            <w:tcW w:type="dxa" w:w="312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  <w:tcBorders>
              <w:bottom w:val="single" w:sz="6" w:space="0" w:color="000000"/>
            </w:tcBorders>
          </w:tcPr>
          <w:p>
            <w:pPr>
              <w:pStyle w:val="MSTableCell"/>
            </w:pPr>
            <w:r>
              <w:rPr>
                <w:b/>
              </w:rPr>
            </w:r>
            <w:r>
              <w:rPr>
                <w:b/>
              </w:rPr>
              <w:t>Relative error</w:t>
            </w:r>
          </w:p>
        </w:tc>
      </w:tr>
      <w:tr>
        <w:tc>
          <w:tcPr>
            <w:tcW w:type="dxa" w:w="312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pStyle w:val="MSTableCell"/>
            </w:pPr>
            <w:r/>
            <w:r>
              <w:t>A</w:t>
            </w:r>
          </w:p>
        </w:tc>
        <w:tc>
          <w:tcPr>
            <w:tcW w:type="dxa" w:w="312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pStyle w:val="MSTableCell"/>
            </w:pPr>
            <w:r/>
            <w:r>
              <w:t>4</w:t>
            </w:r>
          </w:p>
        </w:tc>
        <w:tc>
          <w:tcPr>
            <w:tcW w:type="dxa" w:w="312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pStyle w:val="MSTableCell"/>
            </w:pPr>
            <w:r/>
            <w:r>
              <w:t>0.010</w:t>
            </w:r>
          </w:p>
        </w:tc>
      </w:tr>
      <w:tr>
        <w:tc>
          <w:tcPr>
            <w:tcW w:type="dxa" w:w="312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pStyle w:val="MSTableCell"/>
            </w:pPr>
            <w:r/>
            <w:r>
              <w:t>B</w:t>
            </w:r>
          </w:p>
        </w:tc>
        <w:tc>
          <w:tcPr>
            <w:tcW w:type="dxa" w:w="312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pStyle w:val="MSTableCell"/>
            </w:pPr>
            <w:r/>
            <w:r>
              <w:t>16</w:t>
            </w:r>
          </w:p>
        </w:tc>
        <w:tc>
          <w:tcPr>
            <w:tcW w:type="dxa" w:w="312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pStyle w:val="MSTableCell"/>
            </w:pPr>
            <w:r/>
            <w:r>
              <w:t>0.006</w:t>
            </w:r>
          </w:p>
        </w:tc>
      </w:tr>
      <w:tr>
        <w:tc>
          <w:tcPr>
            <w:tcW w:type="dxa" w:w="312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pStyle w:val="MSTableCell"/>
            </w:pPr>
            <w:r/>
            <w:r>
              <w:t>C</w:t>
            </w:r>
          </w:p>
        </w:tc>
        <w:tc>
          <w:tcPr>
            <w:tcW w:type="dxa" w:w="312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pStyle w:val="MSTableCell"/>
            </w:pPr>
            <w:r/>
            <w:r>
              <w:t>64</w:t>
            </w:r>
          </w:p>
        </w:tc>
        <w:tc>
          <w:tcPr>
            <w:tcW w:type="dxa" w:w="3120"/>
            <w:vAlign w:val="center"/>
            <w:tcMar>
              <w:top w:w="75" w:type="dxa"/>
              <w:start w:w="110" w:type="dxa"/>
              <w:bottom w:w="75" w:type="dxa"/>
              <w:end w:w="110" w:type="dxa"/>
            </w:tcMar>
          </w:tcPr>
          <w:p>
            <w:pPr>
              <w:pStyle w:val="MSTableCell"/>
            </w:pPr>
            <w:r/>
            <w:r>
              <w:t>0.003</w:t>
            </w:r>
          </w:p>
        </w:tc>
      </w:tr>
    </w:tbl>
    <w:p>
      <w:pPr>
        <w:pStyle w:val="MSNote"/>
        <w:spacing w:before="80"/>
      </w:pPr>
      <w:r>
        <w:t>Note: All values are synthetic.</w:t>
      </w:r>
    </w:p>
    <w:p>
      <w:pPr>
        <w:pStyle w:val="MSBody"/>
      </w:pPr>
      <w:r>
        <w:t xml:space="preserve">The illustration is shown in </w:t>
      </w:r>
      <w:r>
        <w:t xml:space="preserve">Figure </w:t>
      </w:r>
      <w:r>
        <w:fldChar w:fldCharType="begin"/>
      </w:r>
      <w:r>
        <w:instrText xml:space="preserve"> REF MS_FIG_e4e18d865b2373fa033459c8 \h </w:instrText>
      </w:r>
      <w:r>
        <w:fldChar w:fldCharType="separate"/>
      </w:r>
      <w:r>
        <w:t>1</w:t>
      </w:r>
      <w:r>
        <w:fldChar w:fldCharType="end"/>
      </w:r>
      <w:r>
        <w:t xml:space="preserve"> and summarised in </w:t>
      </w:r>
      <w:r>
        <w:t xml:space="preserve">Table </w:t>
      </w:r>
      <w:r>
        <w:fldChar w:fldCharType="begin"/>
      </w:r>
      <w:r>
        <w:instrText xml:space="preserve"> REF MS_TAB_83075ba2b92c5a1f9022973f \h </w:instrText>
      </w:r>
      <w:r>
        <w:fldChar w:fldCharType="separate"/>
      </w:r>
      <w:r>
        <w:t>1</w:t>
      </w:r>
      <w:r>
        <w:fldChar w:fldCharType="end"/>
      </w:r>
      <w:r>
        <w:t>. Both are formatting examples only.</w:t>
      </w:r>
    </w:p>
    <w:p>
      <w:pPr>
        <w:pStyle w:val="MSHeading1"/>
      </w:pPr>
      <w:r>
        <w:t>3. Conclusions</w:t>
      </w:r>
    </w:p>
    <w:p>
      <w:pPr>
        <w:pStyle w:val="MSBody"/>
      </w:pPr>
      <w:r>
        <w:t>The example demonstrates a document workflow that combines a consistent manuscript layout with editable MathType equations, figures and tables. No physical conclusion is drawn from the illustrative data.</w:t>
      </w:r>
    </w:p>
    <w:p>
      <w:pPr>
        <w:pStyle w:val="MSHeading1"/>
      </w:pPr>
      <w:r>
        <w:t>References</w:t>
      </w:r>
    </w:p>
    <w:p>
      <w:pPr>
        <w:pStyle w:val="MSReferences"/>
      </w:pPr>
      <w:r>
        <w:t>[1]</w:t>
        <w:tab/>
        <w:t>Example reference entry: replace with a verified bibliographic record before submission.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MSNote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line="360" w:lineRule="auto" w:before="0" w:after="0"/>
      <w:ind w:firstLine="482"/>
      <w:jc w:val="both"/>
    </w:pPr>
    <w:rPr>
      <w:rFonts w:ascii="Times New Roman" w:hAnsi="Times New Roman" w:cs="Times New Roman" w:eastAsia="SimSun"/>
      <w:b w:val="0"/>
      <w:i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STitle">
    <w:name w:val="MS Title"/>
    <w:basedOn w:val="Normal"/>
    <w:pPr>
      <w:keepNext w:val="0"/>
      <w:spacing w:line="360" w:lineRule="auto" w:before="0" w:after="120"/>
      <w:ind w:firstLine="0"/>
      <w:jc w:val="center"/>
    </w:pPr>
    <w:rPr>
      <w:rFonts w:ascii="Times New Roman" w:hAnsi="Times New Roman" w:cs="Times New Roman" w:eastAsia="SimSun"/>
      <w:b/>
      <w:i w:val="0"/>
      <w:sz w:val="32"/>
    </w:rPr>
  </w:style>
  <w:style w:type="paragraph" w:customStyle="1" w:styleId="MSAuthors">
    <w:name w:val="MS Authors"/>
    <w:basedOn w:val="Normal"/>
    <w:pPr>
      <w:keepNext w:val="0"/>
      <w:spacing w:line="360" w:lineRule="auto" w:before="0" w:after="0"/>
      <w:ind w:firstLine="0"/>
      <w:jc w:val="center"/>
    </w:pPr>
    <w:rPr>
      <w:rFonts w:ascii="Times New Roman" w:hAnsi="Times New Roman" w:cs="Times New Roman" w:eastAsia="SimSun"/>
      <w:b w:val="0"/>
      <w:i w:val="0"/>
      <w:sz w:val="24"/>
    </w:rPr>
  </w:style>
  <w:style w:type="paragraph" w:customStyle="1" w:styleId="MSAffiliation">
    <w:name w:val="MS Affiliation"/>
    <w:basedOn w:val="Normal"/>
    <w:pPr>
      <w:keepNext w:val="0"/>
      <w:spacing w:line="276" w:lineRule="auto" w:before="0" w:after="80"/>
      <w:ind w:firstLine="0"/>
      <w:jc w:val="center"/>
    </w:pPr>
    <w:rPr>
      <w:rFonts w:ascii="Times New Roman" w:hAnsi="Times New Roman" w:cs="Times New Roman" w:eastAsia="SimSun"/>
      <w:b w:val="0"/>
      <w:i w:val="0"/>
      <w:sz w:val="24"/>
    </w:rPr>
  </w:style>
  <w:style w:type="paragraph" w:customStyle="1" w:styleId="MSCorresponding">
    <w:name w:val="MS Corresponding"/>
    <w:basedOn w:val="Normal"/>
    <w:pPr>
      <w:keepNext w:val="0"/>
      <w:spacing w:line="276" w:lineRule="auto" w:before="0" w:after="240"/>
      <w:ind w:firstLine="0"/>
      <w:jc w:val="center"/>
    </w:pPr>
    <w:rPr>
      <w:rFonts w:ascii="Times New Roman" w:hAnsi="Times New Roman" w:cs="Times New Roman" w:eastAsia="SimSun"/>
      <w:b w:val="0"/>
      <w:i w:val="0"/>
      <w:sz w:val="20"/>
    </w:rPr>
  </w:style>
  <w:style w:type="paragraph" w:customStyle="1" w:styleId="MSAbstractHeading">
    <w:name w:val="MS Abstract Heading"/>
    <w:basedOn w:val="Normal"/>
    <w:pPr>
      <w:keepNext/>
      <w:spacing w:line="360" w:lineRule="auto" w:before="360" w:after="120"/>
      <w:ind w:firstLine="0"/>
      <w:jc w:val="center"/>
    </w:pPr>
    <w:rPr>
      <w:rFonts w:ascii="Times New Roman" w:hAnsi="Times New Roman" w:cs="Times New Roman" w:eastAsia="SimSun"/>
      <w:b/>
      <w:i w:val="0"/>
      <w:sz w:val="24"/>
    </w:rPr>
  </w:style>
  <w:style w:type="paragraph" w:customStyle="1" w:styleId="MSAbstract">
    <w:name w:val="MS Abstract"/>
    <w:basedOn w:val="Normal"/>
    <w:pPr>
      <w:keepNext w:val="0"/>
      <w:spacing w:line="360" w:lineRule="auto" w:before="0" w:after="0"/>
      <w:ind w:firstLine="482"/>
      <w:jc w:val="both"/>
    </w:pPr>
    <w:rPr>
      <w:rFonts w:ascii="Times New Roman" w:hAnsi="Times New Roman" w:cs="Times New Roman" w:eastAsia="SimSun"/>
      <w:b w:val="0"/>
      <w:i w:val="0"/>
      <w:sz w:val="24"/>
    </w:rPr>
  </w:style>
  <w:style w:type="paragraph" w:customStyle="1" w:styleId="MSKeywords">
    <w:name w:val="MS Keywords"/>
    <w:basedOn w:val="Normal"/>
    <w:pPr>
      <w:keepNext w:val="0"/>
      <w:spacing w:line="360" w:lineRule="auto" w:before="120" w:after="240"/>
      <w:ind w:firstLine="482"/>
      <w:jc w:val="both"/>
    </w:pPr>
    <w:rPr>
      <w:rFonts w:ascii="Times New Roman" w:hAnsi="Times New Roman" w:cs="Times New Roman" w:eastAsia="SimSun"/>
      <w:b w:val="0"/>
      <w:i w:val="0"/>
      <w:sz w:val="24"/>
    </w:rPr>
  </w:style>
  <w:style w:type="paragraph" w:customStyle="1" w:styleId="MSHeading1">
    <w:name w:val="MS Heading 1"/>
    <w:basedOn w:val="Normal"/>
    <w:pPr>
      <w:keepNext/>
      <w:spacing w:line="360" w:lineRule="auto" w:before="360" w:after="120"/>
      <w:ind w:firstLine="0"/>
      <w:jc w:val="left"/>
    </w:pPr>
    <w:rPr>
      <w:rFonts w:ascii="Arial" w:hAnsi="Arial" w:cs="Arial" w:eastAsia="SimSun"/>
      <w:b/>
      <w:i w:val="0"/>
      <w:sz w:val="28"/>
    </w:rPr>
  </w:style>
  <w:style w:type="paragraph" w:customStyle="1" w:styleId="MSHeading2">
    <w:name w:val="MS Heading 2"/>
    <w:basedOn w:val="Normal"/>
    <w:pPr>
      <w:keepNext/>
      <w:spacing w:line="360" w:lineRule="auto" w:before="0" w:after="0"/>
      <w:ind w:firstLine="0"/>
      <w:jc w:val="left"/>
    </w:pPr>
    <w:rPr>
      <w:rFonts w:ascii="Times New Roman" w:hAnsi="Times New Roman" w:cs="Times New Roman" w:eastAsia="SimSun"/>
      <w:b w:val="0"/>
      <w:i/>
      <w:sz w:val="24"/>
    </w:rPr>
  </w:style>
  <w:style w:type="paragraph" w:customStyle="1" w:styleId="MSBody">
    <w:name w:val="MS Body"/>
    <w:basedOn w:val="Normal"/>
    <w:pPr>
      <w:keepNext w:val="0"/>
      <w:spacing w:line="360" w:lineRule="auto" w:before="0" w:after="0"/>
      <w:ind w:firstLine="482"/>
      <w:jc w:val="both"/>
    </w:pPr>
    <w:rPr>
      <w:rFonts w:ascii="Times New Roman" w:hAnsi="Times New Roman" w:cs="Times New Roman" w:eastAsia="SimSun"/>
      <w:b w:val="0"/>
      <w:i w:val="0"/>
      <w:sz w:val="24"/>
    </w:rPr>
  </w:style>
  <w:style w:type="paragraph" w:customStyle="1" w:styleId="MSEquation">
    <w:name w:val="MS Equation"/>
    <w:basedOn w:val="Normal"/>
    <w:pPr>
      <w:keepNext w:val="0"/>
      <w:spacing w:line="288" w:lineRule="auto" w:before="40" w:after="40"/>
      <w:ind w:firstLine="0"/>
      <w:jc w:val="center"/>
    </w:pPr>
    <w:rPr>
      <w:rFonts w:ascii="Times New Roman" w:hAnsi="Times New Roman" w:cs="Times New Roman" w:eastAsia="SimSun"/>
      <w:b w:val="0"/>
      <w:i w:val="0"/>
      <w:sz w:val="24"/>
    </w:rPr>
  </w:style>
  <w:style w:type="paragraph" w:customStyle="1" w:styleId="MSFigure">
    <w:name w:val="MS Figure"/>
    <w:basedOn w:val="Normal"/>
    <w:pPr>
      <w:keepNext/>
      <w:spacing w:line="240" w:lineRule="auto" w:before="80" w:after="0"/>
      <w:ind w:firstLine="0"/>
      <w:jc w:val="center"/>
    </w:pPr>
    <w:rPr>
      <w:rFonts w:ascii="Times New Roman" w:hAnsi="Times New Roman" w:cs="Times New Roman" w:eastAsia="SimSun"/>
      <w:b w:val="0"/>
      <w:i w:val="0"/>
      <w:sz w:val="20"/>
    </w:rPr>
  </w:style>
  <w:style w:type="paragraph" w:customStyle="1" w:styleId="MSFigureCaption">
    <w:name w:val="MS Figure Caption"/>
    <w:basedOn w:val="Normal"/>
    <w:pPr>
      <w:keepNext w:val="0"/>
      <w:spacing w:line="360" w:lineRule="auto" w:before="120" w:after="240"/>
      <w:ind w:firstLine="0"/>
      <w:jc w:val="both"/>
    </w:pPr>
    <w:rPr>
      <w:rFonts w:ascii="Times New Roman" w:hAnsi="Times New Roman" w:cs="Times New Roman" w:eastAsia="SimSun"/>
      <w:b w:val="0"/>
      <w:i w:val="0"/>
      <w:sz w:val="24"/>
    </w:rPr>
  </w:style>
  <w:style w:type="paragraph" w:customStyle="1" w:styleId="MSTableCaption">
    <w:name w:val="MS Table Caption"/>
    <w:basedOn w:val="Normal"/>
    <w:pPr>
      <w:keepNext/>
      <w:spacing w:line="360" w:lineRule="auto" w:before="240" w:after="120"/>
      <w:ind w:firstLine="0"/>
      <w:jc w:val="both"/>
    </w:pPr>
    <w:rPr>
      <w:rFonts w:ascii="Times New Roman" w:hAnsi="Times New Roman" w:cs="Times New Roman" w:eastAsia="SimSun"/>
      <w:b w:val="0"/>
      <w:i w:val="0"/>
      <w:sz w:val="24"/>
    </w:rPr>
  </w:style>
  <w:style w:type="paragraph" w:customStyle="1" w:styleId="MSTableCell">
    <w:name w:val="MS Table Cell"/>
    <w:basedOn w:val="Normal"/>
    <w:pPr>
      <w:keepNext w:val="0"/>
      <w:spacing w:line="240" w:lineRule="auto" w:before="0" w:after="0"/>
      <w:ind w:firstLine="0"/>
      <w:jc w:val="center"/>
    </w:pPr>
    <w:rPr>
      <w:rFonts w:ascii="Times New Roman" w:hAnsi="Times New Roman" w:cs="Times New Roman" w:eastAsia="SimSun"/>
      <w:b w:val="0"/>
      <w:i w:val="0"/>
      <w:sz w:val="20"/>
    </w:rPr>
  </w:style>
  <w:style w:type="paragraph" w:customStyle="1" w:styleId="MSReferences">
    <w:name w:val="MS References"/>
    <w:basedOn w:val="Normal"/>
    <w:pPr>
      <w:keepNext w:val="0"/>
      <w:tabs>
        <w:tab w:pos="567" w:val="left"/>
      </w:tabs>
      <w:spacing w:line="240" w:lineRule="auto" w:before="0" w:after="100"/>
      <w:ind w:hanging="567" w:left="567"/>
      <w:jc w:val="both"/>
    </w:pPr>
    <w:rPr>
      <w:rFonts w:ascii="Times New Roman" w:hAnsi="Times New Roman" w:cs="Times New Roman" w:eastAsia="SimSun"/>
      <w:b w:val="0"/>
      <w:i w:val="0"/>
      <w:sz w:val="22"/>
    </w:rPr>
  </w:style>
  <w:style w:type="paragraph" w:customStyle="1" w:styleId="MSNote">
    <w:name w:val="MS Note"/>
    <w:basedOn w:val="Normal"/>
    <w:pPr>
      <w:keepNext w:val="0"/>
      <w:spacing w:line="288" w:lineRule="auto" w:before="0" w:after="100"/>
      <w:ind w:firstLine="0"/>
      <w:jc w:val="left"/>
    </w:pPr>
    <w:rPr>
      <w:rFonts w:ascii="Times New Roman" w:hAnsi="Times New Roman" w:cs="Times New Roman" w:eastAsia="SimSun"/>
      <w:b w:val="0"/>
      <w:i w:val="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 Illustrative Manuscript: Steady Diffusion in a Square Plate</dc:title>
  <dc:subject>Journal manuscript style (MathType OLE ready)</dc:subject>
  <dc:creator>A. Author, B. Author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