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</w:pPr>
      <w:r>
        <w:rPr>
          <w:rFonts w:ascii="Calibri" w:hAnsi="Calibri" w:eastAsia="Microsoft YaHei"/>
          <w:b/>
          <w:color w:val="172B3A"/>
          <w:sz w:val="52"/>
        </w:rPr>
        <w:t>《杜绝信息差》最高等级验收标准</w:t>
      </w:r>
    </w:p>
    <w:p>
      <w:pPr>
        <w:spacing w:after="480"/>
      </w:pPr>
      <w:r>
        <w:rPr>
          <w:rFonts w:ascii="Calibri" w:hAnsi="Calibri" w:eastAsia="Microsoft YaHei"/>
          <w:color w:val="1F4D78"/>
          <w:sz w:val="26"/>
        </w:rPr>
        <w:t>大学生友好竞赛消息工具 · 正式发布闸门与验收记录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E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发布原则：</w:t>
            </w:r>
            <w:r>
              <w:rPr>
                <w:rFonts w:ascii="Calibri" w:hAnsi="Calibri" w:eastAsia="Microsoft YaHei"/>
                <w:color w:val="172B3A"/>
                <w:sz w:val="22"/>
              </w:rPr>
              <w:t>本标准实行一票否决：任一P0或P1未通过，候选版本不得发布；演示、占位、空函数和仅显示提示均不视为实现。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项目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文档编号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JSS-ACCEPT-001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文档版本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编制日期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2026-08-11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适用版本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正式候选版及后续版本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验收对象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Windows 10/11 x64安装包、生产数据包与更新服务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数据门槛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≥500条已核验逐届记录；≥150个竞赛品牌；覆盖2024—2026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发布门槛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零P0、零P1；P2仅允许书面豁免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文档状态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□草案  □评审中  □已批准  □已废止</w:t>
            </w:r>
          </w:p>
        </w:tc>
      </w:tr>
    </w:tbl>
    <w:p>
      <w:pPr>
        <w:spacing w:after="0"/>
      </w:pPr>
    </w:p>
    <w:p>
      <w:pPr>
        <w:pStyle w:val="Heading1"/>
      </w:pPr>
      <w:r>
        <w:t>批准与签字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1800"/>
        <w:gridCol w:w="21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角色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姓名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签字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日期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结论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产品负责人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□批准 □拒绝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开发负责人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□批准 □拒绝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验收负责人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□通过 □不通过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数据审核负责人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□通过 □不通过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安全负责人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□通过 □不通过</w:t>
            </w:r>
          </w:p>
        </w:tc>
      </w:tr>
    </w:tbl>
    <w:p>
      <w:pPr>
        <w:spacing w:after="0"/>
      </w:pPr>
    </w:p>
    <w:p>
      <w:pPr>
        <w:pStyle w:val="Heading1"/>
      </w:pPr>
      <w:r>
        <w:t>1. 目的与适用范围</w:t>
      </w:r>
    </w:p>
    <w:p>
      <w:r>
        <w:rPr>
          <w:rFonts w:ascii="Calibri" w:hAnsi="Calibri" w:eastAsia="Microsoft YaHei"/>
          <w:color w:val="172B3A"/>
          <w:sz w:val="22"/>
        </w:rPr>
        <w:t>本文件定义《杜绝信息差——大学生友好竞赛消息工具》的最高等级发布验收标准。验收对象包括桌面应用、中央抓取与审核链路、签名数据包、自动更新服务、安装包及发布文档。</w:t>
      </w:r>
    </w:p>
    <w:p>
      <w:r>
        <w:rPr>
          <w:rFonts w:ascii="Calibri" w:hAnsi="Calibri" w:eastAsia="Microsoft YaHei"/>
          <w:color w:val="172B3A"/>
          <w:sz w:val="22"/>
        </w:rPr>
        <w:t>验收必须针对实际候选安装包和生产级数据执行，不得以浏览器原型、静态截图、模拟数据或未连接服务的界面替代。</w:t>
      </w:r>
    </w:p>
    <w:p>
      <w:pPr>
        <w:pStyle w:val="Heading1"/>
      </w:pPr>
      <w:r>
        <w:t>2. 发布闸门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100"/>
        <w:gridCol w:w="17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闸门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名称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判定条件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规则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G1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功能完整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所有P0/P1功能均有真实行为、错误反馈和恢复路径。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任一失败即阻断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G2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数据可信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500条、150品牌、2024—2026、全门类覆盖、抽检关键字段100%准确。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任一失败即阻断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G3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质量合格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零P0、零P1；自动化测试与质量扫描全部通过。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任一失败即阻断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G4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安全合规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签名、回滚、隐私和外链白名单全部通过。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任一失败即阻断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G5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双系统可用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Windows 10/11完成安装、升级、卸载、重装和全量核心场景。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任一失败即阻断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G6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9"/>
              </w:rPr>
              <w:t>证据充分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每项验收结论均关联截图、日志、报告、哈希或录像。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无证据视为失败</w:t>
            </w:r>
          </w:p>
        </w:tc>
      </w:tr>
    </w:tbl>
    <w:p>
      <w:pPr>
        <w:spacing w:after="0"/>
      </w:pPr>
    </w:p>
    <w:p>
      <w:pPr>
        <w:pStyle w:val="Heading1"/>
      </w:pPr>
      <w:r>
        <w:t>3. 缺陷等级、豁免与复验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级别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定义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发布处理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P0 阻断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核心任务无法完成、数据错误/丢失、安全漏洞、安装或更新失败。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禁止发布；立即修复并全量回归。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P1 重大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明显影响主要功能、WCAG AA失败、关键性能不达标、缺少恢复路径。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禁止发布；修复并执行相关与回归测试。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P2 一般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有明确绕行方式但影响效率或一致性。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仅产品负责人书面豁免；必须登记修复版本和日期。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P3 优化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不影响任务完成的视觉或体验细节。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可延期，但应登记并评估累积风险。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豁免规则：</w:t>
            </w:r>
            <w:r>
              <w:rPr>
                <w:rFonts w:ascii="Calibri" w:hAnsi="Calibri" w:eastAsia="Microsoft YaHei"/>
                <w:color w:val="172B3A"/>
                <w:sz w:val="22"/>
              </w:rPr>
              <w:t>P0、P1不得豁免。P2豁免必须包含风险说明、临时措施、责任人、修复版本和最迟日期，并由产品负责人和验收负责人共同签字。</w:t>
            </w:r>
          </w:p>
        </w:tc>
      </w:tr>
    </w:tbl>
    <w:p>
      <w:pPr>
        <w:spacing w:after="0"/>
      </w:pPr>
    </w:p>
    <w:p>
      <w:pPr>
        <w:pStyle w:val="Heading1"/>
      </w:pPr>
      <w:r>
        <w:t>4. 验收角色与证据规则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产品负责人确认范围、评级口径、数据覆盖和P2豁免；不得代替测试人员填写技术结果。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开发负责人提供候选安装包、版本哈希、变更记录、部署说明、回滚说明和测试环境。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验收负责人独立执行用例、记录证据、创建缺陷并给出发布结论。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数据审核负责人对来源、日期、主办方、参赛对象、评级依据和专业映射负责。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证据必须可复现、可定位、含时间戳，并与安装包版本和数据包版本绑定。</w:t>
      </w:r>
    </w:p>
    <w:p>
      <w:pPr>
        <w:pStyle w:val="Heading1"/>
      </w:pPr>
      <w:r>
        <w:t>5. 验收环境记录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项目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验收值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应用版本 / 构建号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安装包文件名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安装包SHA-256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数据包版本 / SHA-256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更新服务版本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Windows 10环境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版本、补丁、CPU、内存、缩放、WebView2版本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Windows 11环境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版本、补丁、CPU、内存、缩放、WebView2版本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网络条件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正常、离线、高延迟、限速、代理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验收周期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执行前检查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候选安装包、生产数据包和更新服务的版本已冻结，验收期间不允许无记录变更。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Windows 10与Windows 11验收环境已创建快照，系统时间、时区、缩放和网络条件已记录。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测试账号、MFA设备、官方来源访问权限、故障注入工具和证据目录均已准备。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验收人员与开发人员职责分离；实际结果由执行人填写，开发人员不得代填通过结论。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所有日志已启用时间戳和版本标识，截图、录像和报告可关联到具体需求ID。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52" w:bottom="1037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6. 需求追踪矩阵</w:t>
      </w:r>
    </w:p>
    <w:p>
      <w:r>
        <w:rPr>
          <w:rFonts w:ascii="Calibri" w:hAnsi="Calibri" w:eastAsia="Microsoft YaHei"/>
          <w:color w:val="172B3A"/>
          <w:sz w:val="22"/>
        </w:rPr>
        <w:t>填写规则：实际结果必须写明版本、数据和操作结果；证据栏必须指向附件编号或可访问文件；结论不得仅填写“正常”。</w:t>
      </w:r>
    </w:p>
    <w:tbl>
      <w:tblPr>
        <w:tblStyle w:val="TableGrid"/>
        <w:tblW w:type="dxa" w:w="145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20"/>
        <w:gridCol w:w="3600"/>
        <w:gridCol w:w="3000"/>
        <w:gridCol w:w="1800"/>
        <w:gridCol w:w="1800"/>
        <w:gridCol w:w="1200"/>
        <w:gridCol w:w="150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ID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优先级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验收要求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验收方法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证据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实际结果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缺陷号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5"/>
              </w:rPr>
              <w:t>结论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首发生产数据不少于500条逐届记录，且包含至少150个不同竞赛品牌。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运行全量统计；核对品牌去重结果。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统计报告、数据包哈希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2024、2025、2026各届记录独立保存，新届次不得覆盖旧届次。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抽取30个跨届品牌验证版本链。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历史届次覆盖表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按教育部现行本科专业目录和研究生学科目录建立全门类覆盖矩阵。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逐门类核对；无记录项必须附可核验说明。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专业覆盖矩阵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来源覆盖教育部门、组委会、行业学会、知名企业和全国性高校。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按来源类型分组统计并抽查官网主体。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来源登记表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DAT-005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每条记录包含来源网址、届次、核验时间、数据状态和来源类型。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全量字段完整性扫描。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完整性报告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日期、主办方、参赛对象和链接抽检准确率100%；全量字段完整率≥98%。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分层随机抽检不少于100条。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抽检记录与原网页截图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DAT-007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重复记录率为0；疑似重复进入审核队列。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全量规范化名称、届次、主办方联合去重。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重复检测报告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UPD-001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中央抓取、负责人审核、签名数据包发布、桌面端同步链路完整。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执行一次端到端数据发布。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发布日志、签名验证日志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UPD-002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应用运行期间每日00:00更新；错过时间后下次启动补检。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修改系统时间并分别验证在线、错过和重启场景。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时间线日志、截图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UPD-003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更新失败保留上一版数据并显示原因、时间和重试入口。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模拟断网、超时、403、429和损坏数据包。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错误状态截图、回退日志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UPD-004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日期、多来源和网页结构冲突进入审核队列，不静默覆盖。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注入冲突样本并核对审核记录。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冲突样本、审核日志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UPD-005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每次发布包含版本号、变更记录、校验值和可回滚数据包。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核验连续两个数据版本并执行回滚。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清单、哈希、回滚日志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详情支持正式名称、英文显示名、届次、类别、主办方、级别、对象和专业限制。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逐字段检查正常、未知和超长文本。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详情截图、字段报告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分别记录报名开始、截止、初赛、复赛、决赛和结果公布时间。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检查多阶段、缺阶段和待公布记录。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时间节点截图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形式、地点、时区、费用及未知/待公布状态表达明确。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验证线上、线下、混合、跨时区和未知值。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场景截图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官网、报名页和下载/填写/上传材料清单完整；附件只链接官网下载。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逐链接打开并确认未缓存第三方附件。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链接检查报告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DET-005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难度星级有证据、充分度和暂无评级状态；允许设置个人星级且不覆盖系统评级。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验证有证据、无证据和个人修改场景。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评级截图、数据记录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含金量为独立指标并展示主办方、认可范围、持续时间和影响证据。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核对高/中/低样本及证据链接。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评级依据记录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DET-007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支持本地备注、参赛计划、任务清单、完成状态和来源变更历史。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创建、编辑、重启、更新后核对。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本地数据截图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SEA-001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搜索覆盖名称、届次、主办方、简介、专业、材料名称和别名。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对每个索引字段执行命中与不命中测试。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搜索用例报告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SEA-002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支持拼音、英文名、常见缩写及大小写不敏感搜索。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执行中英、全拼、首字母和缩写样本。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搜索截图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SEA-003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专业、状态、对象、主办方类型、难度、含金量、收藏、形式、费用、年份、审核状态可组合筛选。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覆盖单条件、交叉条件、重置和空结果。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筛选测试报告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SEA-004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支持截止、更新时间、难度、含金量和公开热度排序。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构造已知顺序数据并逐项验证。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排序断言报告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SEA-005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10,000条本地数据下首屏搜索响应≤150ms。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冷、热缓存各运行30次并报告P50/P95。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性能报告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CAL-001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月历展示报名、初赛、复赛、决赛和结果节点，并支持按竞赛和节点类型筛选。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检查多阶段竞赛跨月显示。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日历截图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CAL-002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支持今天、前后月份、年份选择、事件详情和详情页反向跳转。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鼠标和键盘完成全部导航路径。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交互录像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LOC-001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收藏、隐藏、备注和计划均本地持久化，重启不丢失。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写入数据、结束进程并重启验证。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持久化测试日志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LOC-002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隐藏支持即时撤销和已隐藏列表恢复。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隐藏、撤销、重启、恢复各一次。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交互截图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I18-001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界面、错误、空状态、设置、评级和帮助内容100%双语。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自动扫描硬编码文案并人工遍历全页面。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双语覆盖报告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I18-002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官方中文名保留时提供英文显示名或Official Chinese name标记。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检查全部中文正式名称。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字段完整性报告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I18-003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语言和主题选择重启后保留；深浅主题所有页面对比度合格。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切换、重启并执行对比度扫描。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持久化与对比度报告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A11-001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Windows 125%、150%、175%、200%缩放无截断、消失或横向溢出。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各缩放比例遍历六个主页面。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截图矩阵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A11-002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满足WCAG 2.2 AA：键盘、焦点、语义、屏幕阅读器状态和主要44×44点击区域。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axe扫描、键盘遍历和Narrator人工检查。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可访问性报告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A11-003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页签有选中状态，图标按钮有名称；无空函数、无反馈、按钮嵌套或仅颜色状态。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静态扫描结合全按钮点击巡检。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无效控件报告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INS-001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Windows 10/11 x64支持全新安装、覆盖升级、卸载和重装。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两套干净虚拟机执行完整生命周期。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安装录像、系统日志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INS-002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应用和数据包均数字签名、校验完整性并支持失败回滚。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篡改安装包和数据包后验证拒绝与回滚。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签名与回滚日志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INS-003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自动更新支持检查、下载、安装、重启和更新日志。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从上一正式版升级到候选版。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升级录像、更新日志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MIG-001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数据迁移前自动备份；迁移失败恢复收藏、备注、计划和隐藏状态。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注入迁移失败并核对前后数据哈希。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迁移与恢复报告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SEC-001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外链仅允许已登记HTTPS官方域名；非法协议和未登记域名被阻止。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测试http、file、javascript及未知域名。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安全测试报告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PRI-001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收藏、备注、计划和隐藏状态不上传。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抓包并检查应用数据流。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网络抓包报告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REL-001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发布物包含MIT许可证、中文README、安装说明、隐私说明、第三方许可证和SBOM。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核对候选发布目录。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发布清单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PER-001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冷启动≤2.5秒、常规启动≤1.5秒。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Windows 10/11各运行30次并统计P95。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启动性能报告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PER-002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空闲内存≤250MB，连续24小时无明显增长。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监测工作集并进行线性趋势分析。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内存报告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PER-003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10,000条数据下滚动、筛选和日历切换流畅。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记录P95交互延迟和长任务。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性能轨迹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ERR-001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断网、超时、403、429、结构变化、磁盘不足和损坏数据包均可恢复。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逐场景故障注入并执行恢复。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故障注入报告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TST-001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核心数据逻辑覆盖率≥90%，整体语句覆盖率≥80%。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运行正式测试流水线并生成覆盖率。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覆盖率报告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TST-002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包含单元、组件、端到端、安装升级、迁移和抓取回归测试。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核对测试清单并执行全套测试。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测试报告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STB-001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候选版本连续运行72小时无崩溃；Win10/11各执行全部验收场景。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稳定性运行与双系统回归。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稳定性报告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GAT-001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5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发布前完成链接、日期、重复、双语缺失和无效按钮全量扫描。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执行发布前质量脚本。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质量闸门报告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5"/>
              </w:rPr>
              <w:t>□通过 □失败</w:t>
            </w:r>
          </w:p>
        </w:tc>
      </w:tr>
    </w:tbl>
    <w:p>
      <w:pPr>
        <w:spacing w:after="0"/>
      </w:pPr>
    </w:p>
    <w:p>
      <w:pPr>
        <w:pStyle w:val="Heading2"/>
      </w:pPr>
      <w:r>
        <w:t>需求追踪矩阵复核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复核项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填写内容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矩阵总项数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49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已执行 / 未执行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 xml:space="preserve">        /        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通过 / 失败 / 阻塞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 xml:space="preserve">        /        /        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 / P1缺陷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 xml:space="preserve">        /        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执行人签字 / 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复核人签字 / 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</w:tbl>
    <w:p>
      <w:pPr>
        <w:spacing w:after="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1037" w:right="936" w:bottom="1037" w:left="936" w:header="504" w:footer="504" w:gutter="0"/>
          <w:cols w:space="720"/>
          <w:docGrid w:linePitch="360"/>
        </w:sectPr>
      </w:pPr>
    </w:p>
    <w:p>
      <w:pPr>
        <w:pStyle w:val="Heading1"/>
      </w:pPr>
      <w:r>
        <w:t>7. 数据质量专项验收</w:t>
      </w:r>
    </w:p>
    <w:p>
      <w:pPr>
        <w:pStyle w:val="Heading2"/>
      </w:pPr>
      <w:r>
        <w:t>7.1 数据规模与历史覆盖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1300"/>
        <w:gridCol w:w="1760"/>
        <w:gridCol w:w="140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指标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最低门槛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实际值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证据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结论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逐届竞赛记录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≥500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不同竞赛品牌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≥150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2024届记录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存在且可独立查询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2025届记录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存在且可独立查询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2026届记录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存在且可独立查询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重复记录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关键字段抽检准确率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100%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全量字段完整率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≥98%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□通过 □失败</w:t>
            </w:r>
          </w:p>
        </w:tc>
      </w:tr>
    </w:tbl>
    <w:p>
      <w:pPr>
        <w:spacing w:after="0"/>
      </w:pPr>
    </w:p>
    <w:p>
      <w:pPr>
        <w:pStyle w:val="Heading2"/>
      </w:pPr>
      <w:r>
        <w:t>7.2 专业覆盖矩阵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00"/>
        <w:gridCol w:w="1300"/>
        <w:gridCol w:w="2300"/>
        <w:gridCol w:w="1700"/>
        <w:gridCol w:w="11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学科门类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竞赛品牌数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逐届记录数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代表性赛事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无公开赛事说明/证据</w:t>
            </w:r>
          </w:p>
        </w:tc>
        <w:tc>
          <w:tcPr>
            <w:tcW w:type="dxa" w:w="1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结论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哲学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经济学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法学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教育学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文学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历史学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理学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工学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农学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医学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管理学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艺术学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交叉学科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研究生专业学位类别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□通过 □失败</w:t>
            </w:r>
          </w:p>
        </w:tc>
      </w:tr>
    </w:tbl>
    <w:p>
      <w:pPr>
        <w:spacing w:after="0"/>
      </w:pPr>
    </w:p>
    <w:p>
      <w:pPr>
        <w:pStyle w:val="Heading2"/>
      </w:pPr>
      <w:r>
        <w:t>7.3 分层随机抽检记录</w:t>
      </w:r>
    </w:p>
    <w:p>
      <w:r>
        <w:rPr>
          <w:rFonts w:ascii="Calibri" w:hAnsi="Calibri" w:eastAsia="Microsoft YaHei"/>
          <w:color w:val="172B3A"/>
          <w:sz w:val="22"/>
        </w:rPr>
        <w:t>抽检不少于100条，按年份、学科门类、来源类型和数据状态分层。关键字段任何一项错误均判定DAT-006失败。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600"/>
        <w:gridCol w:w="1050"/>
        <w:gridCol w:w="1050"/>
        <w:gridCol w:w="1050"/>
        <w:gridCol w:w="1050"/>
        <w:gridCol w:w="7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样本ID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名称/届次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来源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日期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主办方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对象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链接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6"/>
              </w:rPr>
              <w:t>问题/证据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  <w:t>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  <w:t>□对 □错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6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72B3A"/>
          <w:sz w:val="22"/>
        </w:rPr>
        <w:t>注：表中预留15条现场记录；完整100条抽检明细应作为附件提交。</w:t>
      </w:r>
    </w:p>
    <w:p>
      <w:pPr>
        <w:pStyle w:val="Heading1"/>
      </w:pPr>
      <w:r>
        <w:t>8. 功能验收场景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3500"/>
        <w:gridCol w:w="31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场景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名称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操作摘要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通过标准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首次启动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全新安装后启动，完成语言、主题和数据初始化。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无账号要求；可立即浏览生产数据；设置可保存。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组合检索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搜索英文缩写并叠加年份、专业、对象、形式和收藏筛选。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结果正确；150ms门槛达标；重置完整恢复。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竞赛详情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打开多阶段竞赛并检查材料、评级、来源和历史变更。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字段完整；未知项明确；链接为官方HTTPS。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收藏与隐藏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收藏、隐藏、撤销、重启和恢复。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状态准确持久化；无重复记录。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参赛计划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创建计划、任务、截止日和完成状态，重启后编辑。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完整持久化。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日历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跨月查看报名、初赛、复赛、决赛和结果节点。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节点、筛选、今天与反向跳转全部可用。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数据更新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发布新数据包并修改一条已核验竞赛日期。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签名验证通过；显示变更；旧日期可查。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失败恢复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同步中断、数据包损坏、磁盘不足后重试。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旧数据可用；错误明确；修复后可恢复。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双语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中文和英文分别遍历全部页面、错误和空状态。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除官方名称外无遗漏；语言重启保留。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FUN-12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主题与缩放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深浅主题结合125%—200%缩放遍历。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无截断、溢出、消失或对比度失败。</w:t>
            </w:r>
          </w:p>
        </w:tc>
      </w:tr>
    </w:tbl>
    <w:p>
      <w:pPr>
        <w:spacing w:after="0"/>
      </w:pPr>
    </w:p>
    <w:p>
      <w:pPr>
        <w:pStyle w:val="Heading1"/>
      </w:pPr>
      <w:r>
        <w:t>9. 异常恢复与安全验收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故障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注入方法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必须结果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离线启动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断开网络后启动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读取最后有效数据；明确显示离线和数据时间；本地功能可用。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HTTP 403/429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模拟来源拒绝或限速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停止该来源，不绕过限制；保留旧数据并安排重试。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网页结构变化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删除关键选择器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抓取失败进入审核队列，不写入空值。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签名错误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篡改数据包和应用更新包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拒绝安装/导入；记录安全事件；保持现有版本。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迁移失败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注入数据库迁移错误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自动恢复备份；个人数据哈希一致。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磁盘不足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限制可用空间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提前检查；不产生半写入数据库；清理后可重试。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非法外链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file/javascript/http/未知域名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全部阻止并向用户解释原因。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重复提交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连续快速点击操作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无重复收藏、计划或更新任务。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恶意输入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脚本、超长文本、异常URL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输入被校验；无执行、无界面破坏、无日志污染。</w:t>
            </w:r>
          </w:p>
        </w:tc>
      </w:tr>
    </w:tbl>
    <w:p>
      <w:pPr>
        <w:spacing w:after="0"/>
      </w:pPr>
    </w:p>
    <w:p>
      <w:pPr>
        <w:pStyle w:val="Heading1"/>
      </w:pPr>
      <w:r>
        <w:t>10. 性能、稳定性与可访问性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3200"/>
        <w:gridCol w:w="2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指标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门槛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测量方法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实际结果/证据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冷启动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≤2.5秒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Windows 10/11各30次，报告P50/P95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常规启动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≤1.5秒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相同环境各30次，报告P50/P95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搜索首屏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10,000条下≤150ms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冷/热缓存各30次，报告P95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空闲内存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≤250MB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稳定后连续记录30分钟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24小时内存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无显著增长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线性趋势与峰值分析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72小时稳定性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0崩溃、0数据损坏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持续运行、更新与检索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自动化覆盖率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核心≥90%；整体≥80%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正式流水线覆盖率报告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可访问性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WCAG 2.2 AA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axe、键盘、Narrator、对比度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文字缩放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125%—200%全部可用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Win10/11全页面截图矩阵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11. 安装、升级与回滚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000"/>
        <w:gridCol w:w="2800"/>
        <w:gridCol w:w="33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用例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场景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前置条件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通过标准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Windows 10全新安装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未安装旧版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安装、启动、卸载均成功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Windows 11全新安装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未安装旧版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安装、启动、卸载均成功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覆盖升级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上一正式版含本地数据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升级成功且个人数据完整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更新中断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下载/安装阶段断网或结束进程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恢复原版本或可安全重试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签名失败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篡改更新文件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明确拒绝，当前版本可继续使用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数据迁移失败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注入不兼容数据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备份恢复，数据无损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INST-07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8"/>
              </w:rPr>
              <w:t>卸载与重装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选择保留或删除本地数据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行为与提示一致，无残留冲突</w:t>
            </w:r>
          </w:p>
        </w:tc>
      </w:tr>
    </w:tbl>
    <w:p>
      <w:pPr>
        <w:spacing w:after="0"/>
      </w:pPr>
    </w:p>
    <w:p>
      <w:pPr>
        <w:pStyle w:val="Heading1"/>
      </w:pPr>
      <w:r>
        <w:t>12. 发布物清单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5200"/>
        <w:gridCol w:w="11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发布物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要求</w:t>
            </w:r>
          </w:p>
        </w:tc>
        <w:tc>
          <w:tcPr>
            <w:tcW w:type="dxa" w:w="1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已提供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Windows x64安装包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已签名；SHA-256已登记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应用自动更新清单与签名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可从上一正式版升级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生产数据包与签名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包含版本、变更记录、校验值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MIT LICENSE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许可证文本完整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中文README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功能、安装、使用、开发与贡献范围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安装与升级说明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含卸载、回滚和故障处理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隐私说明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明确本地数据和网络请求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第三方许可证清单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前后端及打包依赖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SBOM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机器可读的软件物料清单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自动化测试报告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含覆盖率和失败项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数据质量报告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含覆盖、准确率、重复与链接检查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发布说明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功能、修复、已知P2及升级注意事项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□</w:t>
            </w:r>
          </w:p>
        </w:tc>
      </w:tr>
    </w:tbl>
    <w:p>
      <w:pPr>
        <w:spacing w:after="0"/>
      </w:pPr>
    </w:p>
    <w:p>
      <w:pPr>
        <w:pStyle w:val="Heading1"/>
      </w:pPr>
      <w:r>
        <w:t>13. 缺陷与豁免登记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900"/>
        <w:gridCol w:w="1300"/>
        <w:gridCol w:w="2600"/>
        <w:gridCol w:w="1200"/>
        <w:gridCol w:w="1400"/>
        <w:gridCol w:w="7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缺陷号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等级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关联要求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摘要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责任人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修复版本/日期</w:t>
            </w:r>
          </w:p>
        </w:tc>
        <w:tc>
          <w:tcPr>
            <w:tcW w:type="dxa" w:w="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状态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P2豁免记录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100"/>
        <w:gridCol w:w="1900"/>
        <w:gridCol w:w="1000"/>
        <w:gridCol w:w="1300"/>
        <w:gridCol w:w="980"/>
        <w:gridCol w:w="98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缺陷号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风险与影响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临时措施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责任人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最迟修复日期</w:t>
            </w:r>
          </w:p>
        </w:tc>
        <w:tc>
          <w:tcPr>
            <w:tcW w:type="dxa" w:w="9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产品签字</w:t>
            </w:r>
          </w:p>
        </w:tc>
        <w:tc>
          <w:tcPr>
            <w:tcW w:type="dxa" w:w="9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验收签字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14. 最终验收结论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E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最终判定：</w:t>
            </w:r>
            <w:r>
              <w:rPr>
                <w:rFonts w:ascii="Calibri" w:hAnsi="Calibri" w:eastAsia="Microsoft YaHei"/>
                <w:color w:val="172B3A"/>
                <w:sz w:val="22"/>
              </w:rPr>
              <w:t>只有全部发布闸门通过、零P0、零P1、所有P2均有有效豁免时，方可选择“通过并允许发布”。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结果/填写内容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P0缺陷数量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P1缺陷数量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P2缺陷数量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有效P2豁免数量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发布闸门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□G1 □G2 □G3 □G4 □G5 □G6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最终结论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□通过并允许发布  □有条件通过  □不通过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限制与说明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  <w:t>下一次复验日期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15. 附件与证据索引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00"/>
        <w:gridCol w:w="1500"/>
        <w:gridCol w:w="2800"/>
        <w:gridCol w:w="1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附件编号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名称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版本/日期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存储位置或链接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7"/>
              </w:rPr>
              <w:t>哈希/负责人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  <w:t>A-12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16. 规范依据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《全国大学生竞赛桌面应用需求大纲（已确认）》及后续确认事项。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教育部：《普通高等学校本科专业目录（2026年）》。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国务院学位委员会、教育部：《研究生教育学科专业目录（2022年）》。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W3C：Web Content Accessibility Guidelines (WCAG) 2.2，AA级。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OWASP：Web Application Security Verification Standard及常见Web安全基线。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Tauri 2官方安全、权限、签名与更新机制文档。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7"/>
      </w:rPr>
      <w:t xml:space="preserve">内部验收文件  |  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7"/>
      </w:rPr>
      <w:t xml:space="preserve">内部验收文件  |  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7"/>
      </w:rPr>
      <w:t xml:space="preserve">内部验收文件  |  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F6B76"/>
        <w:sz w:val="17"/>
      </w:rPr>
      <w:t>杜绝信息差 · 最高等级验收标准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F6B76"/>
        <w:sz w:val="17"/>
      </w:rPr>
      <w:t>杜绝信息差 · 最高等级验收标准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F6B76"/>
        <w:sz w:val="17"/>
      </w:rPr>
      <w:t>杜绝信息差 · 最高等级验收标准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《杜绝信息差》最高等级验收标准</dc:title>
  <dc:subject>大学生友好竞赛消息工具正式发布闸门与验收记录</dc:subject>
  <dc:creator>《杜绝信息差》项目组</dc:creator>
  <cp:keywords>验收标准, 竞赛信息, Windows, 数据质量, 可访问性, 安全</cp:keywords>
  <dc:description>V1.0；独立验收规范；原需求大纲保持不变。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