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部署前准备清单</w:t>
      </w:r>
    </w:p>
    <w:p>
      <w:pPr>
        <w:spacing w:after="30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按优先级排列，标"可选"的项目初期暂不需要。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800"/>
        <w:gridCol w:w="4806"/>
      </w:tblGrid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需要什么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去哪里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服务器（4核8G，建议腾讯云/阿里云）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腾讯云 buy.cloud.tencent.com/cvm
阿里云 ecs.console.aliyun.com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域名（.com/.cn 均可，购买后需 ICP 备案）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腾讯云 buy.cloud.tencent.com/domain
阿里云 wanwang.aliyun.com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SSL 证书（小程序要求 HTTPS，初期可用免费证书）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腾讯云 console.cloud.tencent.com/ssl
阿里云 SSL 证书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腾讯云 COS（对象存储，存课程封面/Banner/头像等图片）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console.cloud.tencent.com/cos5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微信支付（课程付费购买，需注册商户号）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商户平台 pay.weixin.qq.com
公众平台 mp.weixin.qq.com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腾讯云 VOD（云点播，视频上传转码播放）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console.cloud.tencent.com/vod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微信公众号（服务号，用于微信登录+微信支付）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mp.weixin.qq.com → 注册服务号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微信小程序（注册+认证，学员端）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mp.weixin.qq.com → 注册小程序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小程序备案（工信部要求，未备案无法上架）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小程序后台 → 设置 → 备案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腾讯位置服务（地图选点，可选）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lbs.qq.com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腾讯云短信（手机验证码登录，可选）</w:t>
            </w:r>
          </w:p>
        </w:tc>
        <w:tc>
          <w:tcPr>
            <w:tcW w:type="dxa" w:w="48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console.cloud.tencent.com/smsv2</w:t>
            </w:r>
          </w:p>
        </w:tc>
      </w:tr>
    </w:tbl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2026-05-31T13:33:55.505Z</dcterms:created>
  <dcterms:modified xsi:type="dcterms:W3CDTF">2026-05-31T13:33:55.507Z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