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散点导入到动态编辑、全幅地形专题图、局部坡面、剖面与土方量测、TIN/GRID/等高线转换、约束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0.22.0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0.22.0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0.22.0：全幅 GRID 专题已支持分块多线程、进度、安全取消以及 z-factor/光照/线程/块高参数；选项结构仍为 80 字节，旧零初始化调用兼容。同步接口、专题导出、剖面、土方、GDAL 与约束事务保持兼容。双表面土方、局部 CDT 和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0.22 功能边界  </w:t>
      </w:r>
      <w:r>
        <w:rPr>
          <w:rFonts w:ascii="Calibri" w:hAnsi="Calibri" w:eastAsia="Microsoft YaHei"/>
        </w:rPr>
        <w:t>当前程序已提供二维/三维浏览、分块多线程且可取消的全幅坡度/坡向/阴影专题表达和导出，并可配置 z-factor、光照、线程数和块高；单点坡面、剖面、水平基准土方、TIN/GRID/等高线转换、DCDT 与约束编辑继续可用，GDAL 构建可交换 GeoTIFF/COG 和 GeoPackage。生产级双表面土方、流式 GRID 和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24.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25.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6.6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表面插值。v0.22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2000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全幅坡度/坡向/阴影专题图与导出 → 单击坡度/坡向与法向 → 任意 A—B 剖面与 CSV → 多边形面积/土方量测、改基准面与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浏览，可取消、显示进度且可配置 z-factor/光照角/线程/块高的分块并行坡度、坡向和阴影专题图，以及 TIN/CDT/GRID 局部坡面、剖面、水平基准土方、格式转换、GDAL 交换及约束编辑。后续重点是 GRID 映射文件与流式瓦片输出、局部 CDT 更新、现状面—设计面精确土方、误差控制、可配置图层样式、GPU 分块 LOD 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0.22.0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散点导入到动态编辑、全幅地形专题图、局部坡面、剖面与土方量测、TIN/GRID/等高线转换、约束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