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散点导入到动态编辑、TIN/GRID/等高线转换、三维漫游与数据保存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0.6.0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0.6.0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导入、TIN/GRID/等高线图层、2D/3D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0.6.0：已提供普通 Delaunay TIN、GRID、TIN/GRID 等高线、异步转换任务、CRS WKT、可选 GeoTIFF/COG/GeoPackage 交换，以及 Win32 2D/3D 地形查看、TIN/GRID/等高线图层与文本交换。约束线、外边界、孔洞、约束 Delaunay 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0.6 功能边界  </w:t>
      </w:r>
      <w:r>
        <w:rPr>
          <w:rFonts w:ascii="Calibri" w:hAnsi="Calibri" w:eastAsia="Microsoft YaHei"/>
        </w:rPr>
        <w:t>当前程序已提供二维 TIN 编辑、透视三维 TIN 查看，以及 TIN/GRID/等高线二维图层、自动转换和 DGRID/DCONTOUR 文本交换。GeoTIFF/GeoPackage 尚未接入 GUI 菜单，本程序也不替代生产级 GPU/LOD 渲染器。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8.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9.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10.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11.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12.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状态栏图层标记显示 TGC，画布同时显示 GRID 高程着色、TIN 网线和等高线；保存后的 .dtmesh、.dgrid 或 .dcontour 可以重新打开。</w:t>
      </w:r>
    </w:p>
    <w:p>
      <w:r>
        <w:br w:type="page"/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TIN→GRID、GRID→TIN、从 TIN/GRID 自动生成等高线。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导入或导出 DGRID、DCONTOUR 文本。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 高程着色和等高线。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r>
        <w:br w:type="page"/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 与等高线图层</w:t>
      </w:r>
    </w:p>
    <w:p>
      <w:r>
        <w:rPr>
          <w:rFonts w:ascii="Calibri" w:hAnsi="Calibri" w:eastAsia="Microsoft YaHei"/>
        </w:rPr>
        <w:t>TIN→GRID 自动按 TIN 范围建立最长边 401 节点、保持 XY 比例的规则网；TIN/GRID→等高线会按高程范围选择 1、2、5×10ⁿ 系列的易读等高距，目标约 12 个级别。GRID→TIN 显式允许跳过 NoData 并跨空白区域构网，因此真正的孔洞和硬边界仍需后续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TIN/GRID 改变后应重新生成。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“全图”按所有可见二维图层的联合范围适屏。状态栏中的 T/G/C 分别表示当前可见且存在的 TIN、GRID、等高线。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格式边界  </w:t>
      </w:r>
      <w:r>
        <w:rPr>
          <w:rFonts w:ascii="Calibri" w:hAnsi="Calibri" w:eastAsia="Microsoft YaHei"/>
        </w:rPr>
        <w:t>GUI 当前只接入 DGRID/DCONTOUR 文本；DLL 已提供的 GeoTIFF/COG/GeoPackage 接口将在后续菜单中开放。</w:t>
      </w:r>
    </w:p>
    <w:p>
      <w:pPr>
        <w:pStyle w:val="Heading2"/>
      </w:pPr>
      <w:r>
        <w:t>8.4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 线框预算约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演示程序显式允许跨空白构网；真实孔洞和硬边界应等待 CDT 后端。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查询与动态编辑 → TIN→GRID → GRID 等高线 → T/G/C 图层显隐 → 3D 漫游 → 返回 2D → 分别保存 DTMESH、DGRID、DCONTOUR。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 TIN 查看，以及二维 TIN/GRID/等高线图层、转换和文本交换。后续生产级 GUI 将增加真正的图层树与样式面板、GeoTIFF/COG/GeoPackage 菜单、GPU 分块 LOD、拾取测量、光照纹理、贴地碰撞和后台流式加载。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0.6.0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散点导入到动态编辑、TIN/GRID/等高线转换、三维漫游与数据保存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