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0.13.0  |  2026-07-17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0.13.0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0.13.0：Win32 GUI 已接入 GeoTIFF/COG GRID 与 GeoPackage 等高线交换，并保留等高线反向转换和原子批量约束事务。GDAL 菜单按运行环境驱动能力启用；真正局部 CDT 更新和生产级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dt_cdt_handle。v0.13 单项约束编辑仍采用候选网全量重建；批量事务把 N 次重建降为 1 次，但尚未达到百万点实时局部 CDT 编辑。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GUI 集成  </w:t>
      </w:r>
      <w:r>
        <w:rPr>
          <w:rFonts w:ascii="Calibri" w:hAnsi="Calibri" w:eastAsia="Microsoft YaHei"/>
        </w:rPr>
        <w:t>v0.13 的演示程序启动时探测 GTiff、COG、GPKG 驱动，按能力启用五个数据交换菜单。栅格导入只替换 GRID，GeoPackage 导入只替换等高线，普通 TIN、CDT 和无关图层保持不变。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v0.12 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往返。GDAL 构建还执行 GTiff、COG、GPKG 驱动探测和真实文件往返。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0.13.0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