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0.4.0  |  2026-07-15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0.4.0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2026-07-15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0.4.0：已提供普通 Delaunay TIN、GRID、TIN/GRID 等高线、异步转换任务、CRS WKT，以及可选 GeoTIFF/COG/GeoPackage 交换。约束线、外边界、孔洞、约束 Delaunay 和三维 GUI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TIN→GRID、GRID→TIN，以及 TIN/GRID→等高线和 DCONTOUR 文本往返。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等高线是派生表达；0.4 尚未实现等高线反推 TIN/GRID。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当前重建普通 Delaunay；遇到 NoData 默认拒绝，显式允许时可能跨空洞构网。严格边界、孔洞和强制约束边计划由后续约束 Delaunay 后端提供。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</w:tbl>
    <w:p>
      <w:pPr>
        <w:spacing w:before="0" w:after="40"/>
      </w:pPr>
    </w:p>
    <w:p>
      <w:r>
        <w:br w:type="page"/>
      </w: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 同步转换和等高线生成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测试覆盖生命周期、批量建网、最近点、点定位、范围查询、动态插入/删除、高程更新、DTIN 往返、XYZ 导入、DTMESH 往返、TIN/GRID 转换、CRS 传播、等高线拼接、DGRID/DCONTOUR 往返、异步任务及随机编辑序列。GDAL 构建还执行 GTiff、COG、GPKG 驱动探测和真实文件往返。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许可证与后续路线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p>
      <w:r>
        <w:rPr>
          <w:rFonts w:ascii="Calibri" w:hAnsi="Calibri" w:eastAsia="Microsoft YaHei"/>
        </w:rPr>
        <w:t>当前已完成可选 GDAL/PROJ 数据交换层。下一阶段将增加折线约束、地形外边界、孔洞、约束顶点保护规则和约束数据文件块；随后建设 Qt/VTK 三维图层、拾取与漫游。稳定 C ABI 不暴露 CGAL/GDAL 类型，可在保持现有调用方兼容的前提下扩展。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0.4.0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