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散点导入到动态编辑、全幅地形专题图、局部坡面、剖面与土方量测、TIN/GRID/等高线转换、约束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0.20.0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0.20.0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0.20.0：稳定 C ABI 在普通 TIN、约束 CDT 和仿射 GRID 的局部坡面分析基础上，新增全幅 GRID 坡度、坡向与阴影地形派生；Win32 GUI 提供固定量纲专题色带、图例、高程/专题切换及 DGRID/GeoTIFF 导出，并保留剖面、面积/土方、GDAL 交换、等高线反向转换和原子批量约束事务。工程级双表面土方、真正局部 CDT 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0.20 功能边界  </w:t>
      </w:r>
      <w:r>
        <w:rPr>
          <w:rFonts w:ascii="Calibri" w:hAnsi="Calibri" w:eastAsia="Microsoft YaHei"/>
        </w:rPr>
        <w:t>当前程序已提供二维/三维浏览、全幅坡度/坡向/阴影专题表达和导出、单击坡度/下坡坡向/单位法向分析、任意直线剖面、多边形面积/水平基准面挖填方与 CSV 导出、TIN/GRID/等高线双向转换、DCDT 打开保存、约束编辑和 CDT 影响区显示；启用 GDAL 后可交换 GeoTIFF/COG GRID、专题 GeoTIFF 与 GeoPackage 等高线。生产级双表面土方和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选择‘分析→生成全幅坡度专题图’，观察固定色带和右上图例；再依次查看坡向和阴影地形，并用‘恢复显示高程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24.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25.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6.6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3.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选择‘生成阴影地形图（315°/45°）’，查看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5.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6.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表面插值。v0.20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2000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依次生成全幅坡度、坡向和阴影专题图，检查固定图例；导出 DGRID，GDAL 构建再导出专题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全幅坡度/坡向/阴影专题图与导出 → 单击坡度/坡向与法向 → 任意 A—B 剖面与 CSV → 多边形面积/土方量测、改基准面与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浏览，全幅坡度/坡向/阴影专题图，TIN/CDT/GRID 局部坡面分析、剖面、水平基准土方、格式转换、GDAL 交换及约束编辑。后续重点是异步分块专题计算、局部 CDT 更新、现状面—设计面精确土方、误差控制、可配置图层样式、GPU 分块 LOD 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0.20.0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散点导入到动态编辑、全幅地形专题图、局部坡面、剖面与土方量测、TIN/GRID/等高线转换、约束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