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aps w:val="true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aps w:val="true"/>
          <w:color w:val="000000"/>
          <w:spacing w:val="0"/>
          <w:position w:val="0"/>
          <w:sz w:val="28"/>
          <w:shd w:fill="auto" w:val="clear"/>
        </w:rPr>
        <w:t xml:space="preserve">МИНОБРНАУКИ РОССИИ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aps w:val="true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aps w:val="true"/>
          <w:color w:val="000000"/>
          <w:spacing w:val="0"/>
          <w:position w:val="0"/>
          <w:sz w:val="28"/>
          <w:shd w:fill="auto" w:val="clear"/>
        </w:rPr>
        <w:t xml:space="preserve">Санкт-Петербургский государственный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aps w:val="true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aps w:val="true"/>
          <w:color w:val="000000"/>
          <w:spacing w:val="0"/>
          <w:position w:val="0"/>
          <w:sz w:val="28"/>
          <w:shd w:fill="auto" w:val="clear"/>
        </w:rPr>
        <w:t xml:space="preserve">электротехнический университет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aps w:val="true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aps w:val="true"/>
          <w:color w:val="000000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aps w:val="true"/>
          <w:color w:val="000000"/>
          <w:spacing w:val="0"/>
          <w:position w:val="0"/>
          <w:sz w:val="28"/>
          <w:shd w:fill="auto" w:val="clear"/>
        </w:rPr>
        <w:t xml:space="preserve">ЛЭТИ</w:t>
      </w:r>
      <w:r>
        <w:rPr>
          <w:rFonts w:ascii="Times New Roman" w:hAnsi="Times New Roman" w:cs="Times New Roman" w:eastAsia="Times New Roman"/>
          <w:b/>
          <w:caps w:val="true"/>
          <w:color w:val="000000"/>
          <w:spacing w:val="0"/>
          <w:position w:val="0"/>
          <w:sz w:val="28"/>
          <w:shd w:fill="auto" w:val="clear"/>
        </w:rPr>
        <w:t xml:space="preserve">» </w:t>
      </w:r>
      <w:r>
        <w:rPr>
          <w:rFonts w:ascii="Times New Roman" w:hAnsi="Times New Roman" w:cs="Times New Roman" w:eastAsia="Times New Roman"/>
          <w:b/>
          <w:caps w:val="true"/>
          <w:color w:val="000000"/>
          <w:spacing w:val="0"/>
          <w:position w:val="0"/>
          <w:sz w:val="28"/>
          <w:shd w:fill="auto" w:val="clear"/>
        </w:rPr>
        <w:t xml:space="preserve">им. В.И. Ульянова (Ленина)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Кафедра вычислительной техники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aps w:val="true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aps w:val="true"/>
          <w:color w:val="000000"/>
          <w:spacing w:val="5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aps w:val="true"/>
          <w:color w:val="000000"/>
          <w:spacing w:val="5"/>
          <w:position w:val="0"/>
          <w:sz w:val="28"/>
          <w:shd w:fill="auto" w:val="clear"/>
        </w:rPr>
        <w:t xml:space="preserve">отчет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по использованию ИИ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по дисциплине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Объектно-ориентированное программирование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»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tbl>
      <w:tblPr/>
      <w:tblGrid>
        <w:gridCol w:w="4348"/>
        <w:gridCol w:w="2609"/>
        <w:gridCol w:w="2897"/>
      </w:tblGrid>
      <w:tr>
        <w:trPr>
          <w:trHeight w:val="614" w:hRule="auto"/>
          <w:jc w:val="left"/>
        </w:trPr>
        <w:tc>
          <w:tcPr>
            <w:tcW w:w="434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Студент гр. 4311</w:t>
            </w:r>
          </w:p>
        </w:tc>
        <w:tc>
          <w:tcPr>
            <w:tcW w:w="2609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89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Ласков С. В.</w:t>
            </w:r>
          </w:p>
        </w:tc>
      </w:tr>
      <w:tr>
        <w:trPr>
          <w:trHeight w:val="614" w:hRule="auto"/>
          <w:jc w:val="left"/>
        </w:trPr>
        <w:tc>
          <w:tcPr>
            <w:tcW w:w="434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Преподаватель</w:t>
            </w:r>
          </w:p>
        </w:tc>
        <w:tc>
          <w:tcPr>
            <w:tcW w:w="2609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89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Лазарев Э. А.</w:t>
            </w:r>
          </w:p>
        </w:tc>
      </w:tr>
    </w:tbl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2836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Санкт-Петербург</w:t>
      </w:r>
    </w:p>
    <w:p>
      <w:pPr>
        <w:spacing w:before="0" w:after="0" w:line="240"/>
        <w:ind w:right="0" w:left="3545" w:firstLine="709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2025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Применение современных технологий ИИ в разработке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Цель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: Продемонстрировать применение современных языковых моделей ИИ в качестве интеллектуального помощника при выполнении курсового проекта по ООП для ускорения проектирования интерфейса, генерации шаблонов объектной модели и структурирования программной документации в соответствии с ГОСТ и методическими указаниями.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Характеристики использованной модели ИИ: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Модель ИИ: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Gemini (Multimodal Large Language Model)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Разработчик: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Google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Архитектура: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Мультимодальная нейросетевая архитектура, способная обрабатывать текст, код и изображения одновременно.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Контекстное окно: до 2 млн токенов (в зависимости от версии), что позволяет модели анализировать весь проект целиком, включая код всех классов и методические указания.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Специализация: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Высокая точность в логическом выводе, написании кода на Java и соблюдении строгих структурных форматов (UML-описания, ТЗ).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Ключевые возможности, использованные в работе: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Проектирование архитектуры: Генерация описаний для Use Case и Sequence диаграмм на основе функциональных требований к АРМ кинотеатра.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Генерация кода (Code Generation):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Создание базовых структур классов (Movie, Session, Ticket) и шаблонов GUI на Java Swing.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Рефакторинг и разделение на слои: Получение рекомендаций по внедрению Layered Architecture (разделение на пакеты gui, repository, service).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Документирование: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Адаптация текстов разделов пояснительной записки под конкретную предметную область (замена школьных терминов на терминологию кинотеатра) с сохранением академического стиля.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Лабораторные работы: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Лабораторная работа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32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1: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Знакомство со средой разработки Java-приложений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Использование ИИ: Генерация примеров кода для консольного приложения, автоматическое создание шаблонов Javadoc-комментариев, помощь в настройке окружения Eclipse, проверка синтаксиса и структуры метода main.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Доля участия ИИ: 28%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Лабораторная работа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32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2: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Разработка интерфейса пользователя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Использование ИИ: Генерация макета экранной формы на основе описания, подбор графических компонентов (JFrame, JButton, JTable и др.), создание каркаса класса с использованием Swing, рекомендации по компоновке (BorderLayout, FlowLayout).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Доля участия ИИ: 38%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Лабораторная работа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32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3: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Обработка событий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Использование ИИ: Автоматическая генерация кода слушателей событий (ActionListener, MouseListener), создание примеров обработки нажатий кнопок и других UI-событий, проверка корректности подключения слушателей.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Доля участия ИИ: 35%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Лабораторная работа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32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4: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Обработка исключений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Использование ИИ: Генерация пользовательских классов исключений, создание шаблонов блоков try-catch, рекомендации по использованию спецификации throws, примеры обработки стандартных исключений (NullPointerException, IOException).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Доля участия ИИ: 32%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Лабораторная работа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32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5: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Сохранение и загрузка данных из файла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Использование ИИ: Генерация кода для работы с файлами через BufferedReader/BufferedWriter, создание диалоговых окон выбора файла (FileDialog), примеры обработки исключений ввода-вывода, оптимизация формата CSV.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Доля участия ИИ: 36%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Лабораторная работа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32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6: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Обработка XML-документов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Использование ИИ: Создание структуры XML-документа, генерация кода для DOM-парсера, написание методов чтения/записи XML-файлов, проверка корректности XPath-запросов.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Доля участия ИИ: 40%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Лабораторная работа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32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7: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Построение отчетов в PDF- и HTML-форматах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Использование ИИ: Помощь в настройке JasperReports и iReport Designer, генерация шаблонов отчётов (jrxml), создание методов экспорта в PDF/HTML, проверка корректности подключения библиотек.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Доля участия ИИ: 37%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Лабораторная работа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32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8: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Организация многопоточных приложений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Использование ИИ: Генерация классов потоков через Thread и Runnable, создание примеров синхронизации (synchronized, wait, notify), помощь в проектировании взаимодействия потоков.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Доля участия ИИ: 33%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Лабораторная работа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32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9: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Модульное тестирование приложения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Использование ИИ: Автоматическое создание JUnit-тестов для методов приложения, генерация аннотаций (@Test, @Before, @After), помощь в написании assert-проверок, примеры тестирования исключений.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Доля участия ИИ: 30%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Лабораторная работа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32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10: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Протоколирование работы приложения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Использование ИИ: Настройка конфигурационного файла log4j.properties, генерация кода для логирования (Logger, PatternLayout), создание примеров вывода сообщений разных уровней (INFO, DEBUG, ERROR).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Доля участия ИИ: 34%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Курсовая работа:</w:t>
        <w:br/>
      </w:r>
      <w:r>
        <w:object w:dxaOrig="8949" w:dyaOrig="6985">
          <v:rect xmlns:o="urn:schemas-microsoft-com:office:office" xmlns:v="urn:schemas-microsoft-com:vml" id="rectole0000000000" style="width:447.450000pt;height:349.2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  <w:r>
        <w:object w:dxaOrig="8524" w:dyaOrig="5973">
          <v:rect xmlns:o="urn:schemas-microsoft-com:office:office" xmlns:v="urn:schemas-microsoft-com:vml" id="rectole0000000001" style="width:426.200000pt;height:298.6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Вывод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Инструменты ИИ не заменили процесс обучения и глубокого понимания принципов объектно-ориентированного программирования, но послужили эффективным интеллектуальным ассистентом. Это позволило автоматизировать выполнение типовых задач, минимизировать вероятность синтаксических ошибок и сосредоточить основное внимание на содержательной части проекта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архитектурном проектировании, интеграции компонентов и комплексном тестировании системы. Опыт использования ИИ в учебном проекте подтвердил его высокую ценность как вспомогательного ресурса в профессиональной подготовке будущих IT-специалистов.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styles.xml" Id="docRId5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numbering.xml" Id="docRId4" Type="http://schemas.openxmlformats.org/officeDocument/2006/relationships/numbering" /></Relationships>
</file>