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br/>
        <w:t>以上の内特に、徳島城博物館所蔵の加藤嘉明関係史料は、影写本段階では把握されていたものの、その後行方不明になっていた文書であり、再発見された意義は極めて大きい。</w:t>
        <w:br/>
        <w:t>ただ、新型コロナウィルス流行により、その他予定していた調査を行うことができず、次年度に繰り越さざるを得なかった。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