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長村祥知（京都府京都文化博物館・学芸員）</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有賀茜(京都府京都文化博物館・学芸員)・梅沢恵（神奈川県立金沢文庫・主任学芸員）・小倉嘉夫（大阪青山歴史文学博物館 ・主任学芸員）・西谷功（泉涌寺宝物館心照殿・学芸員）・貫井裕恵（神奈川県立金沢文庫・学芸員）・山岡瞳（京都府立大学・共同研究員）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承久の乱とは、承久三年（一二二一）五月、後鳥羽院が鎌倉幕府執権 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は、この承久の乱に関する史料の原本調査に取り組む。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br/>
        <w:t>具体的には、史料所有者・管理者の権利・意向や規程を尊重した上で、史料原本の熟覧調査、カラー写真の撮影、厳密な翻刻文を作成し、その成果を展示・書籍・報告書・論文等を通して広く社会に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本課題の共同研究員の専門分野は、日本中世の政治史・法制史・宗教史・対外交流史・文学史・絵画史や日本近世の文学史・絵画史といった諸分野にまたがる。その強みを活かして、古文書・古記録のみならず、古典籍・古筆切・和歌懐紙・聖教・屏風絵・肖像画・絵巻・古絵図・瓦・彫像・刀剣といった様々な歴史的諸資料の原本・実物の調査を進めた。そして、後鳥羽院と鎌倉幕府、承久の乱について、政治・社会・文化など多角的な視角から検討を加えた。</w:t>
        <w:br/>
        <w:t>主要な成果として、以下の点が挙げられる。</w:t>
        <w:br/>
        <w:t>・従来は翻刻が知られるのみで原本情報が不分明であった「山内家文書」（個人蔵〈山口県文書館〉　＊この表記は同館の指示による）のうち、巻子装となっている古文書30通や系図2巻について、所内共同研究者が撮影した全巻カラー写真と装丁・寸法等の調査知見を公刊した。</w:t>
        <w:br/>
        <w:t>・従来は『大日本史料』に翻刻が分載され、部分写真のみが掲載公刊されている「承久三、四年日次記残闕」（仁和寺蔵）の全巻カラー写真と装丁・寸法等の調査知見を公刊した。</w:t>
        <w:br/>
        <w:t>・美術を専門とする所外共同研究員と共同で調査を進めることで、「熊野本地仏曼荼羅」（聖護院門跡蔵）が鎌倉時代の制作と考えられることや、「曽我物語絵巻」（神奈川県立歴史博物館蔵）と「承久記絵巻」（個人蔵）の制作環境が近いこと等が明らかとなった。</w:t>
        <w:br/>
        <w:t>・1939年に恩賜京都博物館（現京都国立博物館）で展示された後、所在不明となっていた「承久記絵巻」全6巻（個人蔵）を再発見し、主要な部分に解説を加えて展示・図録掲載した。</w:t>
        <w:br/>
        <w:t>・後鳥羽院の文化史上の再評価を試み、大陸由来の新しい宗教の動きに関心を示したことや、後鳥羽撰の『時代不同歌合』が歌仙絵の展開に重要な位置を占めることなど、従来看過されてきた宗教的事蹟や文化史上の意義に注目し、展示や図録を通して一般の方に紹介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