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渡辺美季（東京大学大学院総合文化研究科・准教授）</w:t>
      </w:r>
    </w:p>
    <w:p w14:paraId="57586FE8" w14:textId="0D959E33" w:rsidR="003659EF" w:rsidRDefault="003659EF" w:rsidP="003659EF">
      <w:pPr>
        <w:ind w:left="2401" w:hangingChars="900" w:hanging="2401"/>
      </w:pPr>
      <w:r>
        <w:t xml:space="preserve">　所内共同研究者　須田牧子（中世史料部門・准教授）</w:t>
        <w:br/>
        <w:t>黒嶋敏 （中世史料部門・准教授）</w:t>
        <w:br/>
        <w:t>岡本真 （特殊史料部門・准教授）</w:t>
      </w:r>
    </w:p>
    <w:p w14:paraId="76C9EDF8" w14:textId="79D3587F" w:rsidR="003659EF" w:rsidRDefault="003659EF" w:rsidP="003659EF">
      <w:pPr>
        <w:ind w:left="2401" w:hangingChars="900" w:hanging="2401"/>
      </w:pPr>
      <w:r>
        <w:t xml:space="preserve">　所外共同研究者　荒木和憲（国立歴史民俗博物館・准教授）</w:t>
        <w:br/>
        <w:t>辻大和（横浜国立大学大学院都市イノベーション研究院・准教授）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①形式・作成・発給に関わる中国側の諸規定を調査・把握し、②それらの規定と編纂所の所蔵史料との対照調査を行った上で、③台湾の中央研究院・国立故宮博物院において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2019年度メンバーに加え、朝鮮史の専門家も加わったことで、明清代中国・朝鮮・日本といった同時代東アジア諸国の発給文書をより複眼的な視野で見通すことが出来るようになり、2019年度の台湾調査等を踏まえて、韓国調査の対象と意義も鮮明になった。調査が出来なかったのは残念であるが来年度を期したい。また2020年度の研究会での議論を生かし、現在、中央研究院所蔵の明清発給文書を中心に、簡単な解説を付したカラー刷での成果報告書を準備中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