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二三六万円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准教授）・川西孝男（関西学院大学・研究員）・久礼克季（川村学園女子大学・非常勤講師）・イサベル・田中・ファンダーレン・冨田暁（岡山大学・客員研究員）・中砂明徳（京都大学・教授）・鍋本由徳（日本大学・准教授）・野澤丈二（帝京大学・准教授）・橋本武久（京都産業大学・教授）・真下裕之（神戸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17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 xml:space="preserve">　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2回の主催研究会と共催研究会を開催し、会計史、東洋史、日本史、政治思想史、オランダ史など、学際的な討議を行うことができた。また、オランダ語史料の入門書の執筆を進め、執筆者が相互の執筆内容を内覧して検討する会も行うことができた。さらに、Corpus diplomaticum Neerlando-Indicumの翻訳を進め、大きな知見を得ることができた。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