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0DF4D" w14:textId="59088976" w:rsidR="00AB1E67" w:rsidRDefault="00000000">
      <w:pPr>
        <w:pStyle w:val="Heading1"/>
        <w:spacing w:before="360" w:after="120"/>
      </w:pPr>
      <w:r>
        <w:rPr>
          <w:rFonts w:ascii="Segoe UI" w:hAnsi="Segoe UI"/>
          <w:color w:val="005F5F"/>
          <w:sz w:val="40"/>
        </w:rPr>
        <w:t xml:space="preserve">🔬 </w:t>
      </w:r>
      <w:proofErr w:type="spellStart"/>
      <w:r>
        <w:rPr>
          <w:rFonts w:ascii="Segoe UI" w:hAnsi="Segoe UI"/>
          <w:color w:val="005F5F"/>
          <w:sz w:val="40"/>
        </w:rPr>
        <w:t>FinMetrics</w:t>
      </w:r>
      <w:proofErr w:type="spellEnd"/>
      <w:r>
        <w:rPr>
          <w:rFonts w:ascii="Segoe UI" w:hAnsi="Segoe UI"/>
          <w:color w:val="005F5F"/>
          <w:sz w:val="40"/>
        </w:rPr>
        <w:t xml:space="preserve"> Suite</w:t>
      </w:r>
      <w:r w:rsidR="00B128AD">
        <w:rPr>
          <w:rFonts w:ascii="Segoe UI" w:hAnsi="Segoe UI"/>
          <w:color w:val="005F5F"/>
          <w:sz w:val="40"/>
        </w:rPr>
        <w:t xml:space="preserve"> </w:t>
      </w:r>
      <w:r>
        <w:rPr>
          <w:rFonts w:ascii="Segoe UI" w:hAnsi="Segoe UI"/>
          <w:color w:val="005F5F"/>
          <w:sz w:val="40"/>
        </w:rPr>
        <w:t>— End-to-End User Manual</w:t>
      </w:r>
    </w:p>
    <w:p w14:paraId="36B380E3" w14:textId="77777777" w:rsidR="00AB1E67" w:rsidRDefault="00000000">
      <w:pPr>
        <w:spacing w:before="80" w:after="120"/>
      </w:pPr>
      <w:r>
        <w:rPr>
          <w:rFonts w:ascii="Calibri" w:hAnsi="Calibri"/>
          <w:color w:val="333333"/>
        </w:rPr>
        <w:t xml:space="preserve">&gt; </w:t>
      </w:r>
      <w:r>
        <w:rPr>
          <w:rFonts w:ascii="Calibri" w:hAnsi="Calibri"/>
          <w:b/>
          <w:color w:val="333333"/>
        </w:rPr>
        <w:t>AI-Powered Cross-Sectional Financial Analysis, Anomaly Detection &amp; Strategic Benchmarking for NSE-Listed Sectors and Private Clients.</w:t>
      </w:r>
    </w:p>
    <w:p w14:paraId="1F645E3B" w14:textId="77777777" w:rsidR="00AB1E67" w:rsidRDefault="00000000">
      <w:pPr>
        <w:pStyle w:val="Heading2"/>
        <w:spacing w:before="280" w:after="80"/>
      </w:pPr>
      <w:r>
        <w:rPr>
          <w:rFonts w:ascii="Segoe UI" w:hAnsi="Segoe UI"/>
          <w:color w:val="005F5F"/>
          <w:sz w:val="30"/>
        </w:rPr>
        <w:t>📖 Table of Contents</w:t>
      </w:r>
    </w:p>
    <w:p w14:paraId="687FC823" w14:textId="77777777" w:rsidR="00AB1E67" w:rsidRDefault="00000000">
      <w:pPr>
        <w:pStyle w:val="ListNumber"/>
        <w:spacing w:before="40" w:after="40"/>
      </w:pPr>
      <w:r>
        <w:rPr>
          <w:rFonts w:ascii="Calibri" w:hAnsi="Calibri"/>
          <w:color w:val="333333"/>
        </w:rPr>
        <w:t>[🚀 1. Executive Summary &amp; Value Proposition](#-1-executive-summary--value-proposition)</w:t>
      </w:r>
    </w:p>
    <w:p w14:paraId="092DC43B" w14:textId="77777777" w:rsidR="00AB1E67" w:rsidRDefault="00000000">
      <w:pPr>
        <w:pStyle w:val="ListNumber"/>
        <w:spacing w:before="40" w:after="40"/>
      </w:pPr>
      <w:r>
        <w:rPr>
          <w:rFonts w:ascii="Calibri" w:hAnsi="Calibri"/>
          <w:color w:val="333333"/>
        </w:rPr>
        <w:t>[⚙️ 2. Global Configuration &amp; Sidebar Control](#%EF%B8%8F-2-global-configuration--sidebar-control)</w:t>
      </w:r>
    </w:p>
    <w:p w14:paraId="3BCDB2EC" w14:textId="77777777" w:rsidR="00AB1E67" w:rsidRDefault="00000000">
      <w:pPr>
        <w:pStyle w:val="ListNumber"/>
        <w:spacing w:before="40" w:after="40"/>
      </w:pPr>
      <w:r>
        <w:rPr>
          <w:rFonts w:ascii="Calibri" w:hAnsi="Calibri"/>
          <w:color w:val="333333"/>
        </w:rPr>
        <w:t>[🏃 3. Core Analytical Workflows](#-3-core-analytical-workflows)</w:t>
      </w:r>
    </w:p>
    <w:p w14:paraId="5D55D702" w14:textId="77777777" w:rsidR="00AB1E67" w:rsidRDefault="00000000">
      <w:pPr>
        <w:pStyle w:val="ListBullet"/>
        <w:spacing w:before="40" w:after="40"/>
      </w:pPr>
      <w:r>
        <w:rPr>
          <w:rFonts w:ascii="Calibri" w:hAnsi="Calibri"/>
          <w:color w:val="333333"/>
        </w:rPr>
        <w:t>[Phase 1: Building Sector Benchmarks (e.g. AI: supermarket)](#phase-1-building-sector-benchmarks)</w:t>
      </w:r>
    </w:p>
    <w:p w14:paraId="4126484F" w14:textId="77777777" w:rsidR="00AB1E67" w:rsidRDefault="00000000">
      <w:pPr>
        <w:pStyle w:val="ListBullet"/>
        <w:spacing w:before="40" w:after="40"/>
      </w:pPr>
      <w:r>
        <w:rPr>
          <w:rFonts w:ascii="Calibri" w:hAnsi="Calibri"/>
          <w:color w:val="333333"/>
        </w:rPr>
        <w:t>[Phase 2: Standard Client CSV Comparison](#phase-2-standard-client-csv-comparison)</w:t>
      </w:r>
    </w:p>
    <w:p w14:paraId="74B0DDB5" w14:textId="77777777" w:rsidR="00AB1E67" w:rsidRDefault="00000000">
      <w:pPr>
        <w:pStyle w:val="ListBullet"/>
        <w:spacing w:before="40" w:after="40"/>
      </w:pPr>
      <w:r>
        <w:rPr>
          <w:rFonts w:ascii="Calibri" w:hAnsi="Calibri"/>
          <w:color w:val="333333"/>
        </w:rPr>
        <w:t>[Phase 3: TallySync Journal &amp; Ledger Ingestion](#phase-3-tallysync-journal--ledger-ingestion)</w:t>
      </w:r>
    </w:p>
    <w:p w14:paraId="40364EE2" w14:textId="77777777" w:rsidR="00AB1E67" w:rsidRDefault="00000000">
      <w:pPr>
        <w:pStyle w:val="ListNumber"/>
        <w:spacing w:before="40" w:after="40"/>
      </w:pPr>
      <w:r>
        <w:rPr>
          <w:rFonts w:ascii="Calibri" w:hAnsi="Calibri"/>
          <w:color w:val="333333"/>
        </w:rPr>
        <w:t>[🖥️ 4. Dashboard Tab-by-Tab Visual Reference](#-4-dashboard-tab-by-tab-visual-reference)</w:t>
      </w:r>
    </w:p>
    <w:p w14:paraId="7E7CFDC1" w14:textId="77777777" w:rsidR="00AB1E67" w:rsidRDefault="00000000">
      <w:pPr>
        <w:pStyle w:val="ListBullet"/>
        <w:spacing w:before="40" w:after="40"/>
      </w:pPr>
      <w:r>
        <w:rPr>
          <w:rFonts w:ascii="Calibri" w:hAnsi="Calibri"/>
          <w:color w:val="333333"/>
        </w:rPr>
        <w:t>[Home Tab &amp; Calibration Control](#home-tab)</w:t>
      </w:r>
    </w:p>
    <w:p w14:paraId="1C1FC429" w14:textId="77777777" w:rsidR="00AB1E67" w:rsidRDefault="00000000">
      <w:pPr>
        <w:pStyle w:val="ListBullet"/>
        <w:spacing w:before="40" w:after="40"/>
      </w:pPr>
      <w:r>
        <w:rPr>
          <w:rFonts w:ascii="Calibri" w:hAnsi="Calibri"/>
          <w:color w:val="333333"/>
        </w:rPr>
        <w:t>[Ratio Scorecard Tab (Kroger "KR" Case Study)](#ratio-scorecard-tab)</w:t>
      </w:r>
    </w:p>
    <w:p w14:paraId="09B513DE" w14:textId="77777777" w:rsidR="00AB1E67" w:rsidRDefault="00000000">
      <w:pPr>
        <w:pStyle w:val="ListBullet"/>
        <w:spacing w:before="40" w:after="40"/>
      </w:pPr>
      <w:r>
        <w:rPr>
          <w:rFonts w:ascii="Calibri" w:hAnsi="Calibri"/>
          <w:color w:val="333333"/>
        </w:rPr>
        <w:t>[Outliers Tab](#outliers-tab)</w:t>
      </w:r>
    </w:p>
    <w:p w14:paraId="02C7DD41" w14:textId="77777777" w:rsidR="00AB1E67" w:rsidRDefault="00000000">
      <w:pPr>
        <w:pStyle w:val="ListBullet"/>
        <w:spacing w:before="40" w:after="40"/>
      </w:pPr>
      <w:r>
        <w:rPr>
          <w:rFonts w:ascii="Calibri" w:hAnsi="Calibri"/>
          <w:color w:val="333333"/>
        </w:rPr>
        <w:t>[Peer Benchmark Tab](#peer-benchmark-tab)</w:t>
      </w:r>
    </w:p>
    <w:p w14:paraId="487FC388" w14:textId="77777777" w:rsidR="00AB1E67" w:rsidRDefault="00000000">
      <w:pPr>
        <w:pStyle w:val="ListBullet"/>
        <w:spacing w:before="40" w:after="40"/>
      </w:pPr>
      <w:r>
        <w:rPr>
          <w:rFonts w:ascii="Calibri" w:hAnsi="Calibri"/>
          <w:color w:val="333333"/>
        </w:rPr>
        <w:t>[Composite Score Tab](#composite-score-tab)</w:t>
      </w:r>
    </w:p>
    <w:p w14:paraId="687D05BC" w14:textId="77777777" w:rsidR="00AB1E67" w:rsidRDefault="00000000">
      <w:pPr>
        <w:pStyle w:val="ListBullet"/>
        <w:spacing w:before="40" w:after="40"/>
      </w:pPr>
      <w:r>
        <w:rPr>
          <w:rFonts w:ascii="Calibri" w:hAnsi="Calibri"/>
          <w:color w:val="333333"/>
        </w:rPr>
        <w:t>[Client Comparison Tab (Trial Balance, Scorecard, Composite, Distribution, SWOT)](#client-comparison-tab)</w:t>
      </w:r>
    </w:p>
    <w:p w14:paraId="1F51D929" w14:textId="77777777" w:rsidR="00AB1E67" w:rsidRDefault="00000000">
      <w:pPr>
        <w:pStyle w:val="ListBullet"/>
        <w:spacing w:before="40" w:after="40"/>
      </w:pPr>
      <w:r>
        <w:rPr>
          <w:rFonts w:ascii="Calibri" w:hAnsi="Calibri"/>
          <w:color w:val="333333"/>
        </w:rPr>
        <w:t>[Export Tab](#export-tab)</w:t>
      </w:r>
    </w:p>
    <w:p w14:paraId="2204C7E6" w14:textId="77777777" w:rsidR="00AB1E67" w:rsidRDefault="00000000">
      <w:pPr>
        <w:pStyle w:val="ListNumber"/>
        <w:spacing w:before="40" w:after="40"/>
      </w:pPr>
      <w:r>
        <w:rPr>
          <w:rFonts w:ascii="Calibri" w:hAnsi="Calibri"/>
          <w:color w:val="333333"/>
        </w:rPr>
        <w:t>[📸 5. Visual Asset Directory](#-5-visual-asset-directory)</w:t>
      </w:r>
    </w:p>
    <w:p w14:paraId="2C757967" w14:textId="77777777" w:rsidR="00AB1E67" w:rsidRDefault="00000000">
      <w:pPr>
        <w:pStyle w:val="Heading2"/>
        <w:spacing w:before="280" w:after="80"/>
      </w:pPr>
      <w:r>
        <w:rPr>
          <w:rFonts w:ascii="Segoe UI" w:hAnsi="Segoe UI"/>
          <w:color w:val="005F5F"/>
          <w:sz w:val="30"/>
        </w:rPr>
        <w:t>🚀 1. Executive Summary &amp; Value Proposition</w:t>
      </w:r>
    </w:p>
    <w:p w14:paraId="31BF3CC2" w14:textId="77777777" w:rsidR="00AB1E67" w:rsidRDefault="00000000">
      <w:pPr>
        <w:spacing w:before="80" w:after="120"/>
      </w:pPr>
      <w:r>
        <w:rPr>
          <w:rFonts w:ascii="Calibri" w:hAnsi="Calibri"/>
          <w:color w:val="333333"/>
        </w:rPr>
        <w:t>Traditional financial analysis suffers from major friction points: hours spent manually parsing PDF accounts, subjective normalization, and a lack of standardized benchmarking across peers.</w:t>
      </w:r>
    </w:p>
    <w:p w14:paraId="108ABE3D" w14:textId="77777777" w:rsidR="00AB1E67" w:rsidRDefault="00000000">
      <w:pPr>
        <w:spacing w:before="80" w:after="120"/>
      </w:pPr>
      <w:r>
        <w:rPr>
          <w:rFonts w:ascii="Calibri" w:hAnsi="Calibri"/>
          <w:color w:val="333333"/>
        </w:rPr>
        <w:t xml:space="preserve">The </w:t>
      </w:r>
      <w:r>
        <w:rPr>
          <w:rFonts w:ascii="Calibri" w:hAnsi="Calibri"/>
          <w:b/>
          <w:color w:val="333333"/>
        </w:rPr>
        <w:t>FinMetrics Suite v2.0</w:t>
      </w:r>
      <w:r>
        <w:rPr>
          <w:rFonts w:ascii="Calibri" w:hAnsi="Calibri"/>
          <w:color w:val="333333"/>
        </w:rPr>
        <w:t xml:space="preserve"> solves this by automating the entire pipeline from raw data collection to deep analytical scoring and narrative explanations in under 60 seconds.</w:t>
      </w:r>
    </w:p>
    <w:p w14:paraId="35B0E2E2" w14:textId="77777777" w:rsidR="00AB1E67" w:rsidRDefault="00000000">
      <w:pPr>
        <w:pStyle w:val="Heading3"/>
        <w:spacing w:after="40"/>
      </w:pPr>
      <w:r>
        <w:rPr>
          <w:rFonts w:ascii="Segoe UI" w:hAnsi="Segoe UI"/>
          <w:color w:val="333333"/>
          <w:sz w:val="24"/>
        </w:rPr>
        <w:t>The System Core Pillars:</w:t>
      </w:r>
    </w:p>
    <w:p w14:paraId="5DFCBED5" w14:textId="77777777" w:rsidR="00AB1E67" w:rsidRDefault="00000000">
      <w:pPr>
        <w:pStyle w:val="ListBullet"/>
        <w:spacing w:before="40" w:after="40"/>
      </w:pPr>
      <w:r>
        <w:rPr>
          <w:rFonts w:ascii="Calibri" w:hAnsi="Calibri"/>
          <w:b/>
          <w:color w:val="333333"/>
        </w:rPr>
        <w:t>Automated Ingestion</w:t>
      </w:r>
      <w:r>
        <w:rPr>
          <w:rFonts w:ascii="Calibri" w:hAnsi="Calibri"/>
          <w:color w:val="333333"/>
        </w:rPr>
        <w:t>: Directly fetches quarterly and annual statements for 100+ major NSE-listed companies across 13 sectors using Yahoo Finance (</w:t>
      </w:r>
      <w:r>
        <w:rPr>
          <w:rFonts w:ascii="Consolas" w:hAnsi="Consolas"/>
          <w:color w:val="B42850"/>
          <w:sz w:val="19"/>
        </w:rPr>
        <w:t>yfinance</w:t>
      </w:r>
      <w:r>
        <w:rPr>
          <w:rFonts w:ascii="Calibri" w:hAnsi="Calibri"/>
          <w:color w:val="333333"/>
        </w:rPr>
        <w:t>), normalized instantly via a 60+ field alias-mapping engine.</w:t>
      </w:r>
    </w:p>
    <w:p w14:paraId="4431DD33" w14:textId="77777777" w:rsidR="00AB1E67" w:rsidRDefault="00000000">
      <w:pPr>
        <w:pStyle w:val="ListBullet"/>
        <w:spacing w:before="40" w:after="40"/>
      </w:pPr>
      <w:r>
        <w:rPr>
          <w:rFonts w:ascii="Calibri" w:hAnsi="Calibri"/>
          <w:b/>
          <w:color w:val="333333"/>
        </w:rPr>
        <w:t>Statistical Outlier Scans</w:t>
      </w:r>
      <w:r>
        <w:rPr>
          <w:rFonts w:ascii="Calibri" w:hAnsi="Calibri"/>
          <w:color w:val="333333"/>
        </w:rPr>
        <w:t>: Implements Tukey Fences (IQR), robust standard deviations (Z-Score), and multi-variate unsupervised anomalies (Isolation Forest) to isolate erratic accounting cells.</w:t>
      </w:r>
    </w:p>
    <w:p w14:paraId="47FFD5FA" w14:textId="77777777" w:rsidR="00AB1E67" w:rsidRDefault="00000000">
      <w:pPr>
        <w:pStyle w:val="ListBullet"/>
        <w:spacing w:before="40" w:after="40"/>
      </w:pPr>
      <w:r>
        <w:rPr>
          <w:rFonts w:ascii="Calibri" w:hAnsi="Calibri"/>
          <w:b/>
          <w:color w:val="333333"/>
        </w:rPr>
        <w:lastRenderedPageBreak/>
        <w:t>Strategic Benchmarking</w:t>
      </w:r>
      <w:r>
        <w:rPr>
          <w:rFonts w:ascii="Calibri" w:hAnsi="Calibri"/>
          <w:color w:val="333333"/>
        </w:rPr>
        <w:t>: Calculates 30+ ratios spanning Liquidity, Profitability, Solvency, Efficiency, Growth, Valuation, and Cash Flow. Ratios are scored using robust outlier-resistant scaling.</w:t>
      </w:r>
    </w:p>
    <w:p w14:paraId="3CC0B99A" w14:textId="77777777" w:rsidR="00AB1E67" w:rsidRDefault="00000000">
      <w:pPr>
        <w:pStyle w:val="ListBullet"/>
        <w:spacing w:before="40" w:after="40"/>
      </w:pPr>
      <w:r>
        <w:rPr>
          <w:rFonts w:ascii="Calibri" w:hAnsi="Calibri"/>
          <w:b/>
          <w:color w:val="333333"/>
        </w:rPr>
        <w:t>Client Comparator</w:t>
      </w:r>
      <w:r>
        <w:rPr>
          <w:rFonts w:ascii="Calibri" w:hAnsi="Calibri"/>
          <w:color w:val="333333"/>
        </w:rPr>
        <w:t xml:space="preserve">: Benchmarks private companies (via standard CSV ratios or direct Tally ERP journal entries) directly against their public peer groups (e.g., matching the private </w:t>
      </w:r>
      <w:r>
        <w:rPr>
          <w:rFonts w:ascii="Calibri" w:hAnsi="Calibri"/>
          <w:b/>
          <w:color w:val="333333"/>
        </w:rPr>
        <w:t>FMCG Client</w:t>
      </w:r>
      <w:r>
        <w:rPr>
          <w:rFonts w:ascii="Calibri" w:hAnsi="Calibri"/>
          <w:color w:val="333333"/>
        </w:rPr>
        <w:t xml:space="preserve"> to the public </w:t>
      </w:r>
      <w:r>
        <w:rPr>
          <w:rFonts w:ascii="Calibri" w:hAnsi="Calibri"/>
          <w:b/>
          <w:color w:val="333333"/>
        </w:rPr>
        <w:t>AI: supermarket</w:t>
      </w:r>
      <w:r>
        <w:rPr>
          <w:rFonts w:ascii="Calibri" w:hAnsi="Calibri"/>
          <w:color w:val="333333"/>
        </w:rPr>
        <w:t xml:space="preserve"> peer group).</w:t>
      </w:r>
    </w:p>
    <w:p w14:paraId="489D245C" w14:textId="77777777" w:rsidR="00AB1E67" w:rsidRDefault="00000000">
      <w:pPr>
        <w:pStyle w:val="ListBullet"/>
        <w:spacing w:before="40" w:after="40"/>
      </w:pPr>
      <w:r>
        <w:rPr>
          <w:rFonts w:ascii="Calibri" w:hAnsi="Calibri"/>
          <w:b/>
          <w:color w:val="333333"/>
        </w:rPr>
        <w:t>SWOT Classifier</w:t>
      </w:r>
      <w:r>
        <w:rPr>
          <w:rFonts w:ascii="Calibri" w:hAnsi="Calibri"/>
          <w:color w:val="333333"/>
        </w:rPr>
        <w:t>: Converts comparative metrics into a strategic 2×2 SWOT matrix (Strengths, Weaknesses, Opportunities, Threats) featuring plain-English explanations.</w:t>
      </w:r>
    </w:p>
    <w:p w14:paraId="4F88A7FA" w14:textId="77777777" w:rsidR="00AB1E67" w:rsidRDefault="00000000">
      <w:pPr>
        <w:pStyle w:val="Heading2"/>
        <w:spacing w:before="280" w:after="80"/>
      </w:pPr>
      <w:r>
        <w:rPr>
          <w:rFonts w:ascii="Segoe UI" w:hAnsi="Segoe UI"/>
          <w:color w:val="005F5F"/>
          <w:sz w:val="30"/>
        </w:rPr>
        <w:t>⚙️ 2. Global Configuration &amp; Sidebar Control</w:t>
      </w:r>
    </w:p>
    <w:p w14:paraId="48A0F165" w14:textId="77777777" w:rsidR="00AB1E67" w:rsidRDefault="00000000">
      <w:pPr>
        <w:spacing w:before="80" w:after="120"/>
      </w:pPr>
      <w:r>
        <w:rPr>
          <w:rFonts w:ascii="Calibri" w:hAnsi="Calibri"/>
          <w:color w:val="333333"/>
        </w:rPr>
        <w:t xml:space="preserve">The sidebar acts as the global control center of the </w:t>
      </w:r>
      <w:r>
        <w:rPr>
          <w:rFonts w:ascii="Calibri" w:hAnsi="Calibri"/>
          <w:b/>
          <w:color w:val="333333"/>
        </w:rPr>
        <w:t>FinMetrics Suite v2.0</w:t>
      </w:r>
      <w:r>
        <w:rPr>
          <w:rFonts w:ascii="Calibri" w:hAnsi="Calibri"/>
          <w:color w:val="333333"/>
        </w:rPr>
        <w:t>. It manages security, performance, and clean memory states.</w:t>
      </w:r>
    </w:p>
    <w:tbl>
      <w:tblPr>
        <w:tblW w:w="0" w:type="auto"/>
        <w:jc w:val="center"/>
        <w:tblLayout w:type="fixed"/>
        <w:tblLook w:val="04A0" w:firstRow="1" w:lastRow="0" w:firstColumn="1" w:lastColumn="0" w:noHBand="0" w:noVBand="1"/>
      </w:tblPr>
      <w:tblGrid>
        <w:gridCol w:w="8640"/>
      </w:tblGrid>
      <w:tr w:rsidR="00AB1E67" w14:paraId="426E3E8B" w14:textId="77777777">
        <w:trPr>
          <w:jc w:val="center"/>
        </w:trPr>
        <w:tc>
          <w:tcPr>
            <w:tcW w:w="8640" w:type="dxa"/>
            <w:tcBorders>
              <w:left w:val="single" w:sz="36" w:space="0" w:color="005F5F"/>
            </w:tcBorders>
            <w:shd w:val="clear" w:color="auto" w:fill="E0F2F1"/>
          </w:tcPr>
          <w:p w14:paraId="615985C8" w14:textId="77777777" w:rsidR="00AB1E67" w:rsidRDefault="00000000">
            <w:pPr>
              <w:spacing w:before="120" w:after="120"/>
              <w:ind w:left="216" w:right="216"/>
            </w:pPr>
            <w:r>
              <w:rPr>
                <w:rFonts w:ascii="Segoe UI" w:hAnsi="Segoe UI"/>
                <w:b/>
                <w:color w:val="005F5F"/>
              </w:rPr>
              <w:t xml:space="preserve"> NOTE: </w:t>
            </w:r>
            <w:r>
              <w:rPr>
                <w:rFonts w:ascii="Calibri" w:hAnsi="Calibri"/>
                <w:color w:val="333333"/>
              </w:rPr>
              <w:t>All interface actions are designed to adapt instantly to your choices. The sidebar maintains persistent configurations across re-runs.</w:t>
            </w:r>
          </w:p>
        </w:tc>
      </w:tr>
    </w:tbl>
    <w:p w14:paraId="1A624220" w14:textId="77777777" w:rsidR="00AB1E67" w:rsidRDefault="00000000">
      <w:pPr>
        <w:pStyle w:val="Heading3"/>
        <w:spacing w:after="40"/>
      </w:pPr>
      <w:r>
        <w:rPr>
          <w:rFonts w:ascii="Segoe UI" w:hAnsi="Segoe UI"/>
          <w:color w:val="333333"/>
          <w:sz w:val="24"/>
        </w:rPr>
        <w:t>Sidebar Components &amp; Controls:</w:t>
      </w:r>
    </w:p>
    <w:p w14:paraId="468F811E" w14:textId="77777777" w:rsidR="00AB1E67" w:rsidRDefault="00000000">
      <w:pPr>
        <w:pStyle w:val="ListNumber"/>
        <w:spacing w:before="40" w:after="40"/>
      </w:pPr>
      <w:r>
        <w:rPr>
          <w:rFonts w:ascii="Calibri" w:hAnsi="Calibri"/>
          <w:b/>
          <w:color w:val="333333"/>
        </w:rPr>
        <w:t>AI Search Integration &amp; API Key Status</w:t>
      </w:r>
    </w:p>
    <w:p w14:paraId="0A593E48" w14:textId="77777777" w:rsidR="00AB1E67" w:rsidRDefault="00000000">
      <w:pPr>
        <w:pStyle w:val="ListBullet"/>
        <w:spacing w:before="40" w:after="40"/>
      </w:pPr>
      <w:r>
        <w:rPr>
          <w:rFonts w:ascii="Calibri" w:hAnsi="Calibri"/>
          <w:b/>
          <w:color w:val="333333"/>
        </w:rPr>
        <w:t>Description</w:t>
      </w:r>
      <w:r>
        <w:rPr>
          <w:rFonts w:ascii="Calibri" w:hAnsi="Calibri"/>
          <w:color w:val="333333"/>
        </w:rPr>
        <w:t>: Scans the environment variables (</w:t>
      </w:r>
      <w:r>
        <w:rPr>
          <w:rFonts w:ascii="Consolas" w:hAnsi="Consolas"/>
          <w:color w:val="B42850"/>
          <w:sz w:val="19"/>
        </w:rPr>
        <w:t>.env</w:t>
      </w:r>
      <w:r>
        <w:rPr>
          <w:rFonts w:ascii="Calibri" w:hAnsi="Calibri"/>
          <w:color w:val="333333"/>
        </w:rPr>
        <w:t xml:space="preserve"> file) or Streamlit secrets configuration for a valid </w:t>
      </w:r>
      <w:r>
        <w:rPr>
          <w:rFonts w:ascii="Consolas" w:hAnsi="Consolas"/>
          <w:color w:val="B42850"/>
          <w:sz w:val="19"/>
        </w:rPr>
        <w:t>GEMINI_API_KEY</w:t>
      </w:r>
      <w:r>
        <w:rPr>
          <w:rFonts w:ascii="Calibri" w:hAnsi="Calibri"/>
          <w:color w:val="333333"/>
        </w:rPr>
        <w:t>.</w:t>
      </w:r>
    </w:p>
    <w:p w14:paraId="1CB71697" w14:textId="77777777" w:rsidR="00AB1E67" w:rsidRDefault="00000000">
      <w:pPr>
        <w:pStyle w:val="ListBullet"/>
        <w:spacing w:before="40" w:after="40"/>
      </w:pPr>
      <w:r>
        <w:rPr>
          <w:rFonts w:ascii="Calibri" w:hAnsi="Calibri"/>
          <w:b/>
          <w:color w:val="333333"/>
        </w:rPr>
        <w:t>Visual Indicators</w:t>
      </w:r>
      <w:r>
        <w:rPr>
          <w:rFonts w:ascii="Calibri" w:hAnsi="Calibri"/>
          <w:color w:val="333333"/>
        </w:rPr>
        <w:t>:</w:t>
      </w:r>
    </w:p>
    <w:p w14:paraId="36EA6ECE" w14:textId="77777777" w:rsidR="00AB1E67" w:rsidRDefault="00000000">
      <w:pPr>
        <w:pStyle w:val="ListBullet"/>
        <w:spacing w:before="40" w:after="40"/>
      </w:pPr>
      <w:r>
        <w:rPr>
          <w:rFonts w:ascii="Calibri" w:hAnsi="Calibri"/>
          <w:color w:val="333333"/>
        </w:rPr>
        <w:t xml:space="preserve">🟢 </w:t>
      </w:r>
      <w:r>
        <w:rPr>
          <w:rFonts w:ascii="Consolas" w:hAnsi="Consolas"/>
          <w:color w:val="B42850"/>
          <w:sz w:val="19"/>
        </w:rPr>
        <w:t>API Key loaded securely.</w:t>
      </w:r>
      <w:r>
        <w:rPr>
          <w:rFonts w:ascii="Calibri" w:hAnsi="Calibri"/>
          <w:color w:val="333333"/>
        </w:rPr>
        <w:t xml:space="preserve"> — System is fully ready to perform natural-language AI Searches to locate public peer tickers.</w:t>
      </w:r>
    </w:p>
    <w:p w14:paraId="5AA9A768" w14:textId="77777777" w:rsidR="00AB1E67" w:rsidRDefault="00000000">
      <w:pPr>
        <w:pStyle w:val="ListBullet"/>
        <w:spacing w:before="40" w:after="40"/>
      </w:pPr>
      <w:r>
        <w:rPr>
          <w:rFonts w:ascii="Calibri" w:hAnsi="Calibri"/>
          <w:color w:val="333333"/>
        </w:rPr>
        <w:t xml:space="preserve">🟡 </w:t>
      </w:r>
      <w:r>
        <w:rPr>
          <w:rFonts w:ascii="Consolas" w:hAnsi="Consolas"/>
          <w:color w:val="B42850"/>
          <w:sz w:val="19"/>
        </w:rPr>
        <w:t>API Key not found in environment variables.</w:t>
      </w:r>
      <w:r>
        <w:rPr>
          <w:rFonts w:ascii="Calibri" w:hAnsi="Calibri"/>
          <w:color w:val="333333"/>
        </w:rPr>
        <w:t xml:space="preserve"> — System remains functional for local statistics, but AI Ticker Search is disabled.</w:t>
      </w:r>
    </w:p>
    <w:p w14:paraId="39882111" w14:textId="77777777" w:rsidR="00AB1E67" w:rsidRDefault="00000000">
      <w:pPr>
        <w:pStyle w:val="ListNumber"/>
        <w:spacing w:before="40" w:after="40"/>
      </w:pPr>
      <w:r>
        <w:rPr>
          <w:rFonts w:ascii="Calibri" w:hAnsi="Calibri"/>
          <w:b/>
          <w:color w:val="333333"/>
        </w:rPr>
        <w:t>Use Data Cache (Toggle)</w:t>
      </w:r>
    </w:p>
    <w:p w14:paraId="36694C50" w14:textId="77777777" w:rsidR="00AB1E67" w:rsidRDefault="00000000">
      <w:pPr>
        <w:pStyle w:val="ListBullet"/>
        <w:spacing w:before="40" w:after="40"/>
      </w:pPr>
      <w:r>
        <w:rPr>
          <w:rFonts w:ascii="Calibri" w:hAnsi="Calibri"/>
          <w:b/>
          <w:color w:val="333333"/>
        </w:rPr>
        <w:t>Description</w:t>
      </w:r>
      <w:r>
        <w:rPr>
          <w:rFonts w:ascii="Calibri" w:hAnsi="Calibri"/>
          <w:color w:val="333333"/>
        </w:rPr>
        <w:t xml:space="preserve">: When toggled </w:t>
      </w:r>
      <w:r>
        <w:rPr>
          <w:rFonts w:ascii="Calibri" w:hAnsi="Calibri"/>
          <w:b/>
          <w:color w:val="333333"/>
        </w:rPr>
        <w:t>ON</w:t>
      </w:r>
      <w:r>
        <w:rPr>
          <w:rFonts w:ascii="Calibri" w:hAnsi="Calibri"/>
          <w:color w:val="333333"/>
        </w:rPr>
        <w:t xml:space="preserve"> (default), the system reuses previously fetched company statements stored in parquet format under </w:t>
      </w:r>
      <w:r>
        <w:rPr>
          <w:rFonts w:ascii="Consolas" w:hAnsi="Consolas"/>
          <w:color w:val="B42850"/>
          <w:sz w:val="19"/>
        </w:rPr>
        <w:t>data/cache/</w:t>
      </w:r>
      <w:r>
        <w:rPr>
          <w:rFonts w:ascii="Calibri" w:hAnsi="Calibri"/>
          <w:color w:val="333333"/>
        </w:rPr>
        <w:t xml:space="preserve">. This avoids hitting </w:t>
      </w:r>
      <w:r>
        <w:rPr>
          <w:rFonts w:ascii="Consolas" w:hAnsi="Consolas"/>
          <w:color w:val="B42850"/>
          <w:sz w:val="19"/>
        </w:rPr>
        <w:t>yfinance</w:t>
      </w:r>
      <w:r>
        <w:rPr>
          <w:rFonts w:ascii="Calibri" w:hAnsi="Calibri"/>
          <w:color w:val="333333"/>
        </w:rPr>
        <w:t xml:space="preserve"> rate limits and cuts loading times from minutes to milliseconds.</w:t>
      </w:r>
    </w:p>
    <w:p w14:paraId="00A16951" w14:textId="77777777" w:rsidR="00AB1E67" w:rsidRDefault="00000000">
      <w:pPr>
        <w:pStyle w:val="ListBullet"/>
        <w:spacing w:before="40" w:after="40"/>
      </w:pPr>
      <w:r>
        <w:rPr>
          <w:rFonts w:ascii="Calibri" w:hAnsi="Calibri"/>
          <w:b/>
          <w:color w:val="333333"/>
        </w:rPr>
        <w:t>Cache TTL</w:t>
      </w:r>
      <w:r>
        <w:rPr>
          <w:rFonts w:ascii="Calibri" w:hAnsi="Calibri"/>
          <w:color w:val="333333"/>
        </w:rPr>
        <w:t>: Set to a standard 12 hours.</w:t>
      </w:r>
    </w:p>
    <w:p w14:paraId="4B51EA25" w14:textId="77777777" w:rsidR="00AB1E67" w:rsidRDefault="00000000">
      <w:pPr>
        <w:pStyle w:val="ListNumber"/>
        <w:spacing w:before="40" w:after="40"/>
      </w:pPr>
      <w:r>
        <w:rPr>
          <w:rFonts w:ascii="Calibri" w:hAnsi="Calibri"/>
          <w:b/>
          <w:color w:val="333333"/>
        </w:rPr>
        <w:t>Clear All Cache (Action Button)</w:t>
      </w:r>
    </w:p>
    <w:p w14:paraId="20905D3E" w14:textId="77777777" w:rsidR="00AB1E67" w:rsidRDefault="00000000">
      <w:pPr>
        <w:pStyle w:val="ListBullet"/>
        <w:spacing w:before="40" w:after="40"/>
      </w:pPr>
      <w:r>
        <w:rPr>
          <w:rFonts w:ascii="Calibri" w:hAnsi="Calibri"/>
          <w:b/>
          <w:color w:val="333333"/>
        </w:rPr>
        <w:t>Description</w:t>
      </w:r>
      <w:r>
        <w:rPr>
          <w:rFonts w:ascii="Calibri" w:hAnsi="Calibri"/>
          <w:color w:val="333333"/>
        </w:rPr>
        <w:t>: Deep-purges the system.</w:t>
      </w:r>
    </w:p>
    <w:p w14:paraId="5D55E39F" w14:textId="77777777" w:rsidR="00AB1E67" w:rsidRDefault="00000000">
      <w:pPr>
        <w:pStyle w:val="ListBullet"/>
        <w:spacing w:before="40" w:after="40"/>
      </w:pPr>
      <w:r>
        <w:rPr>
          <w:rFonts w:ascii="Calibri" w:hAnsi="Calibri"/>
          <w:b/>
          <w:color w:val="333333"/>
        </w:rPr>
        <w:t>Backend Actions</w:t>
      </w:r>
      <w:r>
        <w:rPr>
          <w:rFonts w:ascii="Calibri" w:hAnsi="Calibri"/>
          <w:color w:val="333333"/>
        </w:rPr>
        <w:t>:</w:t>
      </w:r>
    </w:p>
    <w:p w14:paraId="430A2B45" w14:textId="77777777" w:rsidR="00AB1E67" w:rsidRDefault="00000000">
      <w:pPr>
        <w:pStyle w:val="ListNumber"/>
        <w:spacing w:before="40" w:after="40"/>
      </w:pPr>
      <w:r>
        <w:rPr>
          <w:rFonts w:ascii="Calibri" w:hAnsi="Calibri"/>
          <w:color w:val="333333"/>
        </w:rPr>
        <w:t>Clears Streamlit's internal RAM caches (</w:t>
      </w:r>
      <w:r>
        <w:rPr>
          <w:rFonts w:ascii="Consolas" w:hAnsi="Consolas"/>
          <w:color w:val="B42850"/>
          <w:sz w:val="19"/>
        </w:rPr>
        <w:t>st.cache_data.clear()</w:t>
      </w:r>
      <w:r>
        <w:rPr>
          <w:rFonts w:ascii="Calibri" w:hAnsi="Calibri"/>
          <w:color w:val="333333"/>
        </w:rPr>
        <w:t xml:space="preserve">, </w:t>
      </w:r>
      <w:r>
        <w:rPr>
          <w:rFonts w:ascii="Consolas" w:hAnsi="Consolas"/>
          <w:color w:val="B42850"/>
          <w:sz w:val="19"/>
        </w:rPr>
        <w:t>st.cache_resource.clear()</w:t>
      </w:r>
      <w:r>
        <w:rPr>
          <w:rFonts w:ascii="Calibri" w:hAnsi="Calibri"/>
          <w:color w:val="333333"/>
        </w:rPr>
        <w:t>).</w:t>
      </w:r>
    </w:p>
    <w:p w14:paraId="782ACE1B" w14:textId="77777777" w:rsidR="00AB1E67" w:rsidRDefault="00000000">
      <w:pPr>
        <w:pStyle w:val="ListNumber"/>
        <w:spacing w:before="40" w:after="40"/>
      </w:pPr>
      <w:r>
        <w:rPr>
          <w:rFonts w:ascii="Calibri" w:hAnsi="Calibri"/>
          <w:color w:val="333333"/>
        </w:rPr>
        <w:t xml:space="preserve">Deletes and recreates the persistent Parquet file cache under </w:t>
      </w:r>
      <w:r>
        <w:rPr>
          <w:rFonts w:ascii="Consolas" w:hAnsi="Consolas"/>
          <w:color w:val="B42850"/>
          <w:sz w:val="19"/>
        </w:rPr>
        <w:t>data/cache/</w:t>
      </w:r>
      <w:r>
        <w:rPr>
          <w:rFonts w:ascii="Calibri" w:hAnsi="Calibri"/>
          <w:color w:val="333333"/>
        </w:rPr>
        <w:t>.</w:t>
      </w:r>
    </w:p>
    <w:p w14:paraId="1D31CC0F" w14:textId="77777777" w:rsidR="00AB1E67" w:rsidRDefault="00000000">
      <w:pPr>
        <w:pStyle w:val="ListNumber"/>
        <w:spacing w:before="40" w:after="40"/>
      </w:pPr>
      <w:r>
        <w:rPr>
          <w:rFonts w:ascii="Calibri" w:hAnsi="Calibri"/>
          <w:color w:val="333333"/>
        </w:rPr>
        <w:t xml:space="preserve">Deletes and recreates the benchmark database under </w:t>
      </w:r>
      <w:r>
        <w:rPr>
          <w:rFonts w:ascii="Consolas" w:hAnsi="Consolas"/>
          <w:color w:val="B42850"/>
          <w:sz w:val="19"/>
        </w:rPr>
        <w:t>data/benchmarks/</w:t>
      </w:r>
      <w:r>
        <w:rPr>
          <w:rFonts w:ascii="Calibri" w:hAnsi="Calibri"/>
          <w:color w:val="333333"/>
        </w:rPr>
        <w:t>.</w:t>
      </w:r>
    </w:p>
    <w:p w14:paraId="1A6E24CE" w14:textId="77777777" w:rsidR="00AB1E67" w:rsidRDefault="00000000">
      <w:pPr>
        <w:pStyle w:val="ListNumber"/>
        <w:spacing w:before="40" w:after="40"/>
      </w:pPr>
      <w:r>
        <w:rPr>
          <w:rFonts w:ascii="Calibri" w:hAnsi="Calibri"/>
          <w:color w:val="333333"/>
        </w:rPr>
        <w:t>Triggers a clean app reload.</w:t>
      </w:r>
    </w:p>
    <w:p w14:paraId="0E86C602" w14:textId="77777777" w:rsidR="00AB1E67" w:rsidRDefault="00000000">
      <w:pPr>
        <w:pStyle w:val="Heading2"/>
        <w:spacing w:before="280" w:after="80"/>
      </w:pPr>
      <w:r>
        <w:rPr>
          <w:rFonts w:ascii="Segoe UI" w:hAnsi="Segoe UI"/>
          <w:color w:val="005F5F"/>
          <w:sz w:val="30"/>
        </w:rPr>
        <w:lastRenderedPageBreak/>
        <w:t>🏃 3. Core Analytical Workflows</w:t>
      </w:r>
    </w:p>
    <w:p w14:paraId="63670607" w14:textId="77777777" w:rsidR="00AB1E67" w:rsidRDefault="00000000">
      <w:pPr>
        <w:spacing w:before="80" w:after="120"/>
      </w:pPr>
      <w:r>
        <w:rPr>
          <w:rFonts w:ascii="Calibri" w:hAnsi="Calibri"/>
          <w:color w:val="333333"/>
        </w:rPr>
        <w:t xml:space="preserve">The application operates as a dual-phase system: </w:t>
      </w:r>
      <w:r>
        <w:rPr>
          <w:rFonts w:ascii="Calibri" w:hAnsi="Calibri"/>
          <w:b/>
          <w:color w:val="333333"/>
        </w:rPr>
        <w:t>Phase 1</w:t>
      </w:r>
      <w:r>
        <w:rPr>
          <w:rFonts w:ascii="Calibri" w:hAnsi="Calibri"/>
          <w:color w:val="333333"/>
        </w:rPr>
        <w:t xml:space="preserve"> establishes the public sector baseline; </w:t>
      </w:r>
      <w:r>
        <w:rPr>
          <w:rFonts w:ascii="Calibri" w:hAnsi="Calibri"/>
          <w:b/>
          <w:color w:val="333333"/>
        </w:rPr>
        <w:t>Phase 2</w:t>
      </w:r>
      <w:r>
        <w:rPr>
          <w:rFonts w:ascii="Calibri" w:hAnsi="Calibri"/>
          <w:color w:val="333333"/>
        </w:rPr>
        <w:t xml:space="preserve"> hooks a private client to that baseline.</w:t>
      </w:r>
    </w:p>
    <w:p w14:paraId="025F2971" w14:textId="77777777" w:rsidR="00AB1E67" w:rsidRDefault="00AB1E67">
      <w:pPr>
        <w:spacing w:before="80" w:after="80"/>
      </w:pPr>
    </w:p>
    <w:tbl>
      <w:tblPr>
        <w:tblW w:w="0" w:type="auto"/>
        <w:jc w:val="center"/>
        <w:tblLook w:val="04A0" w:firstRow="1" w:lastRow="0" w:firstColumn="1" w:lastColumn="0" w:noHBand="0" w:noVBand="1"/>
      </w:tblPr>
      <w:tblGrid>
        <w:gridCol w:w="8640"/>
      </w:tblGrid>
      <w:tr w:rsidR="00AB1E67" w14:paraId="0EF0231A" w14:textId="77777777">
        <w:trPr>
          <w:jc w:val="center"/>
        </w:trPr>
        <w:tc>
          <w:tcPr>
            <w:tcW w:w="8640" w:type="dxa"/>
            <w:shd w:val="clear" w:color="auto" w:fill="F4F4F4"/>
          </w:tcPr>
          <w:p w14:paraId="17C580F0" w14:textId="77777777" w:rsidR="00AB1E67" w:rsidRDefault="00000000">
            <w:pPr>
              <w:ind w:left="144" w:right="144"/>
            </w:pPr>
            <w:r>
              <w:rPr>
                <w:rFonts w:ascii="Consolas" w:hAnsi="Consolas"/>
                <w:color w:val="505050"/>
                <w:sz w:val="17"/>
              </w:rPr>
              <w:t xml:space="preserve">                  ┌────────────────────────────────────────┐</w:t>
            </w:r>
            <w:r>
              <w:rPr>
                <w:rFonts w:ascii="Consolas" w:hAnsi="Consolas"/>
                <w:color w:val="505050"/>
                <w:sz w:val="17"/>
              </w:rPr>
              <w:br/>
              <w:t xml:space="preserve">                  │          PHASE 1: Build Sector         │</w:t>
            </w:r>
            <w:r>
              <w:rPr>
                <w:rFonts w:ascii="Consolas" w:hAnsi="Consolas"/>
                <w:color w:val="505050"/>
                <w:sz w:val="17"/>
              </w:rPr>
              <w:br/>
              <w:t xml:space="preserve">                  │   Fetches public peers from NSE/yFinance│</w:t>
            </w:r>
            <w:r>
              <w:rPr>
                <w:rFonts w:ascii="Consolas" w:hAnsi="Consolas"/>
                <w:color w:val="505050"/>
                <w:sz w:val="17"/>
              </w:rPr>
              <w:br/>
              <w:t xml:space="preserve">                  └──────────────────┬─────────────────────┘</w:t>
            </w:r>
            <w:r>
              <w:rPr>
                <w:rFonts w:ascii="Consolas" w:hAnsi="Consolas"/>
                <w:color w:val="505050"/>
                <w:sz w:val="17"/>
              </w:rPr>
              <w:br/>
              <w:t xml:space="preserve">                                     │</w:t>
            </w:r>
            <w:r>
              <w:rPr>
                <w:rFonts w:ascii="Consolas" w:hAnsi="Consolas"/>
                <w:color w:val="505050"/>
                <w:sz w:val="17"/>
              </w:rPr>
              <w:br/>
              <w:t xml:space="preserve">                                     ▼ Saves to Store</w:t>
            </w:r>
            <w:r>
              <w:rPr>
                <w:rFonts w:ascii="Consolas" w:hAnsi="Consolas"/>
                <w:color w:val="505050"/>
                <w:sz w:val="17"/>
              </w:rPr>
              <w:br/>
              <w:t xml:space="preserve">                  ┌────────────────────────────────────────┐</w:t>
            </w:r>
            <w:r>
              <w:rPr>
                <w:rFonts w:ascii="Consolas" w:hAnsi="Consolas"/>
                <w:color w:val="505050"/>
                <w:sz w:val="17"/>
              </w:rPr>
              <w:br/>
              <w:t xml:space="preserve">                  │    PHASE 2: Ingest Private Client      │</w:t>
            </w:r>
            <w:r>
              <w:rPr>
                <w:rFonts w:ascii="Consolas" w:hAnsi="Consolas"/>
                <w:color w:val="505050"/>
                <w:sz w:val="17"/>
              </w:rPr>
              <w:br/>
              <w:t xml:space="preserve">                  │ Upload CSV  - OR -  Upload TallySync CSV│</w:t>
            </w:r>
            <w:r>
              <w:rPr>
                <w:rFonts w:ascii="Consolas" w:hAnsi="Consolas"/>
                <w:color w:val="505050"/>
                <w:sz w:val="17"/>
              </w:rPr>
              <w:br/>
              <w:t xml:space="preserve">                  └──────────────────┬─────────────────────┘</w:t>
            </w:r>
            <w:r>
              <w:rPr>
                <w:rFonts w:ascii="Consolas" w:hAnsi="Consolas"/>
                <w:color w:val="505050"/>
                <w:sz w:val="17"/>
              </w:rPr>
              <w:br/>
              <w:t xml:space="preserve">                                     │</w:t>
            </w:r>
            <w:r>
              <w:rPr>
                <w:rFonts w:ascii="Consolas" w:hAnsi="Consolas"/>
                <w:color w:val="505050"/>
                <w:sz w:val="17"/>
              </w:rPr>
              <w:br/>
              <w:t xml:space="preserve">                                     ▼</w:t>
            </w:r>
            <w:r>
              <w:rPr>
                <w:rFonts w:ascii="Consolas" w:hAnsi="Consolas"/>
                <w:color w:val="505050"/>
                <w:sz w:val="17"/>
              </w:rPr>
              <w:br/>
              <w:t xml:space="preserve">                  ┌────────────────────────────────────────┐</w:t>
            </w:r>
            <w:r>
              <w:rPr>
                <w:rFonts w:ascii="Consolas" w:hAnsi="Consolas"/>
                <w:color w:val="505050"/>
                <w:sz w:val="17"/>
              </w:rPr>
              <w:br/>
              <w:t xml:space="preserve">                  │    COMPARATOR &amp; STRATEGIC OUTPUTS      │</w:t>
            </w:r>
            <w:r>
              <w:rPr>
                <w:rFonts w:ascii="Consolas" w:hAnsi="Consolas"/>
                <w:color w:val="505050"/>
                <w:sz w:val="17"/>
              </w:rPr>
              <w:br/>
              <w:t xml:space="preserve">                  │   Scorecard, Mapping, SWOT Grid, Excel │</w:t>
            </w:r>
            <w:r>
              <w:rPr>
                <w:rFonts w:ascii="Consolas" w:hAnsi="Consolas"/>
                <w:color w:val="505050"/>
                <w:sz w:val="17"/>
              </w:rPr>
              <w:br/>
              <w:t xml:space="preserve">                  └────────────────────────────────────────┘</w:t>
            </w:r>
          </w:p>
        </w:tc>
      </w:tr>
    </w:tbl>
    <w:p w14:paraId="2D7F517F" w14:textId="77777777" w:rsidR="00AB1E67" w:rsidRDefault="00000000">
      <w:pPr>
        <w:pStyle w:val="Heading3"/>
        <w:spacing w:after="40"/>
      </w:pPr>
      <w:r>
        <w:rPr>
          <w:rFonts w:ascii="Segoe UI" w:hAnsi="Segoe UI"/>
          <w:color w:val="333333"/>
          <w:sz w:val="24"/>
        </w:rPr>
        <w:t>Phase 1: Building Sector Benchmarks</w:t>
      </w:r>
    </w:p>
    <w:p w14:paraId="08663FB2" w14:textId="77777777" w:rsidR="00AB1E67" w:rsidRDefault="00000000">
      <w:pPr>
        <w:spacing w:before="80" w:after="120"/>
      </w:pPr>
      <w:r>
        <w:rPr>
          <w:rFonts w:ascii="Calibri" w:hAnsi="Calibri"/>
          <w:color w:val="333333"/>
        </w:rPr>
        <w:t xml:space="preserve">To establish a benchmark (using the </w:t>
      </w:r>
      <w:r>
        <w:rPr>
          <w:rFonts w:ascii="Calibri" w:hAnsi="Calibri"/>
          <w:b/>
          <w:color w:val="333333"/>
        </w:rPr>
        <w:t>AI: supermarket</w:t>
      </w:r>
      <w:r>
        <w:rPr>
          <w:rFonts w:ascii="Calibri" w:hAnsi="Calibri"/>
          <w:color w:val="333333"/>
        </w:rPr>
        <w:t xml:space="preserve"> sector as a standard case study):</w:t>
      </w:r>
    </w:p>
    <w:p w14:paraId="55A638E0" w14:textId="77777777" w:rsidR="00AB1E67" w:rsidRDefault="00000000">
      <w:pPr>
        <w:pStyle w:val="ListNumber"/>
        <w:spacing w:before="40" w:after="40"/>
      </w:pPr>
      <w:r>
        <w:rPr>
          <w:rFonts w:ascii="Calibri" w:hAnsi="Calibri"/>
          <w:color w:val="333333"/>
        </w:rPr>
        <w:t xml:space="preserve">Navigate to the </w:t>
      </w:r>
      <w:r>
        <w:rPr>
          <w:rFonts w:ascii="Calibri" w:hAnsi="Calibri"/>
          <w:b/>
          <w:color w:val="333333"/>
        </w:rPr>
        <w:t>Home</w:t>
      </w:r>
      <w:r>
        <w:rPr>
          <w:rFonts w:ascii="Calibri" w:hAnsi="Calibri"/>
          <w:color w:val="333333"/>
        </w:rPr>
        <w:t xml:space="preserve"> Tab.</w:t>
      </w:r>
    </w:p>
    <w:p w14:paraId="64E0BF77" w14:textId="77777777" w:rsidR="00AB1E67" w:rsidRDefault="00000000">
      <w:pPr>
        <w:pStyle w:val="ListNumber"/>
        <w:spacing w:before="40" w:after="40"/>
      </w:pPr>
      <w:r>
        <w:rPr>
          <w:rFonts w:ascii="Calibri" w:hAnsi="Calibri"/>
          <w:color w:val="333333"/>
        </w:rPr>
        <w:t xml:space="preserve">In section </w:t>
      </w:r>
      <w:r>
        <w:rPr>
          <w:rFonts w:ascii="Calibri" w:hAnsi="Calibri"/>
          <w:b/>
          <w:color w:val="333333"/>
        </w:rPr>
        <w:t>1. Define Scope</w:t>
      </w:r>
      <w:r>
        <w:rPr>
          <w:rFonts w:ascii="Calibri" w:hAnsi="Calibri"/>
          <w:color w:val="333333"/>
        </w:rPr>
        <w:t xml:space="preserve">, select the </w:t>
      </w:r>
      <w:r>
        <w:rPr>
          <w:rFonts w:ascii="Calibri" w:hAnsi="Calibri"/>
          <w:b/>
          <w:color w:val="333333"/>
        </w:rPr>
        <w:t>Analysis Unit</w:t>
      </w:r>
      <w:r>
        <w:rPr>
          <w:rFonts w:ascii="Calibri" w:hAnsi="Calibri"/>
          <w:color w:val="333333"/>
        </w:rPr>
        <w:t>:</w:t>
      </w:r>
    </w:p>
    <w:p w14:paraId="1D1E2D1F" w14:textId="77777777" w:rsidR="00AB1E67" w:rsidRDefault="00000000">
      <w:pPr>
        <w:pStyle w:val="ListBullet"/>
        <w:spacing w:before="40" w:after="40"/>
      </w:pPr>
      <w:r>
        <w:rPr>
          <w:rFonts w:ascii="Calibri" w:hAnsi="Calibri"/>
          <w:b/>
          <w:color w:val="333333"/>
        </w:rPr>
        <w:t>Sector</w:t>
      </w:r>
      <w:r>
        <w:rPr>
          <w:rFonts w:ascii="Calibri" w:hAnsi="Calibri"/>
          <w:color w:val="333333"/>
        </w:rPr>
        <w:t>: Choose from 13 pre-mapped sectors (e.g., Automobile, IT, Supermarket).</w:t>
      </w:r>
    </w:p>
    <w:p w14:paraId="29B5BF87" w14:textId="77777777" w:rsidR="00AB1E67" w:rsidRDefault="00000000">
      <w:pPr>
        <w:pStyle w:val="ListBullet"/>
        <w:spacing w:before="40" w:after="40"/>
      </w:pPr>
      <w:r>
        <w:rPr>
          <w:rFonts w:ascii="Calibri" w:hAnsi="Calibri"/>
          <w:b/>
          <w:color w:val="333333"/>
        </w:rPr>
        <w:t>Industry</w:t>
      </w:r>
      <w:r>
        <w:rPr>
          <w:rFonts w:ascii="Calibri" w:hAnsi="Calibri"/>
          <w:color w:val="333333"/>
        </w:rPr>
        <w:t>: Choose sub-industries within those sectors.</w:t>
      </w:r>
    </w:p>
    <w:p w14:paraId="3C815989" w14:textId="77777777" w:rsidR="00AB1E67" w:rsidRDefault="00000000">
      <w:pPr>
        <w:pStyle w:val="ListBullet"/>
        <w:spacing w:before="40" w:after="40"/>
      </w:pPr>
      <w:r>
        <w:rPr>
          <w:rFonts w:ascii="Calibri" w:hAnsi="Calibri"/>
          <w:b/>
          <w:color w:val="333333"/>
        </w:rPr>
        <w:t>AI Search</w:t>
      </w:r>
      <w:r>
        <w:rPr>
          <w:rFonts w:ascii="Calibri" w:hAnsi="Calibri"/>
          <w:color w:val="333333"/>
        </w:rPr>
        <w:t xml:space="preserve">: Describe an industry in plain English (e.g., </w:t>
      </w:r>
      <w:r>
        <w:rPr>
          <w:rFonts w:ascii="Calibri" w:hAnsi="Calibri"/>
          <w:i/>
          <w:color w:val="333333"/>
        </w:rPr>
        <w:t>"supermarket sector"</w:t>
      </w:r>
      <w:r>
        <w:rPr>
          <w:rFonts w:ascii="Calibri" w:hAnsi="Calibri"/>
          <w:color w:val="333333"/>
        </w:rPr>
        <w:t>). The Gemini model will analyze the market, find the matching tickers, and populate the list.</w:t>
      </w:r>
    </w:p>
    <w:p w14:paraId="4954BF26" w14:textId="77777777" w:rsidR="00AB1E67" w:rsidRDefault="00000000">
      <w:pPr>
        <w:pStyle w:val="ListNumber"/>
        <w:spacing w:before="40" w:after="40"/>
      </w:pPr>
      <w:r>
        <w:rPr>
          <w:rFonts w:ascii="Calibri" w:hAnsi="Calibri"/>
          <w:i/>
          <w:color w:val="333333"/>
        </w:rPr>
        <w:t>(Optional)</w:t>
      </w:r>
      <w:r>
        <w:rPr>
          <w:rFonts w:ascii="Calibri" w:hAnsi="Calibri"/>
          <w:color w:val="333333"/>
        </w:rPr>
        <w:t xml:space="preserve"> Open the </w:t>
      </w:r>
      <w:r>
        <w:rPr>
          <w:rFonts w:ascii="Calibri" w:hAnsi="Calibri"/>
          <w:b/>
          <w:color w:val="333333"/>
        </w:rPr>
        <w:t>Ticker Override</w:t>
      </w:r>
      <w:r>
        <w:rPr>
          <w:rFonts w:ascii="Calibri" w:hAnsi="Calibri"/>
          <w:color w:val="333333"/>
        </w:rPr>
        <w:t xml:space="preserve"> expander to manually type, edit, or copy-paste ticker codes (e.g., </w:t>
      </w:r>
      <w:r>
        <w:rPr>
          <w:rFonts w:ascii="Consolas" w:hAnsi="Consolas"/>
          <w:color w:val="B42850"/>
          <w:sz w:val="19"/>
        </w:rPr>
        <w:t>SFM</w:t>
      </w:r>
      <w:r>
        <w:rPr>
          <w:rFonts w:ascii="Calibri" w:hAnsi="Calibri"/>
          <w:color w:val="333333"/>
        </w:rPr>
        <w:t xml:space="preserve">, </w:t>
      </w:r>
      <w:r>
        <w:rPr>
          <w:rFonts w:ascii="Consolas" w:hAnsi="Consolas"/>
          <w:color w:val="B42850"/>
          <w:sz w:val="19"/>
        </w:rPr>
        <w:t>VLGEA</w:t>
      </w:r>
      <w:r>
        <w:rPr>
          <w:rFonts w:ascii="Calibri" w:hAnsi="Calibri"/>
          <w:color w:val="333333"/>
        </w:rPr>
        <w:t xml:space="preserve">, </w:t>
      </w:r>
      <w:r>
        <w:rPr>
          <w:rFonts w:ascii="Consolas" w:hAnsi="Consolas"/>
          <w:color w:val="B42850"/>
          <w:sz w:val="19"/>
        </w:rPr>
        <w:t>GO</w:t>
      </w:r>
      <w:r>
        <w:rPr>
          <w:rFonts w:ascii="Calibri" w:hAnsi="Calibri"/>
          <w:color w:val="333333"/>
        </w:rPr>
        <w:t xml:space="preserve">, </w:t>
      </w:r>
      <w:r>
        <w:rPr>
          <w:rFonts w:ascii="Consolas" w:hAnsi="Consolas"/>
          <w:color w:val="B42850"/>
          <w:sz w:val="19"/>
        </w:rPr>
        <w:t>WMK</w:t>
      </w:r>
      <w:r>
        <w:rPr>
          <w:rFonts w:ascii="Calibri" w:hAnsi="Calibri"/>
          <w:color w:val="333333"/>
        </w:rPr>
        <w:t xml:space="preserve">, </w:t>
      </w:r>
      <w:r>
        <w:rPr>
          <w:rFonts w:ascii="Consolas" w:hAnsi="Consolas"/>
          <w:color w:val="B42850"/>
          <w:sz w:val="19"/>
        </w:rPr>
        <w:t>NGVC</w:t>
      </w:r>
      <w:r>
        <w:rPr>
          <w:rFonts w:ascii="Calibri" w:hAnsi="Calibri"/>
          <w:color w:val="333333"/>
        </w:rPr>
        <w:t xml:space="preserve">, </w:t>
      </w:r>
      <w:r>
        <w:rPr>
          <w:rFonts w:ascii="Consolas" w:hAnsi="Consolas"/>
          <w:color w:val="B42850"/>
          <w:sz w:val="19"/>
        </w:rPr>
        <w:t>KR</w:t>
      </w:r>
      <w:r>
        <w:rPr>
          <w:rFonts w:ascii="Calibri" w:hAnsi="Calibri"/>
          <w:color w:val="333333"/>
        </w:rPr>
        <w:t xml:space="preserve">, </w:t>
      </w:r>
      <w:r>
        <w:rPr>
          <w:rFonts w:ascii="Consolas" w:hAnsi="Consolas"/>
          <w:color w:val="B42850"/>
          <w:sz w:val="19"/>
        </w:rPr>
        <w:t>ACI</w:t>
      </w:r>
      <w:r>
        <w:rPr>
          <w:rFonts w:ascii="Calibri" w:hAnsi="Calibri"/>
          <w:color w:val="333333"/>
        </w:rPr>
        <w:t>).</w:t>
      </w:r>
    </w:p>
    <w:p w14:paraId="5336019A" w14:textId="77777777" w:rsidR="00AB1E67" w:rsidRDefault="00000000">
      <w:pPr>
        <w:pStyle w:val="ListNumber"/>
        <w:spacing w:before="40" w:after="40"/>
      </w:pPr>
      <w:r>
        <w:rPr>
          <w:rFonts w:ascii="Calibri" w:hAnsi="Calibri"/>
          <w:i/>
          <w:color w:val="333333"/>
        </w:rPr>
        <w:t>(Optional)</w:t>
      </w:r>
      <w:r>
        <w:rPr>
          <w:rFonts w:ascii="Calibri" w:hAnsi="Calibri"/>
          <w:color w:val="333333"/>
        </w:rPr>
        <w:t xml:space="preserve"> Adjust </w:t>
      </w:r>
      <w:r>
        <w:rPr>
          <w:rFonts w:ascii="Calibri" w:hAnsi="Calibri"/>
          <w:b/>
          <w:color w:val="333333"/>
        </w:rPr>
        <w:t>Calibration (Advanced)</w:t>
      </w:r>
      <w:r>
        <w:rPr>
          <w:rFonts w:ascii="Calibri" w:hAnsi="Calibri"/>
          <w:color w:val="333333"/>
        </w:rPr>
        <w:t xml:space="preserve"> settings to tweak outlier sensitivity:</w:t>
      </w:r>
    </w:p>
    <w:p w14:paraId="59E840E4" w14:textId="77777777" w:rsidR="00AB1E67" w:rsidRDefault="00000000">
      <w:pPr>
        <w:pStyle w:val="ListBullet"/>
        <w:spacing w:before="40" w:after="40"/>
      </w:pPr>
      <w:r>
        <w:rPr>
          <w:rFonts w:ascii="Calibri" w:hAnsi="Calibri"/>
          <w:b/>
          <w:color w:val="333333"/>
        </w:rPr>
        <w:t>IQR Multiplier</w:t>
      </w:r>
      <w:r>
        <w:rPr>
          <w:rFonts w:ascii="Calibri" w:hAnsi="Calibri"/>
          <w:color w:val="333333"/>
        </w:rPr>
        <w:t xml:space="preserve">: Controls the Tukey Fence width (default: </w:t>
      </w:r>
      <w:r>
        <w:rPr>
          <w:rFonts w:ascii="Consolas" w:hAnsi="Consolas"/>
          <w:color w:val="B42850"/>
          <w:sz w:val="19"/>
        </w:rPr>
        <w:t>1.5</w:t>
      </w:r>
      <w:r>
        <w:rPr>
          <w:rFonts w:ascii="Calibri" w:hAnsi="Calibri"/>
          <w:color w:val="333333"/>
        </w:rPr>
        <w:t>).</w:t>
      </w:r>
    </w:p>
    <w:p w14:paraId="3E0E63C3" w14:textId="77777777" w:rsidR="00AB1E67" w:rsidRDefault="00000000">
      <w:pPr>
        <w:pStyle w:val="ListBullet"/>
        <w:spacing w:before="40" w:after="40"/>
      </w:pPr>
      <w:r>
        <w:rPr>
          <w:rFonts w:ascii="Calibri" w:hAnsi="Calibri"/>
          <w:b/>
          <w:color w:val="333333"/>
        </w:rPr>
        <w:t>Z-Score Threshold</w:t>
      </w:r>
      <w:r>
        <w:rPr>
          <w:rFonts w:ascii="Calibri" w:hAnsi="Calibri"/>
          <w:color w:val="333333"/>
        </w:rPr>
        <w:t xml:space="preserve">: Magnitude of standard deviations to trigger a cell flag (default: </w:t>
      </w:r>
      <w:r>
        <w:rPr>
          <w:rFonts w:ascii="Consolas" w:hAnsi="Consolas"/>
          <w:color w:val="B42850"/>
          <w:sz w:val="19"/>
        </w:rPr>
        <w:t>3.5</w:t>
      </w:r>
      <w:r>
        <w:rPr>
          <w:rFonts w:ascii="Calibri" w:hAnsi="Calibri"/>
          <w:color w:val="333333"/>
        </w:rPr>
        <w:t>).</w:t>
      </w:r>
    </w:p>
    <w:p w14:paraId="4916101F" w14:textId="77777777" w:rsidR="00AB1E67" w:rsidRDefault="00000000">
      <w:pPr>
        <w:pStyle w:val="ListBullet"/>
        <w:spacing w:before="40" w:after="40"/>
      </w:pPr>
      <w:r>
        <w:rPr>
          <w:rFonts w:ascii="Calibri" w:hAnsi="Calibri"/>
          <w:b/>
          <w:color w:val="333333"/>
        </w:rPr>
        <w:t>Isolation Forest (%)</w:t>
      </w:r>
      <w:r>
        <w:rPr>
          <w:rFonts w:ascii="Calibri" w:hAnsi="Calibri"/>
          <w:color w:val="333333"/>
        </w:rPr>
        <w:t xml:space="preserve">: Contamination rate for multivariate anomaly scans (default: </w:t>
      </w:r>
      <w:r>
        <w:rPr>
          <w:rFonts w:ascii="Consolas" w:hAnsi="Consolas"/>
          <w:color w:val="B42850"/>
          <w:sz w:val="19"/>
        </w:rPr>
        <w:t>10%</w:t>
      </w:r>
      <w:r>
        <w:rPr>
          <w:rFonts w:ascii="Calibri" w:hAnsi="Calibri"/>
          <w:color w:val="333333"/>
        </w:rPr>
        <w:t>).</w:t>
      </w:r>
    </w:p>
    <w:p w14:paraId="6E755EC2" w14:textId="77777777" w:rsidR="00AB1E67" w:rsidRDefault="00000000">
      <w:pPr>
        <w:pStyle w:val="ListNumber"/>
        <w:spacing w:before="40" w:after="40"/>
      </w:pPr>
      <w:r>
        <w:rPr>
          <w:rFonts w:ascii="Calibri" w:hAnsi="Calibri"/>
          <w:color w:val="333333"/>
        </w:rPr>
        <w:t xml:space="preserve">Click the primary action button: </w:t>
      </w:r>
      <w:r>
        <w:rPr>
          <w:rFonts w:ascii="Calibri" w:hAnsi="Calibri"/>
          <w:b/>
          <w:color w:val="333333"/>
        </w:rPr>
        <w:t>`Run Phase 1: Build Benchmark`</w:t>
      </w:r>
      <w:r>
        <w:rPr>
          <w:rFonts w:ascii="Calibri" w:hAnsi="Calibri"/>
          <w:color w:val="333333"/>
        </w:rPr>
        <w:t>.</w:t>
      </w:r>
    </w:p>
    <w:p w14:paraId="27C12F17" w14:textId="77777777" w:rsidR="00AB1E67" w:rsidRDefault="00000000">
      <w:pPr>
        <w:pStyle w:val="ListBullet"/>
        <w:spacing w:before="40" w:after="40"/>
      </w:pPr>
      <w:r>
        <w:rPr>
          <w:rFonts w:ascii="Calibri" w:hAnsi="Calibri"/>
          <w:i/>
          <w:color w:val="333333"/>
        </w:rPr>
        <w:t>A progress container at the top of the screen will show real-time percentage completion as it downloads statements, standardizes statements, computes ratios, detects outliers, and saves the benchmark dataset.</w:t>
      </w:r>
    </w:p>
    <w:p w14:paraId="39384D83" w14:textId="77777777" w:rsidR="00AB1E67" w:rsidRDefault="00000000">
      <w:pPr>
        <w:pStyle w:val="Heading3"/>
        <w:spacing w:after="40"/>
      </w:pPr>
      <w:r>
        <w:rPr>
          <w:rFonts w:ascii="Segoe UI" w:hAnsi="Segoe UI"/>
          <w:color w:val="333333"/>
          <w:sz w:val="24"/>
        </w:rPr>
        <w:t>Phase 2: Standard Client CSV Comparison</w:t>
      </w:r>
    </w:p>
    <w:p w14:paraId="4002715B" w14:textId="77777777" w:rsidR="00AB1E67" w:rsidRDefault="00000000">
      <w:pPr>
        <w:spacing w:before="80" w:after="120"/>
      </w:pPr>
      <w:r>
        <w:rPr>
          <w:rFonts w:ascii="Calibri" w:hAnsi="Calibri"/>
          <w:color w:val="333333"/>
        </w:rPr>
        <w:t>If you already have pre-computed financial ratios for a private client:</w:t>
      </w:r>
    </w:p>
    <w:p w14:paraId="38C396F0" w14:textId="77777777" w:rsidR="00AB1E67" w:rsidRDefault="00000000">
      <w:pPr>
        <w:pStyle w:val="ListNumber"/>
        <w:spacing w:before="40" w:after="40"/>
      </w:pPr>
      <w:r>
        <w:rPr>
          <w:rFonts w:ascii="Calibri" w:hAnsi="Calibri"/>
          <w:color w:val="333333"/>
        </w:rPr>
        <w:lastRenderedPageBreak/>
        <w:t xml:space="preserve">Run </w:t>
      </w:r>
      <w:r>
        <w:rPr>
          <w:rFonts w:ascii="Calibri" w:hAnsi="Calibri"/>
          <w:b/>
          <w:color w:val="333333"/>
        </w:rPr>
        <w:t>Phase 1</w:t>
      </w:r>
      <w:r>
        <w:rPr>
          <w:rFonts w:ascii="Calibri" w:hAnsi="Calibri"/>
          <w:color w:val="333333"/>
        </w:rPr>
        <w:t xml:space="preserve"> for the target sector to save it to the local store.</w:t>
      </w:r>
    </w:p>
    <w:p w14:paraId="428237B9" w14:textId="77777777" w:rsidR="00AB1E67" w:rsidRDefault="00000000">
      <w:pPr>
        <w:pStyle w:val="ListNumber"/>
        <w:spacing w:before="40" w:after="40"/>
      </w:pPr>
      <w:r>
        <w:rPr>
          <w:rFonts w:ascii="Calibri" w:hAnsi="Calibri"/>
          <w:color w:val="333333"/>
        </w:rPr>
        <w:t xml:space="preserve">Under section </w:t>
      </w:r>
      <w:r>
        <w:rPr>
          <w:rFonts w:ascii="Calibri" w:hAnsi="Calibri"/>
          <w:b/>
          <w:color w:val="333333"/>
        </w:rPr>
        <w:t>4. Client Comparison</w:t>
      </w:r>
      <w:r>
        <w:rPr>
          <w:rFonts w:ascii="Calibri" w:hAnsi="Calibri"/>
          <w:color w:val="333333"/>
        </w:rPr>
        <w:t xml:space="preserve"> on the </w:t>
      </w:r>
      <w:r>
        <w:rPr>
          <w:rFonts w:ascii="Calibri" w:hAnsi="Calibri"/>
          <w:b/>
          <w:color w:val="333333"/>
        </w:rPr>
        <w:t>Home</w:t>
      </w:r>
      <w:r>
        <w:rPr>
          <w:rFonts w:ascii="Calibri" w:hAnsi="Calibri"/>
          <w:color w:val="333333"/>
        </w:rPr>
        <w:t xml:space="preserve"> Tab, select the </w:t>
      </w:r>
      <w:r>
        <w:rPr>
          <w:rFonts w:ascii="Calibri" w:hAnsi="Calibri"/>
          <w:b/>
          <w:color w:val="333333"/>
        </w:rPr>
        <w:t>Standard CSV Upload</w:t>
      </w:r>
      <w:r>
        <w:rPr>
          <w:rFonts w:ascii="Calibri" w:hAnsi="Calibri"/>
          <w:color w:val="333333"/>
        </w:rPr>
        <w:t xml:space="preserve"> sub-tab.</w:t>
      </w:r>
    </w:p>
    <w:p w14:paraId="18A09970" w14:textId="77777777" w:rsidR="00AB1E67" w:rsidRDefault="00000000">
      <w:pPr>
        <w:pStyle w:val="ListNumber"/>
        <w:spacing w:before="40" w:after="40"/>
      </w:pPr>
      <w:r>
        <w:rPr>
          <w:rFonts w:ascii="Calibri" w:hAnsi="Calibri"/>
          <w:color w:val="333333"/>
        </w:rPr>
        <w:t xml:space="preserve">Select the benchmark sector from the </w:t>
      </w:r>
      <w:r>
        <w:rPr>
          <w:rFonts w:ascii="Calibri" w:hAnsi="Calibri"/>
          <w:b/>
          <w:color w:val="333333"/>
        </w:rPr>
        <w:t>Compare against stored sector</w:t>
      </w:r>
      <w:r>
        <w:rPr>
          <w:rFonts w:ascii="Calibri" w:hAnsi="Calibri"/>
          <w:color w:val="333333"/>
        </w:rPr>
        <w:t xml:space="preserve"> dropdown.</w:t>
      </w:r>
    </w:p>
    <w:p w14:paraId="642B205F" w14:textId="77777777" w:rsidR="00AB1E67" w:rsidRDefault="00000000">
      <w:pPr>
        <w:pStyle w:val="ListNumber"/>
        <w:spacing w:before="40" w:after="40"/>
      </w:pPr>
      <w:r>
        <w:rPr>
          <w:rFonts w:ascii="Calibri" w:hAnsi="Calibri"/>
          <w:color w:val="333333"/>
        </w:rPr>
        <w:t>Drag and drop your client's CSV file.</w:t>
      </w:r>
    </w:p>
    <w:p w14:paraId="6585CFAD" w14:textId="77777777" w:rsidR="00AB1E67" w:rsidRDefault="00000000">
      <w:pPr>
        <w:pStyle w:val="ListBullet"/>
        <w:spacing w:before="40" w:after="40"/>
      </w:pPr>
      <w:r>
        <w:rPr>
          <w:rFonts w:ascii="Calibri" w:hAnsi="Calibri"/>
          <w:i/>
          <w:color w:val="333333"/>
        </w:rPr>
        <w:t>The CSV must contain a header row of ratio codes matching our system (e.g., `current_ratio`, `gross_margin`, `debt_to_equity`) and a `ticker` column containing the client name.</w:t>
      </w:r>
    </w:p>
    <w:p w14:paraId="597D00A7" w14:textId="77777777" w:rsidR="00AB1E67" w:rsidRDefault="00000000">
      <w:pPr>
        <w:pStyle w:val="ListNumber"/>
        <w:spacing w:before="40" w:after="40"/>
      </w:pPr>
      <w:r>
        <w:rPr>
          <w:rFonts w:ascii="Calibri" w:hAnsi="Calibri"/>
          <w:color w:val="333333"/>
        </w:rPr>
        <w:t xml:space="preserve">Click </w:t>
      </w:r>
      <w:r>
        <w:rPr>
          <w:rFonts w:ascii="Calibri" w:hAnsi="Calibri"/>
          <w:b/>
          <w:color w:val="333333"/>
        </w:rPr>
        <w:t>`Run Client Comparison`</w:t>
      </w:r>
      <w:r>
        <w:rPr>
          <w:rFonts w:ascii="Calibri" w:hAnsi="Calibri"/>
          <w:color w:val="333333"/>
        </w:rPr>
        <w:t>.</w:t>
      </w:r>
    </w:p>
    <w:p w14:paraId="2B8EFA95" w14:textId="77777777" w:rsidR="00AB1E67" w:rsidRDefault="00000000">
      <w:pPr>
        <w:pStyle w:val="ListBullet"/>
        <w:spacing w:before="40" w:after="40"/>
      </w:pPr>
      <w:r>
        <w:rPr>
          <w:rFonts w:ascii="Calibri" w:hAnsi="Calibri"/>
          <w:i/>
          <w:color w:val="333333"/>
        </w:rPr>
        <w:t>The system binds the client ratios to the stored peer database and unlocks client analysis pages.</w:t>
      </w:r>
    </w:p>
    <w:p w14:paraId="272FFFE5" w14:textId="77777777" w:rsidR="00AB1E67" w:rsidRDefault="00000000">
      <w:pPr>
        <w:pStyle w:val="Heading3"/>
        <w:spacing w:after="40"/>
      </w:pPr>
      <w:r>
        <w:rPr>
          <w:rFonts w:ascii="Segoe UI" w:hAnsi="Segoe UI"/>
          <w:color w:val="333333"/>
          <w:sz w:val="24"/>
        </w:rPr>
        <w:t>Phase 3: TallySync Journal &amp; Ledger Ingestion</w:t>
      </w:r>
    </w:p>
    <w:p w14:paraId="7778BEE4" w14:textId="77777777" w:rsidR="00AB1E67" w:rsidRDefault="00000000">
      <w:pPr>
        <w:spacing w:before="80" w:after="120"/>
      </w:pPr>
      <w:r>
        <w:rPr>
          <w:rFonts w:ascii="Calibri" w:hAnsi="Calibri"/>
          <w:color w:val="333333"/>
        </w:rPr>
        <w:t xml:space="preserve">To benchmark a private client using raw transaction logs exported directly from </w:t>
      </w:r>
      <w:r>
        <w:rPr>
          <w:rFonts w:ascii="Calibri" w:hAnsi="Calibri"/>
          <w:b/>
          <w:color w:val="333333"/>
        </w:rPr>
        <w:t>Tally ERP</w:t>
      </w:r>
      <w:r>
        <w:rPr>
          <w:rFonts w:ascii="Calibri" w:hAnsi="Calibri"/>
          <w:color w:val="333333"/>
        </w:rPr>
        <w:t xml:space="preserve"> exports:</w:t>
      </w:r>
    </w:p>
    <w:p w14:paraId="6E4034B3" w14:textId="77777777" w:rsidR="00AB1E67" w:rsidRDefault="00000000">
      <w:pPr>
        <w:pStyle w:val="ListNumber"/>
        <w:spacing w:before="40" w:after="40"/>
      </w:pPr>
      <w:r>
        <w:rPr>
          <w:rFonts w:ascii="Calibri" w:hAnsi="Calibri"/>
          <w:color w:val="333333"/>
        </w:rPr>
        <w:t xml:space="preserve">Export the </w:t>
      </w:r>
      <w:r>
        <w:rPr>
          <w:rFonts w:ascii="Calibri" w:hAnsi="Calibri"/>
          <w:b/>
          <w:color w:val="333333"/>
        </w:rPr>
        <w:t>Ledger Master List</w:t>
      </w:r>
      <w:r>
        <w:rPr>
          <w:rFonts w:ascii="Calibri" w:hAnsi="Calibri"/>
          <w:color w:val="333333"/>
        </w:rPr>
        <w:t xml:space="preserve"> and </w:t>
      </w:r>
      <w:r>
        <w:rPr>
          <w:rFonts w:ascii="Calibri" w:hAnsi="Calibri"/>
          <w:b/>
          <w:color w:val="333333"/>
        </w:rPr>
        <w:t>Journal Vouchers</w:t>
      </w:r>
      <w:r>
        <w:rPr>
          <w:rFonts w:ascii="Calibri" w:hAnsi="Calibri"/>
          <w:color w:val="333333"/>
        </w:rPr>
        <w:t xml:space="preserve"> from Tally into CSV format.</w:t>
      </w:r>
    </w:p>
    <w:p w14:paraId="3032AB3E" w14:textId="77777777" w:rsidR="00AB1E67" w:rsidRDefault="00000000">
      <w:pPr>
        <w:pStyle w:val="ListNumber"/>
        <w:spacing w:before="40" w:after="40"/>
      </w:pPr>
      <w:r>
        <w:rPr>
          <w:rFonts w:ascii="Calibri" w:hAnsi="Calibri"/>
          <w:color w:val="333333"/>
        </w:rPr>
        <w:t xml:space="preserve">On the </w:t>
      </w:r>
      <w:r>
        <w:rPr>
          <w:rFonts w:ascii="Calibri" w:hAnsi="Calibri"/>
          <w:b/>
          <w:color w:val="333333"/>
        </w:rPr>
        <w:t>Home</w:t>
      </w:r>
      <w:r>
        <w:rPr>
          <w:rFonts w:ascii="Calibri" w:hAnsi="Calibri"/>
          <w:color w:val="333333"/>
        </w:rPr>
        <w:t xml:space="preserve"> Tab, scroll to </w:t>
      </w:r>
      <w:r>
        <w:rPr>
          <w:rFonts w:ascii="Calibri" w:hAnsi="Calibri"/>
          <w:b/>
          <w:color w:val="333333"/>
        </w:rPr>
        <w:t>4. Client Comparison</w:t>
      </w:r>
      <w:r>
        <w:rPr>
          <w:rFonts w:ascii="Calibri" w:hAnsi="Calibri"/>
          <w:color w:val="333333"/>
        </w:rPr>
        <w:t xml:space="preserve"> and click the </w:t>
      </w:r>
      <w:r>
        <w:rPr>
          <w:rFonts w:ascii="Calibri" w:hAnsi="Calibri"/>
          <w:b/>
          <w:color w:val="333333"/>
        </w:rPr>
        <w:t>TallySync Upload</w:t>
      </w:r>
      <w:r>
        <w:rPr>
          <w:rFonts w:ascii="Calibri" w:hAnsi="Calibri"/>
          <w:color w:val="333333"/>
        </w:rPr>
        <w:t xml:space="preserve"> sub-tab.</w:t>
      </w:r>
    </w:p>
    <w:p w14:paraId="22E038E0" w14:textId="77777777" w:rsidR="00AB1E67" w:rsidRDefault="00000000">
      <w:pPr>
        <w:pStyle w:val="ListNumber"/>
        <w:spacing w:before="40" w:after="40"/>
      </w:pPr>
      <w:r>
        <w:rPr>
          <w:rFonts w:ascii="Calibri" w:hAnsi="Calibri"/>
          <w:color w:val="333333"/>
        </w:rPr>
        <w:t>Upload the two CSV files:</w:t>
      </w:r>
    </w:p>
    <w:p w14:paraId="0EF2AA91" w14:textId="77777777" w:rsidR="00AB1E67" w:rsidRDefault="00000000">
      <w:pPr>
        <w:pStyle w:val="ListBullet"/>
        <w:spacing w:before="40" w:after="40"/>
      </w:pPr>
      <w:r>
        <w:rPr>
          <w:rFonts w:ascii="Calibri" w:hAnsi="Calibri"/>
          <w:b/>
          <w:color w:val="333333"/>
        </w:rPr>
        <w:t>Journal CSV (JV)</w:t>
      </w:r>
      <w:r>
        <w:rPr>
          <w:rFonts w:ascii="Calibri" w:hAnsi="Calibri"/>
          <w:color w:val="333333"/>
        </w:rPr>
        <w:t>: Raw transaction lines showing debits and credits.</w:t>
      </w:r>
    </w:p>
    <w:p w14:paraId="0E863134" w14:textId="77777777" w:rsidR="00AB1E67" w:rsidRDefault="00000000">
      <w:pPr>
        <w:pStyle w:val="ListBullet"/>
        <w:spacing w:before="40" w:after="40"/>
      </w:pPr>
      <w:r>
        <w:rPr>
          <w:rFonts w:ascii="Calibri" w:hAnsi="Calibri"/>
          <w:b/>
          <w:color w:val="333333"/>
        </w:rPr>
        <w:t>Ledger Master CSV</w:t>
      </w:r>
      <w:r>
        <w:rPr>
          <w:rFonts w:ascii="Calibri" w:hAnsi="Calibri"/>
          <w:color w:val="333333"/>
        </w:rPr>
        <w:t>: Master ledger directory mapping ledger names to parent Tally groups.</w:t>
      </w:r>
    </w:p>
    <w:p w14:paraId="4D1A5807" w14:textId="77777777" w:rsidR="00AB1E67" w:rsidRDefault="00000000">
      <w:pPr>
        <w:pStyle w:val="Heading4"/>
        <w:spacing w:before="160" w:after="40"/>
      </w:pPr>
      <w:r>
        <w:rPr>
          <w:rFonts w:ascii="Segoe UI" w:hAnsi="Segoe UI"/>
          <w:color w:val="333333"/>
        </w:rPr>
        <w:t>📋 Expected CSV Data Schemas:</w:t>
      </w:r>
    </w:p>
    <w:p w14:paraId="06AFF0F8" w14:textId="77777777" w:rsidR="00AB1E67" w:rsidRDefault="00000000">
      <w:pPr>
        <w:pStyle w:val="ListBullet"/>
        <w:spacing w:before="40" w:after="40"/>
      </w:pPr>
      <w:r>
        <w:rPr>
          <w:rFonts w:ascii="Calibri" w:hAnsi="Calibri"/>
          <w:b/>
          <w:color w:val="333333"/>
        </w:rPr>
        <w:t>Ledger Master CSV</w:t>
      </w:r>
      <w:r>
        <w:rPr>
          <w:rFonts w:ascii="Calibri" w:hAnsi="Calibri"/>
          <w:color w:val="333333"/>
        </w:rPr>
        <w:t>:</w:t>
      </w:r>
    </w:p>
    <w:p w14:paraId="26BC0734" w14:textId="77777777" w:rsidR="00AB1E67" w:rsidRDefault="00000000">
      <w:pPr>
        <w:spacing w:before="80" w:after="120"/>
      </w:pPr>
      <w:r>
        <w:rPr>
          <w:rFonts w:ascii="Calibri" w:hAnsi="Calibri"/>
          <w:color w:val="333333"/>
        </w:rPr>
        <w:t>Must contain these headers:</w:t>
      </w:r>
    </w:p>
    <w:p w14:paraId="166D16B5" w14:textId="77777777" w:rsidR="00AB1E67" w:rsidRDefault="00AB1E67">
      <w:pPr>
        <w:spacing w:before="80" w:after="80"/>
      </w:pPr>
    </w:p>
    <w:tbl>
      <w:tblPr>
        <w:tblW w:w="0" w:type="auto"/>
        <w:jc w:val="center"/>
        <w:tblLook w:val="04A0" w:firstRow="1" w:lastRow="0" w:firstColumn="1" w:lastColumn="0" w:noHBand="0" w:noVBand="1"/>
      </w:tblPr>
      <w:tblGrid>
        <w:gridCol w:w="8640"/>
      </w:tblGrid>
      <w:tr w:rsidR="00AB1E67" w14:paraId="7172EE37" w14:textId="77777777">
        <w:trPr>
          <w:jc w:val="center"/>
        </w:trPr>
        <w:tc>
          <w:tcPr>
            <w:tcW w:w="8640" w:type="dxa"/>
            <w:shd w:val="clear" w:color="auto" w:fill="F4F4F4"/>
          </w:tcPr>
          <w:p w14:paraId="720CD5CC" w14:textId="77777777" w:rsidR="00AB1E67" w:rsidRDefault="00000000">
            <w:pPr>
              <w:ind w:left="144" w:right="144"/>
            </w:pPr>
            <w:r>
              <w:rPr>
                <w:rFonts w:ascii="Consolas" w:hAnsi="Consolas"/>
                <w:color w:val="505050"/>
                <w:sz w:val="17"/>
              </w:rPr>
              <w:t xml:space="preserve">    NAME,PRIMARYGROUP</w:t>
            </w:r>
            <w:r>
              <w:rPr>
                <w:rFonts w:ascii="Consolas" w:hAnsi="Consolas"/>
                <w:color w:val="505050"/>
                <w:sz w:val="17"/>
              </w:rPr>
              <w:br/>
              <w:t xml:space="preserve">    "Capital Account",Capital Account</w:t>
            </w:r>
            <w:r>
              <w:rPr>
                <w:rFonts w:ascii="Consolas" w:hAnsi="Consolas"/>
                <w:color w:val="505050"/>
                <w:sz w:val="17"/>
              </w:rPr>
              <w:br/>
              <w:t xml:space="preserve">    "State Bank of India",Bank Accounts</w:t>
            </w:r>
            <w:r>
              <w:rPr>
                <w:rFonts w:ascii="Consolas" w:hAnsi="Consolas"/>
                <w:color w:val="505050"/>
                <w:sz w:val="17"/>
              </w:rPr>
              <w:br/>
              <w:t xml:space="preserve">    "Sales Local",Sales Accounts</w:t>
            </w:r>
            <w:r>
              <w:rPr>
                <w:rFonts w:ascii="Consolas" w:hAnsi="Consolas"/>
                <w:color w:val="505050"/>
                <w:sz w:val="17"/>
              </w:rPr>
              <w:br/>
              <w:t xml:space="preserve">    "Sundry Creditors Local",Sundry Creditors</w:t>
            </w:r>
          </w:p>
        </w:tc>
      </w:tr>
    </w:tbl>
    <w:p w14:paraId="61299E9A" w14:textId="77777777" w:rsidR="00AB1E67" w:rsidRDefault="00000000">
      <w:pPr>
        <w:pStyle w:val="ListBullet"/>
        <w:spacing w:before="40" w:after="40"/>
      </w:pPr>
      <w:r>
        <w:rPr>
          <w:rFonts w:ascii="Calibri" w:hAnsi="Calibri"/>
          <w:b/>
          <w:color w:val="333333"/>
        </w:rPr>
        <w:t>Journal CSV (JV)</w:t>
      </w:r>
      <w:r>
        <w:rPr>
          <w:rFonts w:ascii="Calibri" w:hAnsi="Calibri"/>
          <w:color w:val="333333"/>
        </w:rPr>
        <w:t>:</w:t>
      </w:r>
    </w:p>
    <w:p w14:paraId="14B66612" w14:textId="77777777" w:rsidR="00AB1E67" w:rsidRDefault="00000000">
      <w:pPr>
        <w:spacing w:before="80" w:after="120"/>
      </w:pPr>
      <w:r>
        <w:rPr>
          <w:rFonts w:ascii="Calibri" w:hAnsi="Calibri"/>
          <w:color w:val="333333"/>
        </w:rPr>
        <w:t>Must contain these headers:</w:t>
      </w:r>
    </w:p>
    <w:p w14:paraId="34767823" w14:textId="77777777" w:rsidR="00AB1E67" w:rsidRDefault="00AB1E67">
      <w:pPr>
        <w:spacing w:before="80" w:after="80"/>
      </w:pPr>
    </w:p>
    <w:tbl>
      <w:tblPr>
        <w:tblW w:w="0" w:type="auto"/>
        <w:jc w:val="center"/>
        <w:tblLook w:val="04A0" w:firstRow="1" w:lastRow="0" w:firstColumn="1" w:lastColumn="0" w:noHBand="0" w:noVBand="1"/>
      </w:tblPr>
      <w:tblGrid>
        <w:gridCol w:w="8640"/>
      </w:tblGrid>
      <w:tr w:rsidR="00AB1E67" w14:paraId="4E995800" w14:textId="77777777">
        <w:trPr>
          <w:jc w:val="center"/>
        </w:trPr>
        <w:tc>
          <w:tcPr>
            <w:tcW w:w="8640" w:type="dxa"/>
            <w:shd w:val="clear" w:color="auto" w:fill="F4F4F4"/>
          </w:tcPr>
          <w:p w14:paraId="3FEBA803" w14:textId="77777777" w:rsidR="00AB1E67" w:rsidRDefault="00000000">
            <w:pPr>
              <w:ind w:left="144" w:right="144"/>
            </w:pPr>
            <w:r>
              <w:rPr>
                <w:rFonts w:ascii="Consolas" w:hAnsi="Consolas"/>
                <w:color w:val="505050"/>
                <w:sz w:val="17"/>
              </w:rPr>
              <w:t xml:space="preserve">    PARTICULARS,DEBIT,CREDIT</w:t>
            </w:r>
            <w:r>
              <w:rPr>
                <w:rFonts w:ascii="Consolas" w:hAnsi="Consolas"/>
                <w:color w:val="505050"/>
                <w:sz w:val="17"/>
              </w:rPr>
              <w:br/>
              <w:t xml:space="preserve">    "State Bank of India",100000.00,</w:t>
            </w:r>
            <w:r>
              <w:rPr>
                <w:rFonts w:ascii="Consolas" w:hAnsi="Consolas"/>
                <w:color w:val="505050"/>
                <w:sz w:val="17"/>
              </w:rPr>
              <w:br/>
              <w:t xml:space="preserve">    "Sales Local",,100000.00</w:t>
            </w:r>
          </w:p>
        </w:tc>
      </w:tr>
    </w:tbl>
    <w:p w14:paraId="6BD1DAD4" w14:textId="77777777" w:rsidR="00AB1E67" w:rsidRDefault="00000000">
      <w:pPr>
        <w:pStyle w:val="Heading4"/>
        <w:spacing w:before="160" w:after="40"/>
      </w:pPr>
      <w:r>
        <w:rPr>
          <w:rFonts w:ascii="Segoe UI" w:hAnsi="Segoe UI"/>
          <w:color w:val="333333"/>
        </w:rPr>
        <w:t>⚙️ How the Tally Ingestion Pipeline Works:</w:t>
      </w:r>
    </w:p>
    <w:p w14:paraId="6CC4E741" w14:textId="77777777" w:rsidR="00AB1E67" w:rsidRDefault="00000000">
      <w:pPr>
        <w:spacing w:before="80" w:after="120"/>
      </w:pPr>
      <w:r>
        <w:rPr>
          <w:rFonts w:ascii="Calibri" w:hAnsi="Calibri"/>
          <w:color w:val="333333"/>
        </w:rPr>
        <w:t xml:space="preserve">The </w:t>
      </w:r>
      <w:r>
        <w:rPr>
          <w:rFonts w:ascii="Consolas" w:hAnsi="Consolas"/>
          <w:color w:val="B42850"/>
          <w:sz w:val="19"/>
        </w:rPr>
        <w:t>TallyBridge</w:t>
      </w:r>
      <w:r>
        <w:rPr>
          <w:rFonts w:ascii="Calibri" w:hAnsi="Calibri"/>
          <w:color w:val="333333"/>
        </w:rPr>
        <w:t xml:space="preserve"> class processes the uploads through a structured parser:</w:t>
      </w:r>
    </w:p>
    <w:p w14:paraId="58E8ACB6" w14:textId="77777777" w:rsidR="00AB1E67" w:rsidRDefault="00000000">
      <w:pPr>
        <w:pStyle w:val="ListNumber"/>
        <w:spacing w:before="40" w:after="40"/>
      </w:pPr>
      <w:r>
        <w:rPr>
          <w:rFonts w:ascii="Calibri" w:hAnsi="Calibri"/>
          <w:b/>
          <w:color w:val="333333"/>
        </w:rPr>
        <w:t>Ledger Mapping</w:t>
      </w:r>
      <w:r>
        <w:rPr>
          <w:rFonts w:ascii="Calibri" w:hAnsi="Calibri"/>
          <w:color w:val="333333"/>
        </w:rPr>
        <w:t xml:space="preserve">: Parses the Ledger Master and maps each ledger's </w:t>
      </w:r>
      <w:r>
        <w:rPr>
          <w:rFonts w:ascii="Consolas" w:hAnsi="Consolas"/>
          <w:color w:val="B42850"/>
          <w:sz w:val="19"/>
        </w:rPr>
        <w:t>PRIMARYGROUP</w:t>
      </w:r>
      <w:r>
        <w:rPr>
          <w:rFonts w:ascii="Calibri" w:hAnsi="Calibri"/>
          <w:color w:val="333333"/>
        </w:rPr>
        <w:t xml:space="preserve"> to one of 12 standard financial categories (</w:t>
      </w:r>
      <w:r>
        <w:rPr>
          <w:rFonts w:ascii="Consolas" w:hAnsi="Consolas"/>
          <w:color w:val="B42850"/>
          <w:sz w:val="19"/>
        </w:rPr>
        <w:t>revenue</w:t>
      </w:r>
      <w:r>
        <w:rPr>
          <w:rFonts w:ascii="Calibri" w:hAnsi="Calibri"/>
          <w:color w:val="333333"/>
        </w:rPr>
        <w:t xml:space="preserve">, </w:t>
      </w:r>
      <w:r>
        <w:rPr>
          <w:rFonts w:ascii="Consolas" w:hAnsi="Consolas"/>
          <w:color w:val="B42850"/>
          <w:sz w:val="19"/>
        </w:rPr>
        <w:t>cogs</w:t>
      </w:r>
      <w:r>
        <w:rPr>
          <w:rFonts w:ascii="Calibri" w:hAnsi="Calibri"/>
          <w:color w:val="333333"/>
        </w:rPr>
        <w:t xml:space="preserve">, </w:t>
      </w:r>
      <w:r>
        <w:rPr>
          <w:rFonts w:ascii="Consolas" w:hAnsi="Consolas"/>
          <w:color w:val="B42850"/>
          <w:sz w:val="19"/>
        </w:rPr>
        <w:t>opex</w:t>
      </w:r>
      <w:r>
        <w:rPr>
          <w:rFonts w:ascii="Calibri" w:hAnsi="Calibri"/>
          <w:color w:val="333333"/>
        </w:rPr>
        <w:t xml:space="preserve">, </w:t>
      </w:r>
      <w:r>
        <w:rPr>
          <w:rFonts w:ascii="Consolas" w:hAnsi="Consolas"/>
          <w:color w:val="B42850"/>
          <w:sz w:val="19"/>
        </w:rPr>
        <w:t>cash</w:t>
      </w:r>
      <w:r>
        <w:rPr>
          <w:rFonts w:ascii="Calibri" w:hAnsi="Calibri"/>
          <w:color w:val="333333"/>
        </w:rPr>
        <w:t xml:space="preserve">, </w:t>
      </w:r>
      <w:r>
        <w:rPr>
          <w:rFonts w:ascii="Consolas" w:hAnsi="Consolas"/>
          <w:color w:val="B42850"/>
          <w:sz w:val="19"/>
        </w:rPr>
        <w:t>receivables</w:t>
      </w:r>
      <w:r>
        <w:rPr>
          <w:rFonts w:ascii="Calibri" w:hAnsi="Calibri"/>
          <w:color w:val="333333"/>
        </w:rPr>
        <w:t xml:space="preserve">, </w:t>
      </w:r>
      <w:r>
        <w:rPr>
          <w:rFonts w:ascii="Consolas" w:hAnsi="Consolas"/>
          <w:color w:val="B42850"/>
          <w:sz w:val="19"/>
        </w:rPr>
        <w:t>inventory</w:t>
      </w:r>
      <w:r>
        <w:rPr>
          <w:rFonts w:ascii="Calibri" w:hAnsi="Calibri"/>
          <w:color w:val="333333"/>
        </w:rPr>
        <w:t xml:space="preserve">, </w:t>
      </w:r>
      <w:r>
        <w:rPr>
          <w:rFonts w:ascii="Consolas" w:hAnsi="Consolas"/>
          <w:color w:val="B42850"/>
          <w:sz w:val="19"/>
        </w:rPr>
        <w:t>other_current_assets</w:t>
      </w:r>
      <w:r>
        <w:rPr>
          <w:rFonts w:ascii="Calibri" w:hAnsi="Calibri"/>
          <w:color w:val="333333"/>
        </w:rPr>
        <w:t xml:space="preserve">, </w:t>
      </w:r>
      <w:r>
        <w:rPr>
          <w:rFonts w:ascii="Consolas" w:hAnsi="Consolas"/>
          <w:color w:val="B42850"/>
          <w:sz w:val="19"/>
        </w:rPr>
        <w:t>fixed_assets</w:t>
      </w:r>
      <w:r>
        <w:rPr>
          <w:rFonts w:ascii="Calibri" w:hAnsi="Calibri"/>
          <w:color w:val="333333"/>
        </w:rPr>
        <w:t xml:space="preserve">, </w:t>
      </w:r>
      <w:r>
        <w:rPr>
          <w:rFonts w:ascii="Consolas" w:hAnsi="Consolas"/>
          <w:color w:val="B42850"/>
          <w:sz w:val="19"/>
        </w:rPr>
        <w:t>payables</w:t>
      </w:r>
      <w:r>
        <w:rPr>
          <w:rFonts w:ascii="Calibri" w:hAnsi="Calibri"/>
          <w:color w:val="333333"/>
        </w:rPr>
        <w:t xml:space="preserve">, </w:t>
      </w:r>
      <w:r>
        <w:rPr>
          <w:rFonts w:ascii="Consolas" w:hAnsi="Consolas"/>
          <w:color w:val="B42850"/>
          <w:sz w:val="19"/>
        </w:rPr>
        <w:t>other_current_liabilities</w:t>
      </w:r>
      <w:r>
        <w:rPr>
          <w:rFonts w:ascii="Calibri" w:hAnsi="Calibri"/>
          <w:color w:val="333333"/>
        </w:rPr>
        <w:t xml:space="preserve">, </w:t>
      </w:r>
      <w:r>
        <w:rPr>
          <w:rFonts w:ascii="Consolas" w:hAnsi="Consolas"/>
          <w:color w:val="B42850"/>
          <w:sz w:val="19"/>
        </w:rPr>
        <w:t>debt</w:t>
      </w:r>
      <w:r>
        <w:rPr>
          <w:rFonts w:ascii="Calibri" w:hAnsi="Calibri"/>
          <w:color w:val="333333"/>
        </w:rPr>
        <w:t xml:space="preserve">, </w:t>
      </w:r>
      <w:r>
        <w:rPr>
          <w:rFonts w:ascii="Consolas" w:hAnsi="Consolas"/>
          <w:color w:val="B42850"/>
          <w:sz w:val="19"/>
        </w:rPr>
        <w:t>equity</w:t>
      </w:r>
      <w:r>
        <w:rPr>
          <w:rFonts w:ascii="Calibri" w:hAnsi="Calibri"/>
          <w:color w:val="333333"/>
        </w:rPr>
        <w:t xml:space="preserve">). Unmapped accounts are grouped as </w:t>
      </w:r>
      <w:r>
        <w:rPr>
          <w:rFonts w:ascii="Consolas" w:hAnsi="Consolas"/>
          <w:color w:val="B42850"/>
          <w:sz w:val="19"/>
        </w:rPr>
        <w:t>EXCLUDE</w:t>
      </w:r>
      <w:r>
        <w:rPr>
          <w:rFonts w:ascii="Calibri" w:hAnsi="Calibri"/>
          <w:color w:val="333333"/>
        </w:rPr>
        <w:t>.</w:t>
      </w:r>
    </w:p>
    <w:p w14:paraId="7136A4F2" w14:textId="77777777" w:rsidR="00AB1E67" w:rsidRDefault="00000000">
      <w:pPr>
        <w:pStyle w:val="ListNumber"/>
        <w:spacing w:before="40" w:after="40"/>
      </w:pPr>
      <w:r>
        <w:rPr>
          <w:rFonts w:ascii="Calibri" w:hAnsi="Calibri"/>
          <w:b/>
          <w:color w:val="333333"/>
        </w:rPr>
        <w:lastRenderedPageBreak/>
        <w:t>Journal Processing</w:t>
      </w:r>
      <w:r>
        <w:rPr>
          <w:rFonts w:ascii="Calibri" w:hAnsi="Calibri"/>
          <w:color w:val="333333"/>
        </w:rPr>
        <w:t>: Stream-processes the Journal CSV in chunks of 50,000 rows. It aggregates debit and credit values for each mapped ledger name.</w:t>
      </w:r>
    </w:p>
    <w:p w14:paraId="5862C828" w14:textId="77777777" w:rsidR="00AB1E67" w:rsidRDefault="00000000">
      <w:pPr>
        <w:pStyle w:val="ListNumber"/>
        <w:spacing w:before="40" w:after="40"/>
      </w:pPr>
      <w:r>
        <w:rPr>
          <w:rFonts w:ascii="Calibri" w:hAnsi="Calibri"/>
          <w:b/>
          <w:color w:val="333333"/>
        </w:rPr>
        <w:t>Balance Computation</w:t>
      </w:r>
      <w:r>
        <w:rPr>
          <w:rFonts w:ascii="Calibri" w:hAnsi="Calibri"/>
          <w:color w:val="333333"/>
        </w:rPr>
        <w:t>: Net balances are computed based on the financial nature of the group:</w:t>
      </w:r>
    </w:p>
    <w:p w14:paraId="60A58444" w14:textId="77777777" w:rsidR="00AB1E67" w:rsidRDefault="00000000">
      <w:pPr>
        <w:pStyle w:val="ListBullet"/>
        <w:spacing w:before="40" w:after="40"/>
      </w:pPr>
      <w:r>
        <w:rPr>
          <w:rFonts w:ascii="Calibri" w:hAnsi="Calibri"/>
          <w:i/>
          <w:color w:val="333333"/>
        </w:rPr>
        <w:t>Asset / Expense categories</w:t>
      </w:r>
      <w:r>
        <w:rPr>
          <w:rFonts w:ascii="Calibri" w:hAnsi="Calibri"/>
          <w:color w:val="333333"/>
        </w:rPr>
        <w:t xml:space="preserve"> balance = </w:t>
      </w:r>
      <w:r>
        <w:rPr>
          <w:rFonts w:ascii="Consolas" w:hAnsi="Consolas"/>
          <w:color w:val="B42850"/>
          <w:sz w:val="19"/>
        </w:rPr>
        <w:t>Debit - Credit</w:t>
      </w:r>
    </w:p>
    <w:p w14:paraId="48D00775" w14:textId="77777777" w:rsidR="00AB1E67" w:rsidRDefault="00000000">
      <w:pPr>
        <w:pStyle w:val="ListBullet"/>
        <w:spacing w:before="40" w:after="40"/>
      </w:pPr>
      <w:r>
        <w:rPr>
          <w:rFonts w:ascii="Calibri" w:hAnsi="Calibri"/>
          <w:i/>
          <w:color w:val="333333"/>
        </w:rPr>
        <w:t>Liability / Equity / Income categories</w:t>
      </w:r>
      <w:r>
        <w:rPr>
          <w:rFonts w:ascii="Calibri" w:hAnsi="Calibri"/>
          <w:color w:val="333333"/>
        </w:rPr>
        <w:t xml:space="preserve"> balance = </w:t>
      </w:r>
      <w:r>
        <w:rPr>
          <w:rFonts w:ascii="Consolas" w:hAnsi="Consolas"/>
          <w:color w:val="B42850"/>
          <w:sz w:val="19"/>
        </w:rPr>
        <w:t>Credit - Debit</w:t>
      </w:r>
    </w:p>
    <w:p w14:paraId="6FBAFCC7" w14:textId="77777777" w:rsidR="00AB1E67" w:rsidRDefault="00000000">
      <w:pPr>
        <w:pStyle w:val="ListNumber"/>
        <w:spacing w:before="40" w:after="40"/>
      </w:pPr>
      <w:r>
        <w:rPr>
          <w:rFonts w:ascii="Calibri" w:hAnsi="Calibri"/>
          <w:b/>
          <w:color w:val="333333"/>
        </w:rPr>
        <w:t>Ratio Generation</w:t>
      </w:r>
      <w:r>
        <w:rPr>
          <w:rFonts w:ascii="Calibri" w:hAnsi="Calibri"/>
          <w:color w:val="333333"/>
        </w:rPr>
        <w:t xml:space="preserve">: Executes core financial formulas to approximate the client's ratios (e.g., </w:t>
      </w:r>
      <w:r>
        <w:rPr>
          <w:rFonts w:ascii="Consolas" w:hAnsi="Consolas"/>
          <w:color w:val="B42850"/>
          <w:sz w:val="19"/>
        </w:rPr>
        <w:t>current_ratio = current_assets / current_liabilities</w:t>
      </w:r>
      <w:r>
        <w:rPr>
          <w:rFonts w:ascii="Calibri" w:hAnsi="Calibri"/>
          <w:color w:val="333333"/>
        </w:rPr>
        <w:t>).</w:t>
      </w:r>
    </w:p>
    <w:p w14:paraId="73803FFF" w14:textId="77777777" w:rsidR="00AB1E67" w:rsidRDefault="00000000">
      <w:pPr>
        <w:pStyle w:val="ListNumber"/>
        <w:spacing w:before="40" w:after="40"/>
      </w:pPr>
      <w:r>
        <w:rPr>
          <w:rFonts w:ascii="Calibri" w:hAnsi="Calibri"/>
          <w:b/>
          <w:color w:val="333333"/>
        </w:rPr>
        <w:t>Trial Balance Output</w:t>
      </w:r>
      <w:r>
        <w:rPr>
          <w:rFonts w:ascii="Calibri" w:hAnsi="Calibri"/>
          <w:color w:val="333333"/>
        </w:rPr>
        <w:t>: Constructs a complete trial balance, net-aggregating ledger entries to display absolute Debit and Credit balances per ledger.</w:t>
      </w:r>
    </w:p>
    <w:p w14:paraId="1A241472" w14:textId="77777777" w:rsidR="00AB1E67" w:rsidRDefault="00000000">
      <w:pPr>
        <w:pStyle w:val="ListNumber"/>
        <w:spacing w:before="40" w:after="40"/>
      </w:pPr>
      <w:r>
        <w:rPr>
          <w:rFonts w:ascii="Calibri" w:hAnsi="Calibri"/>
          <w:b/>
          <w:color w:val="333333"/>
        </w:rPr>
        <w:t>Sector Benchmarking</w:t>
      </w:r>
      <w:r>
        <w:rPr>
          <w:rFonts w:ascii="Calibri" w:hAnsi="Calibri"/>
          <w:color w:val="333333"/>
        </w:rPr>
        <w:t xml:space="preserve">: Directs the resulting client ratio dictionary to the </w:t>
      </w:r>
      <w:r>
        <w:rPr>
          <w:rFonts w:ascii="Consolas" w:hAnsi="Consolas"/>
          <w:color w:val="B42850"/>
          <w:sz w:val="19"/>
        </w:rPr>
        <w:t>ClientComparator</w:t>
      </w:r>
      <w:r>
        <w:rPr>
          <w:rFonts w:ascii="Calibri" w:hAnsi="Calibri"/>
          <w:color w:val="333333"/>
        </w:rPr>
        <w:t xml:space="preserve"> engine to run full percentile ranks and scoring against your chosen public sector.</w:t>
      </w:r>
    </w:p>
    <w:p w14:paraId="75312829" w14:textId="77777777" w:rsidR="00AB1E67" w:rsidRDefault="00000000">
      <w:pPr>
        <w:pStyle w:val="Heading2"/>
        <w:spacing w:before="280" w:after="80"/>
      </w:pPr>
      <w:r>
        <w:rPr>
          <w:rFonts w:ascii="Segoe UI" w:hAnsi="Segoe UI"/>
          <w:color w:val="005F5F"/>
          <w:sz w:val="30"/>
        </w:rPr>
        <w:t>🖥️ 4. Dashboard Tab-by-Tab Visual Reference</w:t>
      </w:r>
    </w:p>
    <w:p w14:paraId="79DEA96C" w14:textId="77777777" w:rsidR="00AB1E67" w:rsidRDefault="00000000">
      <w:pPr>
        <w:pStyle w:val="Heading3"/>
        <w:spacing w:after="40"/>
      </w:pPr>
      <w:r>
        <w:rPr>
          <w:rFonts w:ascii="Segoe UI" w:hAnsi="Segoe UI"/>
          <w:color w:val="333333"/>
          <w:sz w:val="24"/>
        </w:rPr>
        <w:t>Home Tab &amp; Calibration Control</w:t>
      </w:r>
    </w:p>
    <w:p w14:paraId="6E16903D" w14:textId="77777777" w:rsidR="00AB1E67" w:rsidRDefault="00000000">
      <w:pPr>
        <w:spacing w:before="80" w:after="120"/>
      </w:pPr>
      <w:r>
        <w:rPr>
          <w:rFonts w:ascii="Calibri" w:hAnsi="Calibri"/>
          <w:color w:val="333333"/>
        </w:rPr>
        <w:t>This tab serves as the entry page and command hub. It contains scope selectors, parameter calibration sliders, and the TallySync/CSV file upload dropzones.</w:t>
      </w:r>
    </w:p>
    <w:p w14:paraId="72A865AC" w14:textId="77777777" w:rsidR="00AB1E67" w:rsidRDefault="00000000">
      <w:pPr>
        <w:pStyle w:val="Heading4"/>
        <w:spacing w:before="160" w:after="40"/>
      </w:pPr>
      <w:r>
        <w:rPr>
          <w:rFonts w:ascii="Segoe UI" w:hAnsi="Segoe UI"/>
          <w:color w:val="333333"/>
        </w:rPr>
        <w:t>📸 Interface Capture:</w:t>
      </w:r>
    </w:p>
    <w:p w14:paraId="41517EE1" w14:textId="77777777" w:rsidR="00AB1E67" w:rsidRDefault="00000000">
      <w:pPr>
        <w:spacing w:before="240" w:after="80"/>
        <w:jc w:val="center"/>
      </w:pPr>
      <w:r>
        <w:rPr>
          <w:noProof/>
        </w:rPr>
        <w:drawing>
          <wp:inline distT="0" distB="0" distL="0" distR="0" wp14:anchorId="76FFEDA1" wp14:editId="534C2E00">
            <wp:extent cx="5486400" cy="281463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idebar_and_home.png"/>
                    <pic:cNvPicPr/>
                  </pic:nvPicPr>
                  <pic:blipFill>
                    <a:blip r:embed="rId6"/>
                    <a:stretch>
                      <a:fillRect/>
                    </a:stretch>
                  </pic:blipFill>
                  <pic:spPr>
                    <a:xfrm>
                      <a:off x="0" y="0"/>
                      <a:ext cx="5486400" cy="2814638"/>
                    </a:xfrm>
                    <a:prstGeom prst="rect">
                      <a:avLst/>
                    </a:prstGeom>
                  </pic:spPr>
                </pic:pic>
              </a:graphicData>
            </a:graphic>
          </wp:inline>
        </w:drawing>
      </w:r>
    </w:p>
    <w:p w14:paraId="6E7D6044" w14:textId="77777777" w:rsidR="00AB1E67" w:rsidRDefault="00000000">
      <w:pPr>
        <w:spacing w:after="240"/>
        <w:jc w:val="center"/>
      </w:pPr>
      <w:r>
        <w:rPr>
          <w:rFonts w:ascii="Calibri" w:hAnsi="Calibri"/>
          <w:i/>
          <w:color w:val="666666"/>
          <w:sz w:val="19"/>
        </w:rPr>
        <w:t>Figure: Sidebar &amp; Home Tab Configuration</w:t>
      </w:r>
    </w:p>
    <w:p w14:paraId="5AE30B6F" w14:textId="77777777" w:rsidR="00AB1E67" w:rsidRDefault="00000000">
      <w:pPr>
        <w:pStyle w:val="Heading4"/>
        <w:spacing w:before="160" w:after="40"/>
      </w:pPr>
      <w:r>
        <w:rPr>
          <w:rFonts w:ascii="Segoe UI" w:hAnsi="Segoe UI"/>
          <w:color w:val="333333"/>
        </w:rPr>
        <w:t>📝 Visual Elements &amp; Controls to Note:</w:t>
      </w:r>
    </w:p>
    <w:p w14:paraId="533A8F8B" w14:textId="77777777" w:rsidR="00AB1E67" w:rsidRDefault="00000000">
      <w:pPr>
        <w:pStyle w:val="ListBullet"/>
        <w:spacing w:before="40" w:after="40"/>
      </w:pPr>
      <w:r>
        <w:rPr>
          <w:rFonts w:ascii="Calibri" w:hAnsi="Calibri"/>
          <w:b/>
          <w:color w:val="333333"/>
        </w:rPr>
        <w:t>Scope Selector Radio</w:t>
      </w:r>
      <w:r>
        <w:rPr>
          <w:rFonts w:ascii="Calibri" w:hAnsi="Calibri"/>
          <w:color w:val="333333"/>
        </w:rPr>
        <w:t>: Instantly toggles between standard Sectors, Industry sub-divisions, or AI search interfaces.</w:t>
      </w:r>
    </w:p>
    <w:p w14:paraId="08A1A8C2" w14:textId="77777777" w:rsidR="00AB1E67" w:rsidRDefault="00000000">
      <w:pPr>
        <w:pStyle w:val="ListBullet"/>
        <w:spacing w:before="40" w:after="40"/>
      </w:pPr>
      <w:r>
        <w:rPr>
          <w:rFonts w:ascii="Calibri" w:hAnsi="Calibri"/>
          <w:b/>
          <w:color w:val="333333"/>
        </w:rPr>
        <w:t>Calibration Expander</w:t>
      </w:r>
      <w:r>
        <w:rPr>
          <w:rFonts w:ascii="Calibri" w:hAnsi="Calibri"/>
          <w:color w:val="333333"/>
        </w:rPr>
        <w:t>: Collapsible advanced settings card housing sliders for IQR Multiplier (Tukey width), Z-Score boundary, and Isolation Forest contamination percentage.</w:t>
      </w:r>
    </w:p>
    <w:p w14:paraId="3CD3C51C" w14:textId="77777777" w:rsidR="00AB1E67" w:rsidRDefault="00000000">
      <w:pPr>
        <w:pStyle w:val="ListBullet"/>
        <w:spacing w:before="40" w:after="40"/>
      </w:pPr>
      <w:r>
        <w:rPr>
          <w:rFonts w:ascii="Calibri" w:hAnsi="Calibri"/>
          <w:b/>
          <w:color w:val="333333"/>
        </w:rPr>
        <w:lastRenderedPageBreak/>
        <w:t>Primary Execution Button</w:t>
      </w:r>
      <w:r>
        <w:rPr>
          <w:rFonts w:ascii="Calibri" w:hAnsi="Calibri"/>
          <w:color w:val="333333"/>
        </w:rPr>
        <w:t xml:space="preserve">: Large, full-width </w:t>
      </w:r>
      <w:r>
        <w:rPr>
          <w:rFonts w:ascii="Consolas" w:hAnsi="Consolas"/>
          <w:color w:val="B42850"/>
          <w:sz w:val="19"/>
        </w:rPr>
        <w:t>Run Phase 1: Build Benchmark</w:t>
      </w:r>
      <w:r>
        <w:rPr>
          <w:rFonts w:ascii="Calibri" w:hAnsi="Calibri"/>
          <w:color w:val="333333"/>
        </w:rPr>
        <w:t xml:space="preserve"> button accented in the Abyss Teal style.</w:t>
      </w:r>
    </w:p>
    <w:p w14:paraId="233DAA93" w14:textId="77777777" w:rsidR="00AB1E67" w:rsidRDefault="00000000">
      <w:pPr>
        <w:pStyle w:val="ListBullet"/>
        <w:spacing w:before="40" w:after="40"/>
      </w:pPr>
      <w:r>
        <w:rPr>
          <w:rFonts w:ascii="Calibri" w:hAnsi="Calibri"/>
          <w:b/>
          <w:color w:val="333333"/>
        </w:rPr>
        <w:t>Status Containers</w:t>
      </w:r>
      <w:r>
        <w:rPr>
          <w:rFonts w:ascii="Calibri" w:hAnsi="Calibri"/>
          <w:color w:val="333333"/>
        </w:rPr>
        <w:t>: Global status area at the top of the page showing real-time feedback (fetching ticker list, downloading yFinance statements, scaling matrices) to eliminate page layout shifts.</w:t>
      </w:r>
    </w:p>
    <w:p w14:paraId="0FC5965B" w14:textId="77777777" w:rsidR="00AB1E67" w:rsidRDefault="00000000">
      <w:pPr>
        <w:pStyle w:val="Heading3"/>
        <w:spacing w:after="40"/>
      </w:pPr>
      <w:r>
        <w:rPr>
          <w:rFonts w:ascii="Segoe UI" w:hAnsi="Segoe UI"/>
          <w:color w:val="333333"/>
          <w:sz w:val="24"/>
        </w:rPr>
        <w:t>TallySync Upload Inputs</w:t>
      </w:r>
    </w:p>
    <w:p w14:paraId="2A25E971" w14:textId="77777777" w:rsidR="00AB1E67" w:rsidRDefault="00000000">
      <w:pPr>
        <w:spacing w:before="80" w:after="120"/>
      </w:pPr>
      <w:r>
        <w:rPr>
          <w:rFonts w:ascii="Calibri" w:hAnsi="Calibri"/>
          <w:color w:val="333333"/>
        </w:rPr>
        <w:t xml:space="preserve">Located inside the Client Comparison section of the Home tab. This displays the active file dropzones for importing Tally ledger assets. In our trace below, we have loaded ledger assets for </w:t>
      </w:r>
      <w:r>
        <w:rPr>
          <w:rFonts w:ascii="Calibri" w:hAnsi="Calibri"/>
          <w:b/>
          <w:color w:val="333333"/>
        </w:rPr>
        <w:t>FMCG Client</w:t>
      </w:r>
      <w:r>
        <w:rPr>
          <w:rFonts w:ascii="Calibri" w:hAnsi="Calibri"/>
          <w:color w:val="333333"/>
        </w:rPr>
        <w:t xml:space="preserve"> compared against the public </w:t>
      </w:r>
      <w:r>
        <w:rPr>
          <w:rFonts w:ascii="Calibri" w:hAnsi="Calibri"/>
          <w:b/>
          <w:color w:val="333333"/>
        </w:rPr>
        <w:t>AI: supermarket</w:t>
      </w:r>
      <w:r>
        <w:rPr>
          <w:rFonts w:ascii="Calibri" w:hAnsi="Calibri"/>
          <w:color w:val="333333"/>
        </w:rPr>
        <w:t xml:space="preserve"> sector.</w:t>
      </w:r>
    </w:p>
    <w:p w14:paraId="0B79595D" w14:textId="77777777" w:rsidR="00AB1E67" w:rsidRDefault="00000000">
      <w:pPr>
        <w:pStyle w:val="Heading4"/>
        <w:spacing w:before="160" w:after="40"/>
      </w:pPr>
      <w:r>
        <w:rPr>
          <w:rFonts w:ascii="Segoe UI" w:hAnsi="Segoe UI"/>
          <w:color w:val="333333"/>
        </w:rPr>
        <w:t>📸 Interface Capture:</w:t>
      </w:r>
    </w:p>
    <w:p w14:paraId="4965F8EF" w14:textId="77777777" w:rsidR="00AB1E67" w:rsidRDefault="00000000">
      <w:pPr>
        <w:spacing w:before="240" w:after="80"/>
        <w:jc w:val="center"/>
      </w:pPr>
      <w:r>
        <w:rPr>
          <w:noProof/>
        </w:rPr>
        <w:drawing>
          <wp:inline distT="0" distB="0" distL="0" distR="0" wp14:anchorId="2C8DA139" wp14:editId="506EDEC6">
            <wp:extent cx="5486400" cy="283749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tally_upload.png"/>
                    <pic:cNvPicPr/>
                  </pic:nvPicPr>
                  <pic:blipFill>
                    <a:blip r:embed="rId7"/>
                    <a:stretch>
                      <a:fillRect/>
                    </a:stretch>
                  </pic:blipFill>
                  <pic:spPr>
                    <a:xfrm>
                      <a:off x="0" y="0"/>
                      <a:ext cx="5486400" cy="2837498"/>
                    </a:xfrm>
                    <a:prstGeom prst="rect">
                      <a:avLst/>
                    </a:prstGeom>
                  </pic:spPr>
                </pic:pic>
              </a:graphicData>
            </a:graphic>
          </wp:inline>
        </w:drawing>
      </w:r>
    </w:p>
    <w:p w14:paraId="680BD2D8" w14:textId="77777777" w:rsidR="00AB1E67" w:rsidRDefault="00000000">
      <w:pPr>
        <w:spacing w:after="240"/>
        <w:jc w:val="center"/>
      </w:pPr>
      <w:r>
        <w:rPr>
          <w:rFonts w:ascii="Calibri" w:hAnsi="Calibri"/>
          <w:i/>
          <w:color w:val="666666"/>
          <w:sz w:val="19"/>
        </w:rPr>
        <w:t>Figure: TallySync Upload Inputs</w:t>
      </w:r>
    </w:p>
    <w:p w14:paraId="28A4A97F" w14:textId="77777777" w:rsidR="00AB1E67" w:rsidRDefault="00000000">
      <w:pPr>
        <w:pStyle w:val="Heading4"/>
        <w:spacing w:before="160" w:after="40"/>
      </w:pPr>
      <w:r>
        <w:rPr>
          <w:rFonts w:ascii="Segoe UI" w:hAnsi="Segoe UI"/>
          <w:color w:val="333333"/>
        </w:rPr>
        <w:t>📝 Visual Elements &amp; Controls to Note:</w:t>
      </w:r>
    </w:p>
    <w:p w14:paraId="50073EBC" w14:textId="77777777" w:rsidR="00AB1E67" w:rsidRDefault="00000000">
      <w:pPr>
        <w:pStyle w:val="ListBullet"/>
        <w:spacing w:before="40" w:after="40"/>
      </w:pPr>
      <w:r>
        <w:rPr>
          <w:rFonts w:ascii="Calibri" w:hAnsi="Calibri"/>
          <w:b/>
          <w:color w:val="333333"/>
        </w:rPr>
        <w:t>Dual File Uploader Containers</w:t>
      </w:r>
      <w:r>
        <w:rPr>
          <w:rFonts w:ascii="Calibri" w:hAnsi="Calibri"/>
          <w:color w:val="333333"/>
        </w:rPr>
        <w:t>: Separate, dashed drag-and-drop boxes for uploading the Journal CSV (JV) and the Ledger Master CSV.</w:t>
      </w:r>
    </w:p>
    <w:p w14:paraId="40FE84B8" w14:textId="77777777" w:rsidR="00AB1E67" w:rsidRDefault="00000000">
      <w:pPr>
        <w:pStyle w:val="ListBullet"/>
        <w:spacing w:before="40" w:after="40"/>
      </w:pPr>
      <w:r>
        <w:rPr>
          <w:rFonts w:ascii="Calibri" w:hAnsi="Calibri"/>
          <w:b/>
          <w:color w:val="333333"/>
        </w:rPr>
        <w:t>Client Name Input Field</w:t>
      </w:r>
      <w:r>
        <w:rPr>
          <w:rFonts w:ascii="Calibri" w:hAnsi="Calibri"/>
          <w:color w:val="333333"/>
        </w:rPr>
        <w:t xml:space="preserve">: Interactive text field populated with the client's name (e.g., </w:t>
      </w:r>
      <w:r>
        <w:rPr>
          <w:rFonts w:ascii="Calibri" w:hAnsi="Calibri"/>
          <w:i/>
          <w:color w:val="333333"/>
        </w:rPr>
        <w:t>"FMCG Client"</w:t>
      </w:r>
      <w:r>
        <w:rPr>
          <w:rFonts w:ascii="Calibri" w:hAnsi="Calibri"/>
          <w:color w:val="333333"/>
        </w:rPr>
        <w:t>).</w:t>
      </w:r>
    </w:p>
    <w:p w14:paraId="7F365930" w14:textId="77777777" w:rsidR="00AB1E67" w:rsidRDefault="00000000">
      <w:pPr>
        <w:pStyle w:val="ListBullet"/>
        <w:spacing w:before="40" w:after="40"/>
      </w:pPr>
      <w:r>
        <w:rPr>
          <w:rFonts w:ascii="Calibri" w:hAnsi="Calibri"/>
          <w:b/>
          <w:color w:val="333333"/>
        </w:rPr>
        <w:t>Sector Selection Dropdown</w:t>
      </w:r>
      <w:r>
        <w:rPr>
          <w:rFonts w:ascii="Calibri" w:hAnsi="Calibri"/>
          <w:color w:val="333333"/>
        </w:rPr>
        <w:t xml:space="preserve">: Selects which public benchmark peer group (cached during Phase 1) to compare the client against (e.g. </w:t>
      </w:r>
      <w:r>
        <w:rPr>
          <w:rFonts w:ascii="Calibri" w:hAnsi="Calibri"/>
          <w:i/>
          <w:color w:val="333333"/>
        </w:rPr>
        <w:t>"AI: supermarket"</w:t>
      </w:r>
      <w:r>
        <w:rPr>
          <w:rFonts w:ascii="Calibri" w:hAnsi="Calibri"/>
          <w:color w:val="333333"/>
        </w:rPr>
        <w:t>).</w:t>
      </w:r>
    </w:p>
    <w:p w14:paraId="6308782D" w14:textId="77777777" w:rsidR="00AB1E67" w:rsidRDefault="00000000">
      <w:pPr>
        <w:pStyle w:val="ListBullet"/>
        <w:spacing w:before="40" w:after="40"/>
      </w:pPr>
      <w:r>
        <w:rPr>
          <w:rFonts w:ascii="Calibri" w:hAnsi="Calibri"/>
          <w:b/>
          <w:color w:val="333333"/>
        </w:rPr>
        <w:t>Process Tally Data Button</w:t>
      </w:r>
      <w:r>
        <w:rPr>
          <w:rFonts w:ascii="Calibri" w:hAnsi="Calibri"/>
          <w:color w:val="333333"/>
        </w:rPr>
        <w:t xml:space="preserve">: Triggers the </w:t>
      </w:r>
      <w:r>
        <w:rPr>
          <w:rFonts w:ascii="Consolas" w:hAnsi="Consolas"/>
          <w:color w:val="B42850"/>
          <w:sz w:val="19"/>
        </w:rPr>
        <w:t>TallyBridge</w:t>
      </w:r>
      <w:r>
        <w:rPr>
          <w:rFonts w:ascii="Calibri" w:hAnsi="Calibri"/>
          <w:color w:val="333333"/>
        </w:rPr>
        <w:t xml:space="preserve"> background parser, showing a custom progress percentage bar.</w:t>
      </w:r>
    </w:p>
    <w:p w14:paraId="56F74C5C" w14:textId="77777777" w:rsidR="00AB1E67" w:rsidRDefault="00000000">
      <w:pPr>
        <w:pStyle w:val="Heading3"/>
        <w:spacing w:after="40"/>
      </w:pPr>
      <w:r>
        <w:rPr>
          <w:rFonts w:ascii="Segoe UI" w:hAnsi="Segoe UI"/>
          <w:color w:val="333333"/>
          <w:sz w:val="24"/>
        </w:rPr>
        <w:lastRenderedPageBreak/>
        <w:t>Ratio Scorecard Tab</w:t>
      </w:r>
    </w:p>
    <w:p w14:paraId="6839427B" w14:textId="77777777" w:rsidR="00AB1E67" w:rsidRDefault="00000000">
      <w:pPr>
        <w:spacing w:before="80" w:after="120"/>
      </w:pPr>
      <w:r>
        <w:rPr>
          <w:rFonts w:ascii="Calibri" w:hAnsi="Calibri"/>
          <w:color w:val="333333"/>
        </w:rPr>
        <w:t xml:space="preserve">Displays the core benchmark scorecard for a selected company. It categorizes ratios as Above, At, or Below the benchmark. In our example, we analyze </w:t>
      </w:r>
      <w:r>
        <w:rPr>
          <w:rFonts w:ascii="Calibri" w:hAnsi="Calibri"/>
          <w:b/>
          <w:color w:val="333333"/>
        </w:rPr>
        <w:t>Kroger ("KR")</w:t>
      </w:r>
      <w:r>
        <w:rPr>
          <w:rFonts w:ascii="Calibri" w:hAnsi="Calibri"/>
          <w:color w:val="333333"/>
        </w:rPr>
        <w:t xml:space="preserve"> benchmarked within the supermarket peer group.</w:t>
      </w:r>
    </w:p>
    <w:p w14:paraId="77B85973" w14:textId="77777777" w:rsidR="00AB1E67" w:rsidRDefault="00000000">
      <w:pPr>
        <w:pStyle w:val="Heading4"/>
        <w:spacing w:before="160" w:after="40"/>
      </w:pPr>
      <w:r>
        <w:rPr>
          <w:rFonts w:ascii="Segoe UI" w:hAnsi="Segoe UI"/>
          <w:color w:val="333333"/>
        </w:rPr>
        <w:t>📸 Interface Capture:</w:t>
      </w:r>
    </w:p>
    <w:p w14:paraId="764C78C6" w14:textId="77777777" w:rsidR="00AB1E67" w:rsidRDefault="00000000">
      <w:pPr>
        <w:spacing w:before="240" w:after="80"/>
        <w:jc w:val="center"/>
      </w:pPr>
      <w:r>
        <w:rPr>
          <w:noProof/>
        </w:rPr>
        <w:drawing>
          <wp:inline distT="0" distB="0" distL="0" distR="0" wp14:anchorId="48652E51" wp14:editId="6CAEB1D7">
            <wp:extent cx="5486400" cy="284321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ratio_scorecard.png"/>
                    <pic:cNvPicPr/>
                  </pic:nvPicPr>
                  <pic:blipFill>
                    <a:blip r:embed="rId8"/>
                    <a:stretch>
                      <a:fillRect/>
                    </a:stretch>
                  </pic:blipFill>
                  <pic:spPr>
                    <a:xfrm>
                      <a:off x="0" y="0"/>
                      <a:ext cx="5486400" cy="2843212"/>
                    </a:xfrm>
                    <a:prstGeom prst="rect">
                      <a:avLst/>
                    </a:prstGeom>
                  </pic:spPr>
                </pic:pic>
              </a:graphicData>
            </a:graphic>
          </wp:inline>
        </w:drawing>
      </w:r>
    </w:p>
    <w:p w14:paraId="6EC248A0" w14:textId="77777777" w:rsidR="00AB1E67" w:rsidRDefault="00000000">
      <w:pPr>
        <w:spacing w:after="240"/>
        <w:jc w:val="center"/>
      </w:pPr>
      <w:r>
        <w:rPr>
          <w:rFonts w:ascii="Calibri" w:hAnsi="Calibri"/>
          <w:i/>
          <w:color w:val="666666"/>
          <w:sz w:val="19"/>
        </w:rPr>
        <w:t>Figure: Ratio Scorecard Tab</w:t>
      </w:r>
    </w:p>
    <w:p w14:paraId="2E691657" w14:textId="77777777" w:rsidR="00AB1E67" w:rsidRDefault="00000000">
      <w:pPr>
        <w:pStyle w:val="Heading4"/>
        <w:spacing w:before="160" w:after="40"/>
      </w:pPr>
      <w:r>
        <w:rPr>
          <w:rFonts w:ascii="Segoe UI" w:hAnsi="Segoe UI"/>
          <w:color w:val="333333"/>
        </w:rPr>
        <w:t>📝 Visual Elements &amp; Controls to Note:</w:t>
      </w:r>
    </w:p>
    <w:p w14:paraId="108AD6F5" w14:textId="77777777" w:rsidR="00AB1E67" w:rsidRDefault="00000000">
      <w:pPr>
        <w:pStyle w:val="ListBullet"/>
        <w:spacing w:before="40" w:after="40"/>
      </w:pPr>
      <w:r>
        <w:rPr>
          <w:rFonts w:ascii="Calibri" w:hAnsi="Calibri"/>
          <w:b/>
          <w:color w:val="333333"/>
        </w:rPr>
        <w:t>Scorecard Metric Cards</w:t>
      </w:r>
      <w:r>
        <w:rPr>
          <w:rFonts w:ascii="Calibri" w:hAnsi="Calibri"/>
          <w:color w:val="333333"/>
        </w:rPr>
        <w:t xml:space="preserve">: Three horizontal metric cards highlighting the count of ratios classified as </w:t>
      </w:r>
      <w:r>
        <w:rPr>
          <w:rFonts w:ascii="Calibri" w:hAnsi="Calibri"/>
          <w:i/>
          <w:color w:val="333333"/>
        </w:rPr>
        <w:t>Above Benchmark</w:t>
      </w:r>
      <w:r>
        <w:rPr>
          <w:rFonts w:ascii="Calibri" w:hAnsi="Calibri"/>
          <w:color w:val="333333"/>
        </w:rPr>
        <w:t xml:space="preserve">, </w:t>
      </w:r>
      <w:r>
        <w:rPr>
          <w:rFonts w:ascii="Calibri" w:hAnsi="Calibri"/>
          <w:i/>
          <w:color w:val="333333"/>
        </w:rPr>
        <w:t>At Benchmark</w:t>
      </w:r>
      <w:r>
        <w:rPr>
          <w:rFonts w:ascii="Calibri" w:hAnsi="Calibri"/>
          <w:color w:val="333333"/>
        </w:rPr>
        <w:t xml:space="preserve">, and </w:t>
      </w:r>
      <w:r>
        <w:rPr>
          <w:rFonts w:ascii="Calibri" w:hAnsi="Calibri"/>
          <w:i/>
          <w:color w:val="333333"/>
        </w:rPr>
        <w:t>Below Benchmark</w:t>
      </w:r>
      <w:r>
        <w:rPr>
          <w:rFonts w:ascii="Calibri" w:hAnsi="Calibri"/>
          <w:color w:val="333333"/>
        </w:rPr>
        <w:t>.</w:t>
      </w:r>
    </w:p>
    <w:p w14:paraId="39653631" w14:textId="77777777" w:rsidR="00AB1E67" w:rsidRDefault="00000000">
      <w:pPr>
        <w:pStyle w:val="ListBullet"/>
        <w:spacing w:before="40" w:after="40"/>
      </w:pPr>
      <w:r>
        <w:rPr>
          <w:rFonts w:ascii="Calibri" w:hAnsi="Calibri"/>
          <w:b/>
          <w:color w:val="333333"/>
        </w:rPr>
        <w:t>Company Selection Dropdown</w:t>
      </w:r>
      <w:r>
        <w:rPr>
          <w:rFonts w:ascii="Calibri" w:hAnsi="Calibri"/>
          <w:color w:val="333333"/>
        </w:rPr>
        <w:t xml:space="preserve">: Dynamically switches the target peer analysis view (switched to </w:t>
      </w:r>
      <w:r>
        <w:rPr>
          <w:rFonts w:ascii="Calibri" w:hAnsi="Calibri"/>
          <w:b/>
          <w:color w:val="333333"/>
        </w:rPr>
        <w:t>KR</w:t>
      </w:r>
      <w:r>
        <w:rPr>
          <w:rFonts w:ascii="Calibri" w:hAnsi="Calibri"/>
          <w:color w:val="333333"/>
        </w:rPr>
        <w:t>).</w:t>
      </w:r>
    </w:p>
    <w:p w14:paraId="7ADCD0AF" w14:textId="77777777" w:rsidR="00AB1E67" w:rsidRDefault="00000000">
      <w:pPr>
        <w:pStyle w:val="ListBullet"/>
        <w:spacing w:before="40" w:after="40"/>
      </w:pPr>
      <w:r>
        <w:rPr>
          <w:rFonts w:ascii="Calibri" w:hAnsi="Calibri"/>
          <w:b/>
          <w:color w:val="333333"/>
        </w:rPr>
        <w:t>Scorecard Heatmap Viz</w:t>
      </w:r>
      <w:r>
        <w:rPr>
          <w:rFonts w:ascii="Calibri" w:hAnsi="Calibri"/>
          <w:color w:val="333333"/>
        </w:rPr>
        <w:t>: Plotly comparative visual highlighting the selected company's percentile rank across liquidity, solvency, profitability, efficiency, and growth vectors.</w:t>
      </w:r>
    </w:p>
    <w:p w14:paraId="043ED672" w14:textId="77777777" w:rsidR="00AB1E67" w:rsidRDefault="00000000">
      <w:pPr>
        <w:pStyle w:val="ListBullet"/>
        <w:spacing w:before="40" w:after="40"/>
      </w:pPr>
      <w:r>
        <w:rPr>
          <w:rFonts w:ascii="Calibri" w:hAnsi="Calibri"/>
          <w:b/>
          <w:color w:val="333333"/>
        </w:rPr>
        <w:t>Raw Scorecard Dataframe</w:t>
      </w:r>
      <w:r>
        <w:rPr>
          <w:rFonts w:ascii="Calibri" w:hAnsi="Calibri"/>
          <w:color w:val="333333"/>
        </w:rPr>
        <w:t>: Standardized, clean interactive table with built-in search, filtering, and cell-sorting capabilities.</w:t>
      </w:r>
    </w:p>
    <w:p w14:paraId="79B5731B" w14:textId="77777777" w:rsidR="00AB1E67" w:rsidRDefault="00000000">
      <w:pPr>
        <w:pStyle w:val="Heading4"/>
        <w:spacing w:before="160" w:after="40"/>
      </w:pPr>
      <w:r>
        <w:rPr>
          <w:rFonts w:ascii="Segoe UI" w:hAnsi="Segoe UI"/>
          <w:color w:val="333333"/>
        </w:rPr>
        <w:lastRenderedPageBreak/>
        <w:t>📊 High-Resolution Interactive Plotly View:</w:t>
      </w:r>
    </w:p>
    <w:p w14:paraId="410DCCA4" w14:textId="77777777" w:rsidR="00AB1E67" w:rsidRDefault="00000000">
      <w:pPr>
        <w:spacing w:before="240" w:after="80"/>
        <w:jc w:val="center"/>
      </w:pPr>
      <w:r>
        <w:rPr>
          <w:noProof/>
        </w:rPr>
        <w:drawing>
          <wp:inline distT="0" distB="0" distL="0" distR="0" wp14:anchorId="04E96BD6" wp14:editId="09DAA56C">
            <wp:extent cx="5486400" cy="41093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scorecard_kr.png"/>
                    <pic:cNvPicPr/>
                  </pic:nvPicPr>
                  <pic:blipFill>
                    <a:blip r:embed="rId9"/>
                    <a:stretch>
                      <a:fillRect/>
                    </a:stretch>
                  </pic:blipFill>
                  <pic:spPr>
                    <a:xfrm>
                      <a:off x="0" y="0"/>
                      <a:ext cx="5486400" cy="4109310"/>
                    </a:xfrm>
                    <a:prstGeom prst="rect">
                      <a:avLst/>
                    </a:prstGeom>
                  </pic:spPr>
                </pic:pic>
              </a:graphicData>
            </a:graphic>
          </wp:inline>
        </w:drawing>
      </w:r>
    </w:p>
    <w:p w14:paraId="497096E7" w14:textId="77777777" w:rsidR="00AB1E67" w:rsidRDefault="00000000">
      <w:pPr>
        <w:spacing w:after="240"/>
        <w:jc w:val="center"/>
      </w:pPr>
      <w:r>
        <w:rPr>
          <w:rFonts w:ascii="Calibri" w:hAnsi="Calibri"/>
          <w:i/>
          <w:color w:val="666666"/>
          <w:sz w:val="19"/>
        </w:rPr>
        <w:t>Figure: High-Resolution Ratio Scorecard - KR</w:t>
      </w:r>
    </w:p>
    <w:tbl>
      <w:tblPr>
        <w:tblW w:w="0" w:type="auto"/>
        <w:jc w:val="center"/>
        <w:tblLayout w:type="fixed"/>
        <w:tblLook w:val="04A0" w:firstRow="1" w:lastRow="0" w:firstColumn="1" w:lastColumn="0" w:noHBand="0" w:noVBand="1"/>
      </w:tblPr>
      <w:tblGrid>
        <w:gridCol w:w="8640"/>
      </w:tblGrid>
      <w:tr w:rsidR="00AB1E67" w14:paraId="3BFBE535" w14:textId="77777777">
        <w:trPr>
          <w:jc w:val="center"/>
        </w:trPr>
        <w:tc>
          <w:tcPr>
            <w:tcW w:w="8640" w:type="dxa"/>
            <w:tcBorders>
              <w:left w:val="single" w:sz="36" w:space="0" w:color="005F5F"/>
            </w:tcBorders>
            <w:shd w:val="clear" w:color="auto" w:fill="E0F2F1"/>
          </w:tcPr>
          <w:p w14:paraId="7F5A0843" w14:textId="77777777" w:rsidR="00AB1E67" w:rsidRDefault="00000000">
            <w:pPr>
              <w:spacing w:before="120" w:after="120"/>
              <w:ind w:left="216" w:right="216"/>
            </w:pPr>
            <w:r>
              <w:rPr>
                <w:rFonts w:ascii="Segoe UI" w:hAnsi="Segoe UI"/>
                <w:b/>
                <w:color w:val="005F5F"/>
              </w:rPr>
              <w:t xml:space="preserve"> TIP: </w:t>
            </w:r>
            <w:r>
              <w:rPr>
                <w:rFonts w:ascii="Calibri" w:hAnsi="Calibri"/>
                <w:b/>
                <w:color w:val="333333"/>
              </w:rPr>
              <w:t>KR Case Study Insights</w:t>
            </w:r>
            <w:r>
              <w:rPr>
                <w:rFonts w:ascii="Calibri" w:hAnsi="Calibri"/>
                <w:color w:val="333333"/>
              </w:rPr>
              <w:t xml:space="preserve">: Kroger exhibits excellent performance in </w:t>
            </w:r>
            <w:r>
              <w:rPr>
                <w:rFonts w:ascii="Calibri" w:hAnsi="Calibri"/>
                <w:b/>
                <w:color w:val="333333"/>
              </w:rPr>
              <w:t>Growth</w:t>
            </w:r>
            <w:r>
              <w:rPr>
                <w:rFonts w:ascii="Calibri" w:hAnsi="Calibri"/>
                <w:color w:val="333333"/>
              </w:rPr>
              <w:t xml:space="preserve"> (OCF Growth at 26.18%, ranking at 85th percentile) and </w:t>
            </w:r>
            <w:r>
              <w:rPr>
                <w:rFonts w:ascii="Calibri" w:hAnsi="Calibri"/>
                <w:b/>
                <w:color w:val="333333"/>
              </w:rPr>
              <w:t>Efficiency</w:t>
            </w:r>
            <w:r>
              <w:rPr>
                <w:rFonts w:ascii="Calibri" w:hAnsi="Calibri"/>
                <w:color w:val="333333"/>
              </w:rPr>
              <w:t xml:space="preserve"> (Asset Turnover at 0.70, ranking at 85th percentile), but shows liquidity tightness (Current Ratio at 0.80, Below Benchmark).</w:t>
            </w:r>
          </w:p>
        </w:tc>
      </w:tr>
    </w:tbl>
    <w:p w14:paraId="4994E743" w14:textId="77777777" w:rsidR="00AB1E67" w:rsidRDefault="00000000">
      <w:pPr>
        <w:pStyle w:val="Heading3"/>
        <w:spacing w:after="40"/>
      </w:pPr>
      <w:r>
        <w:rPr>
          <w:rFonts w:ascii="Segoe UI" w:hAnsi="Segoe UI"/>
          <w:color w:val="333333"/>
          <w:sz w:val="24"/>
        </w:rPr>
        <w:t>Outliers Tab</w:t>
      </w:r>
    </w:p>
    <w:p w14:paraId="7078DA57" w14:textId="77777777" w:rsidR="00AB1E67" w:rsidRDefault="00000000">
      <w:pPr>
        <w:spacing w:before="80" w:after="120"/>
      </w:pPr>
      <w:r>
        <w:rPr>
          <w:rFonts w:ascii="Calibri" w:hAnsi="Calibri"/>
          <w:color w:val="333333"/>
        </w:rPr>
        <w:t>Highlights extreme, abnormal, and potentially risky financial values across the peer group.</w:t>
      </w:r>
    </w:p>
    <w:p w14:paraId="675D361C" w14:textId="77777777" w:rsidR="00AB1E67" w:rsidRDefault="00000000">
      <w:pPr>
        <w:pStyle w:val="Heading4"/>
        <w:spacing w:before="160" w:after="40"/>
      </w:pPr>
      <w:r>
        <w:rPr>
          <w:rFonts w:ascii="Segoe UI" w:hAnsi="Segoe UI"/>
          <w:color w:val="333333"/>
        </w:rPr>
        <w:lastRenderedPageBreak/>
        <w:t>📸 Interface Capture:</w:t>
      </w:r>
    </w:p>
    <w:p w14:paraId="7DF1CFC5" w14:textId="77777777" w:rsidR="00AB1E67" w:rsidRDefault="00000000">
      <w:pPr>
        <w:spacing w:before="240" w:after="80"/>
        <w:jc w:val="center"/>
      </w:pPr>
      <w:r>
        <w:rPr>
          <w:noProof/>
        </w:rPr>
        <w:drawing>
          <wp:inline distT="0" distB="0" distL="0" distR="0" wp14:anchorId="2408C7F3" wp14:editId="7FEB7317">
            <wp:extent cx="5486400" cy="28403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outliers.png"/>
                    <pic:cNvPicPr/>
                  </pic:nvPicPr>
                  <pic:blipFill>
                    <a:blip r:embed="rId10"/>
                    <a:stretch>
                      <a:fillRect/>
                    </a:stretch>
                  </pic:blipFill>
                  <pic:spPr>
                    <a:xfrm>
                      <a:off x="0" y="0"/>
                      <a:ext cx="5486400" cy="2840355"/>
                    </a:xfrm>
                    <a:prstGeom prst="rect">
                      <a:avLst/>
                    </a:prstGeom>
                  </pic:spPr>
                </pic:pic>
              </a:graphicData>
            </a:graphic>
          </wp:inline>
        </w:drawing>
      </w:r>
    </w:p>
    <w:p w14:paraId="40BCC595" w14:textId="77777777" w:rsidR="00AB1E67" w:rsidRDefault="00000000">
      <w:pPr>
        <w:spacing w:after="240"/>
        <w:jc w:val="center"/>
      </w:pPr>
      <w:r>
        <w:rPr>
          <w:rFonts w:ascii="Calibri" w:hAnsi="Calibri"/>
          <w:i/>
          <w:color w:val="666666"/>
          <w:sz w:val="19"/>
        </w:rPr>
        <w:t>Figure: Outliers Tab</w:t>
      </w:r>
    </w:p>
    <w:p w14:paraId="24F4B946" w14:textId="77777777" w:rsidR="00AB1E67" w:rsidRDefault="00000000">
      <w:pPr>
        <w:pStyle w:val="Heading4"/>
        <w:spacing w:before="160" w:after="40"/>
      </w:pPr>
      <w:r>
        <w:rPr>
          <w:rFonts w:ascii="Segoe UI" w:hAnsi="Segoe UI"/>
          <w:color w:val="333333"/>
        </w:rPr>
        <w:t>📝 Visual Elements &amp; Controls to Note:</w:t>
      </w:r>
    </w:p>
    <w:p w14:paraId="5B748B98" w14:textId="77777777" w:rsidR="00AB1E67" w:rsidRDefault="00000000">
      <w:pPr>
        <w:pStyle w:val="ListBullet"/>
        <w:spacing w:before="40" w:after="40"/>
      </w:pPr>
      <w:r>
        <w:rPr>
          <w:rFonts w:ascii="Calibri" w:hAnsi="Calibri"/>
          <w:b/>
          <w:color w:val="333333"/>
        </w:rPr>
        <w:t>Outlier Scatter Plot</w:t>
      </w:r>
      <w:r>
        <w:rPr>
          <w:rFonts w:ascii="Calibri" w:hAnsi="Calibri"/>
          <w:color w:val="333333"/>
        </w:rPr>
        <w:t>: Multi-color Plotly scatter chart graphing ratio values against median thresholds, color-coded by severity (Moderate in yellow, High/Extreme in red).</w:t>
      </w:r>
    </w:p>
    <w:p w14:paraId="211C25E8" w14:textId="77777777" w:rsidR="00AB1E67" w:rsidRDefault="00000000">
      <w:pPr>
        <w:pStyle w:val="ListBullet"/>
        <w:spacing w:before="40" w:after="40"/>
      </w:pPr>
      <w:r>
        <w:rPr>
          <w:rFonts w:ascii="Calibri" w:hAnsi="Calibri"/>
          <w:b/>
          <w:color w:val="333333"/>
        </w:rPr>
        <w:t>Univariate Outlier List</w:t>
      </w:r>
      <w:r>
        <w:rPr>
          <w:rFonts w:ascii="Calibri" w:hAnsi="Calibri"/>
          <w:color w:val="333333"/>
        </w:rPr>
        <w:t>: Complete dataframe listing identified outliers, showing the company ticker, ratio category, deviation percent from the sector median, and severity rating.</w:t>
      </w:r>
    </w:p>
    <w:p w14:paraId="4FE6E708" w14:textId="77777777" w:rsidR="00AB1E67" w:rsidRDefault="00000000">
      <w:pPr>
        <w:pStyle w:val="ListBullet"/>
        <w:spacing w:before="40" w:after="40"/>
      </w:pPr>
      <w:r>
        <w:rPr>
          <w:rFonts w:ascii="Calibri" w:hAnsi="Calibri"/>
          <w:b/>
          <w:color w:val="333333"/>
        </w:rPr>
        <w:t>Multivariate Isolation Forest Anomaly Chart</w:t>
      </w:r>
      <w:r>
        <w:rPr>
          <w:rFonts w:ascii="Calibri" w:hAnsi="Calibri"/>
          <w:color w:val="333333"/>
        </w:rPr>
        <w:t>: Scatter plot highlighting companies exhibiting abnormal multivariate signatures across all ratios analyzed concurrently.</w:t>
      </w:r>
    </w:p>
    <w:p w14:paraId="683A0F1F" w14:textId="77777777" w:rsidR="00AB1E67" w:rsidRDefault="00000000">
      <w:pPr>
        <w:pStyle w:val="Heading3"/>
        <w:spacing w:after="40"/>
      </w:pPr>
      <w:r>
        <w:rPr>
          <w:rFonts w:ascii="Segoe UI" w:hAnsi="Segoe UI"/>
          <w:color w:val="333333"/>
          <w:sz w:val="24"/>
        </w:rPr>
        <w:t>Peer Benchmark Tab</w:t>
      </w:r>
    </w:p>
    <w:p w14:paraId="166303B6" w14:textId="77777777" w:rsidR="00AB1E67" w:rsidRDefault="00000000">
      <w:pPr>
        <w:spacing w:before="80" w:after="120"/>
      </w:pPr>
      <w:r>
        <w:rPr>
          <w:rFonts w:ascii="Calibri" w:hAnsi="Calibri"/>
          <w:color w:val="333333"/>
        </w:rPr>
        <w:t>Presents sector-wide descriptive statistics to establish the baseline parameters of the peer group.</w:t>
      </w:r>
    </w:p>
    <w:p w14:paraId="6F9222B9" w14:textId="77777777" w:rsidR="00AB1E67" w:rsidRDefault="00000000">
      <w:pPr>
        <w:pStyle w:val="Heading4"/>
        <w:spacing w:before="160" w:after="40"/>
      </w:pPr>
      <w:r>
        <w:rPr>
          <w:rFonts w:ascii="Segoe UI" w:hAnsi="Segoe UI"/>
          <w:color w:val="333333"/>
        </w:rPr>
        <w:lastRenderedPageBreak/>
        <w:t>📸 Interface Capture:</w:t>
      </w:r>
    </w:p>
    <w:p w14:paraId="544B0998" w14:textId="77777777" w:rsidR="00AB1E67" w:rsidRDefault="00000000">
      <w:pPr>
        <w:spacing w:before="240" w:after="80"/>
        <w:jc w:val="center"/>
      </w:pPr>
      <w:r>
        <w:rPr>
          <w:noProof/>
        </w:rPr>
        <w:drawing>
          <wp:inline distT="0" distB="0" distL="0" distR="0" wp14:anchorId="06AB33F1" wp14:editId="70F45E51">
            <wp:extent cx="5486400" cy="28346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peer_benchmark.png"/>
                    <pic:cNvPicPr/>
                  </pic:nvPicPr>
                  <pic:blipFill>
                    <a:blip r:embed="rId11"/>
                    <a:stretch>
                      <a:fillRect/>
                    </a:stretch>
                  </pic:blipFill>
                  <pic:spPr>
                    <a:xfrm>
                      <a:off x="0" y="0"/>
                      <a:ext cx="5486400" cy="2834640"/>
                    </a:xfrm>
                    <a:prstGeom prst="rect">
                      <a:avLst/>
                    </a:prstGeom>
                  </pic:spPr>
                </pic:pic>
              </a:graphicData>
            </a:graphic>
          </wp:inline>
        </w:drawing>
      </w:r>
    </w:p>
    <w:p w14:paraId="5DBBE5C2" w14:textId="77777777" w:rsidR="00AB1E67" w:rsidRDefault="00000000">
      <w:pPr>
        <w:spacing w:after="240"/>
        <w:jc w:val="center"/>
      </w:pPr>
      <w:r>
        <w:rPr>
          <w:rFonts w:ascii="Calibri" w:hAnsi="Calibri"/>
          <w:i/>
          <w:color w:val="666666"/>
          <w:sz w:val="19"/>
        </w:rPr>
        <w:t>Figure: Peer Benchmark Tab</w:t>
      </w:r>
    </w:p>
    <w:p w14:paraId="0C6A1FA4" w14:textId="77777777" w:rsidR="00AB1E67" w:rsidRDefault="00000000">
      <w:pPr>
        <w:pStyle w:val="Heading4"/>
        <w:spacing w:before="160" w:after="40"/>
      </w:pPr>
      <w:r>
        <w:rPr>
          <w:rFonts w:ascii="Segoe UI" w:hAnsi="Segoe UI"/>
          <w:color w:val="333333"/>
        </w:rPr>
        <w:t>📝 Visual Elements &amp; Controls to Note:</w:t>
      </w:r>
    </w:p>
    <w:p w14:paraId="5E4C9A16" w14:textId="77777777" w:rsidR="00AB1E67" w:rsidRDefault="00000000">
      <w:pPr>
        <w:pStyle w:val="ListBullet"/>
        <w:spacing w:before="40" w:after="40"/>
      </w:pPr>
      <w:r>
        <w:rPr>
          <w:rFonts w:ascii="Calibri" w:hAnsi="Calibri"/>
          <w:b/>
          <w:color w:val="333333"/>
        </w:rPr>
        <w:t>Peer Stats Heatmap</w:t>
      </w:r>
      <w:r>
        <w:rPr>
          <w:rFonts w:ascii="Calibri" w:hAnsi="Calibri"/>
          <w:color w:val="333333"/>
        </w:rPr>
        <w:t>: Visual grid showcasing the median, mean, 25th percentile, and 75th percentile values for every calculated ratio across the selected sector.</w:t>
      </w:r>
    </w:p>
    <w:p w14:paraId="3BC03115" w14:textId="77777777" w:rsidR="00AB1E67" w:rsidRDefault="00000000">
      <w:pPr>
        <w:pStyle w:val="ListBullet"/>
        <w:spacing w:before="40" w:after="40"/>
      </w:pPr>
      <w:r>
        <w:rPr>
          <w:rFonts w:ascii="Calibri" w:hAnsi="Calibri"/>
          <w:b/>
          <w:color w:val="333333"/>
        </w:rPr>
        <w:t>Descriptive Statistics Dataframe</w:t>
      </w:r>
      <w:r>
        <w:rPr>
          <w:rFonts w:ascii="Calibri" w:hAnsi="Calibri"/>
          <w:color w:val="333333"/>
        </w:rPr>
        <w:t>: Clean, sorted table displaying underlying statistics (count, min, max, standard deviation) for deeper quantitative review.</w:t>
      </w:r>
    </w:p>
    <w:p w14:paraId="5727CC78" w14:textId="77777777" w:rsidR="00AB1E67" w:rsidRDefault="00000000">
      <w:pPr>
        <w:pStyle w:val="Heading4"/>
        <w:spacing w:before="160" w:after="40"/>
      </w:pPr>
      <w:r>
        <w:rPr>
          <w:rFonts w:ascii="Segoe UI" w:hAnsi="Segoe UI"/>
          <w:color w:val="333333"/>
        </w:rPr>
        <w:lastRenderedPageBreak/>
        <w:t>📊 High-Resolution Peer Statistics Heatmap Plot:</w:t>
      </w:r>
    </w:p>
    <w:p w14:paraId="2CDBE944" w14:textId="77777777" w:rsidR="00AB1E67" w:rsidRDefault="00000000">
      <w:pPr>
        <w:spacing w:before="240" w:after="80"/>
        <w:jc w:val="center"/>
      </w:pPr>
      <w:r>
        <w:rPr>
          <w:noProof/>
        </w:rPr>
        <w:drawing>
          <wp:inline distT="0" distB="0" distL="0" distR="0" wp14:anchorId="69D34B59" wp14:editId="69FE9455">
            <wp:extent cx="5486400" cy="423478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peer_group_statistics.png"/>
                    <pic:cNvPicPr/>
                  </pic:nvPicPr>
                  <pic:blipFill>
                    <a:blip r:embed="rId12"/>
                    <a:stretch>
                      <a:fillRect/>
                    </a:stretch>
                  </pic:blipFill>
                  <pic:spPr>
                    <a:xfrm>
                      <a:off x="0" y="0"/>
                      <a:ext cx="5486400" cy="4234786"/>
                    </a:xfrm>
                    <a:prstGeom prst="rect">
                      <a:avLst/>
                    </a:prstGeom>
                  </pic:spPr>
                </pic:pic>
              </a:graphicData>
            </a:graphic>
          </wp:inline>
        </w:drawing>
      </w:r>
    </w:p>
    <w:p w14:paraId="0B90AF19" w14:textId="77777777" w:rsidR="00AB1E67" w:rsidRDefault="00000000">
      <w:pPr>
        <w:spacing w:after="240"/>
        <w:jc w:val="center"/>
      </w:pPr>
      <w:r>
        <w:rPr>
          <w:rFonts w:ascii="Calibri" w:hAnsi="Calibri"/>
          <w:i/>
          <w:color w:val="666666"/>
          <w:sz w:val="19"/>
        </w:rPr>
        <w:t>Figure: High-Resolution Peer Group Heatmap</w:t>
      </w:r>
    </w:p>
    <w:p w14:paraId="4899F9F2" w14:textId="77777777" w:rsidR="00AB1E67" w:rsidRDefault="00000000">
      <w:pPr>
        <w:pStyle w:val="Heading3"/>
        <w:spacing w:after="40"/>
      </w:pPr>
      <w:r>
        <w:rPr>
          <w:rFonts w:ascii="Segoe UI" w:hAnsi="Segoe UI"/>
          <w:color w:val="333333"/>
          <w:sz w:val="24"/>
        </w:rPr>
        <w:t>Composite Score Tab</w:t>
      </w:r>
    </w:p>
    <w:p w14:paraId="561684AA" w14:textId="77777777" w:rsidR="00AB1E67" w:rsidRDefault="00000000">
      <w:pPr>
        <w:spacing w:before="80" w:after="120"/>
      </w:pPr>
      <w:r>
        <w:rPr>
          <w:rFonts w:ascii="Calibri" w:hAnsi="Calibri"/>
          <w:color w:val="333333"/>
        </w:rPr>
        <w:t>Displays the aggregated, weighted financial health scores for all companies in the peer group.</w:t>
      </w:r>
    </w:p>
    <w:p w14:paraId="38EC6019" w14:textId="77777777" w:rsidR="00AB1E67" w:rsidRDefault="00000000">
      <w:pPr>
        <w:pStyle w:val="Heading4"/>
        <w:spacing w:before="160" w:after="40"/>
      </w:pPr>
      <w:r>
        <w:rPr>
          <w:rFonts w:ascii="Segoe UI" w:hAnsi="Segoe UI"/>
          <w:color w:val="333333"/>
        </w:rPr>
        <w:lastRenderedPageBreak/>
        <w:t>📸 Interface Capture:</w:t>
      </w:r>
    </w:p>
    <w:p w14:paraId="5F2F7FF6" w14:textId="77777777" w:rsidR="00AB1E67" w:rsidRDefault="00000000">
      <w:pPr>
        <w:spacing w:before="240" w:after="80"/>
        <w:jc w:val="center"/>
      </w:pPr>
      <w:r>
        <w:rPr>
          <w:noProof/>
        </w:rPr>
        <w:drawing>
          <wp:inline distT="0" distB="0" distL="0" distR="0" wp14:anchorId="668D7C82" wp14:editId="5CEE7C30">
            <wp:extent cx="5486400" cy="283178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composite_score.png"/>
                    <pic:cNvPicPr/>
                  </pic:nvPicPr>
                  <pic:blipFill>
                    <a:blip r:embed="rId13"/>
                    <a:stretch>
                      <a:fillRect/>
                    </a:stretch>
                  </pic:blipFill>
                  <pic:spPr>
                    <a:xfrm>
                      <a:off x="0" y="0"/>
                      <a:ext cx="5486400" cy="2831782"/>
                    </a:xfrm>
                    <a:prstGeom prst="rect">
                      <a:avLst/>
                    </a:prstGeom>
                  </pic:spPr>
                </pic:pic>
              </a:graphicData>
            </a:graphic>
          </wp:inline>
        </w:drawing>
      </w:r>
    </w:p>
    <w:p w14:paraId="3C4CFB40" w14:textId="77777777" w:rsidR="00AB1E67" w:rsidRDefault="00000000">
      <w:pPr>
        <w:spacing w:after="240"/>
        <w:jc w:val="center"/>
      </w:pPr>
      <w:r>
        <w:rPr>
          <w:rFonts w:ascii="Calibri" w:hAnsi="Calibri"/>
          <w:i/>
          <w:color w:val="666666"/>
          <w:sz w:val="19"/>
        </w:rPr>
        <w:t>Figure: Composite Score Tab</w:t>
      </w:r>
    </w:p>
    <w:p w14:paraId="704F9BE4" w14:textId="77777777" w:rsidR="00AB1E67" w:rsidRDefault="00000000">
      <w:pPr>
        <w:pStyle w:val="Heading4"/>
        <w:spacing w:before="160" w:after="40"/>
      </w:pPr>
      <w:r>
        <w:rPr>
          <w:rFonts w:ascii="Segoe UI" w:hAnsi="Segoe UI"/>
          <w:color w:val="333333"/>
        </w:rPr>
        <w:t>📝 Visual Elements &amp; Controls to Note:</w:t>
      </w:r>
    </w:p>
    <w:p w14:paraId="391C6B45" w14:textId="77777777" w:rsidR="00AB1E67" w:rsidRDefault="00000000">
      <w:pPr>
        <w:pStyle w:val="ListBullet"/>
        <w:spacing w:before="40" w:after="40"/>
      </w:pPr>
      <w:r>
        <w:rPr>
          <w:rFonts w:ascii="Calibri" w:hAnsi="Calibri"/>
          <w:b/>
          <w:color w:val="333333"/>
        </w:rPr>
        <w:t>Health Score Bar Chart</w:t>
      </w:r>
      <w:r>
        <w:rPr>
          <w:rFonts w:ascii="Calibri" w:hAnsi="Calibri"/>
          <w:color w:val="333333"/>
        </w:rPr>
        <w:t>: Plotly horizontal bar chart ranking companies by their overall financial health score (0 to 100), color-coded by risk category.</w:t>
      </w:r>
    </w:p>
    <w:p w14:paraId="124C1035" w14:textId="77777777" w:rsidR="00AB1E67" w:rsidRDefault="00000000">
      <w:pPr>
        <w:pStyle w:val="ListBullet"/>
        <w:spacing w:before="40" w:after="40"/>
      </w:pPr>
      <w:r>
        <w:rPr>
          <w:rFonts w:ascii="Calibri" w:hAnsi="Calibri"/>
          <w:b/>
          <w:color w:val="333333"/>
        </w:rPr>
        <w:t>Weighted Pillar Summary Dataframe</w:t>
      </w:r>
      <w:r>
        <w:rPr>
          <w:rFonts w:ascii="Calibri" w:hAnsi="Calibri"/>
          <w:color w:val="333333"/>
        </w:rPr>
        <w:t>: Data table mapping individual company performance across the five core financial pillars (Profitability 30%, Solvency 20%, Growth 20%, Liquidity 15%, Efficiency 15%).</w:t>
      </w:r>
    </w:p>
    <w:p w14:paraId="0B168870" w14:textId="77777777" w:rsidR="00AB1E67" w:rsidRDefault="00000000">
      <w:pPr>
        <w:pStyle w:val="Heading4"/>
        <w:spacing w:before="160" w:after="40"/>
      </w:pPr>
      <w:r>
        <w:rPr>
          <w:rFonts w:ascii="Segoe UI" w:hAnsi="Segoe UI"/>
          <w:color w:val="333333"/>
        </w:rPr>
        <w:t>📊 High-Resolution Financial Health Score Sector Ranking Plot:</w:t>
      </w:r>
    </w:p>
    <w:p w14:paraId="7A7CF997" w14:textId="77777777" w:rsidR="00AB1E67" w:rsidRDefault="00000000">
      <w:pPr>
        <w:spacing w:before="240" w:after="80"/>
        <w:jc w:val="center"/>
      </w:pPr>
      <w:r>
        <w:rPr>
          <w:noProof/>
        </w:rPr>
        <w:drawing>
          <wp:inline distT="0" distB="0" distL="0" distR="0" wp14:anchorId="441F2C08" wp14:editId="7AE90CA3">
            <wp:extent cx="5486400" cy="119201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health_score_sector_ranking.png"/>
                    <pic:cNvPicPr/>
                  </pic:nvPicPr>
                  <pic:blipFill>
                    <a:blip r:embed="rId14"/>
                    <a:stretch>
                      <a:fillRect/>
                    </a:stretch>
                  </pic:blipFill>
                  <pic:spPr>
                    <a:xfrm>
                      <a:off x="0" y="0"/>
                      <a:ext cx="5486400" cy="1192014"/>
                    </a:xfrm>
                    <a:prstGeom prst="rect">
                      <a:avLst/>
                    </a:prstGeom>
                  </pic:spPr>
                </pic:pic>
              </a:graphicData>
            </a:graphic>
          </wp:inline>
        </w:drawing>
      </w:r>
    </w:p>
    <w:p w14:paraId="27800BF2" w14:textId="77777777" w:rsidR="00AB1E67" w:rsidRDefault="00000000">
      <w:pPr>
        <w:spacing w:after="240"/>
        <w:jc w:val="center"/>
      </w:pPr>
      <w:r>
        <w:rPr>
          <w:rFonts w:ascii="Calibri" w:hAnsi="Calibri"/>
          <w:i/>
          <w:color w:val="666666"/>
          <w:sz w:val="19"/>
        </w:rPr>
        <w:t>Figure: High-Resolution Financial Health Score</w:t>
      </w:r>
    </w:p>
    <w:tbl>
      <w:tblPr>
        <w:tblW w:w="0" w:type="auto"/>
        <w:jc w:val="center"/>
        <w:tblLayout w:type="fixed"/>
        <w:tblLook w:val="04A0" w:firstRow="1" w:lastRow="0" w:firstColumn="1" w:lastColumn="0" w:noHBand="0" w:noVBand="1"/>
      </w:tblPr>
      <w:tblGrid>
        <w:gridCol w:w="8640"/>
      </w:tblGrid>
      <w:tr w:rsidR="00AB1E67" w14:paraId="02BE1A6A" w14:textId="77777777">
        <w:trPr>
          <w:jc w:val="center"/>
        </w:trPr>
        <w:tc>
          <w:tcPr>
            <w:tcW w:w="8640" w:type="dxa"/>
            <w:tcBorders>
              <w:left w:val="single" w:sz="36" w:space="0" w:color="005F5F"/>
            </w:tcBorders>
            <w:shd w:val="clear" w:color="auto" w:fill="E0F2F1"/>
          </w:tcPr>
          <w:p w14:paraId="76570094" w14:textId="77777777" w:rsidR="00AB1E67" w:rsidRDefault="00000000">
            <w:pPr>
              <w:spacing w:before="120" w:after="120"/>
              <w:ind w:left="216" w:right="216"/>
            </w:pPr>
            <w:r>
              <w:rPr>
                <w:rFonts w:ascii="Segoe UI" w:hAnsi="Segoe UI"/>
                <w:b/>
                <w:color w:val="005F5F"/>
              </w:rPr>
              <w:t xml:space="preserve"> NOTE: </w:t>
            </w:r>
            <w:r>
              <w:rPr>
                <w:rFonts w:ascii="Calibri" w:hAnsi="Calibri"/>
                <w:b/>
                <w:color w:val="333333"/>
              </w:rPr>
              <w:t>Supermarket Peer Rankings</w:t>
            </w:r>
            <w:r>
              <w:rPr>
                <w:rFonts w:ascii="Calibri" w:hAnsi="Calibri"/>
                <w:color w:val="333333"/>
              </w:rPr>
              <w:t xml:space="preserve">: SFM leads the sector with an outstanding score of </w:t>
            </w:r>
            <w:r>
              <w:rPr>
                <w:rFonts w:ascii="Calibri" w:hAnsi="Calibri"/>
                <w:b/>
                <w:color w:val="333333"/>
              </w:rPr>
              <w:t>78.2</w:t>
            </w:r>
            <w:r>
              <w:rPr>
                <w:rFonts w:ascii="Calibri" w:hAnsi="Calibri"/>
                <w:color w:val="333333"/>
              </w:rPr>
              <w:t>, followed by VLGEA (</w:t>
            </w:r>
            <w:r>
              <w:rPr>
                <w:rFonts w:ascii="Calibri" w:hAnsi="Calibri"/>
                <w:b/>
                <w:color w:val="333333"/>
              </w:rPr>
              <w:t>64.4</w:t>
            </w:r>
            <w:r>
              <w:rPr>
                <w:rFonts w:ascii="Calibri" w:hAnsi="Calibri"/>
                <w:color w:val="333333"/>
              </w:rPr>
              <w:t>), GO (</w:t>
            </w:r>
            <w:r>
              <w:rPr>
                <w:rFonts w:ascii="Calibri" w:hAnsi="Calibri"/>
                <w:b/>
                <w:color w:val="333333"/>
              </w:rPr>
              <w:t>62.1</w:t>
            </w:r>
            <w:r>
              <w:rPr>
                <w:rFonts w:ascii="Calibri" w:hAnsi="Calibri"/>
                <w:color w:val="333333"/>
              </w:rPr>
              <w:t>), WMK (</w:t>
            </w:r>
            <w:r>
              <w:rPr>
                <w:rFonts w:ascii="Calibri" w:hAnsi="Calibri"/>
                <w:b/>
                <w:color w:val="333333"/>
              </w:rPr>
              <w:t>60.8</w:t>
            </w:r>
            <w:r>
              <w:rPr>
                <w:rFonts w:ascii="Calibri" w:hAnsi="Calibri"/>
                <w:color w:val="333333"/>
              </w:rPr>
              <w:t>), NGVC (</w:t>
            </w:r>
            <w:r>
              <w:rPr>
                <w:rFonts w:ascii="Calibri" w:hAnsi="Calibri"/>
                <w:b/>
                <w:color w:val="333333"/>
              </w:rPr>
              <w:t>58.0</w:t>
            </w:r>
            <w:r>
              <w:rPr>
                <w:rFonts w:ascii="Calibri" w:hAnsi="Calibri"/>
                <w:color w:val="333333"/>
              </w:rPr>
              <w:t>), and KR (</w:t>
            </w:r>
            <w:r>
              <w:rPr>
                <w:rFonts w:ascii="Calibri" w:hAnsi="Calibri"/>
                <w:b/>
                <w:color w:val="333333"/>
              </w:rPr>
              <w:t>46.7</w:t>
            </w:r>
            <w:r>
              <w:rPr>
                <w:rFonts w:ascii="Calibri" w:hAnsi="Calibri"/>
                <w:color w:val="333333"/>
              </w:rPr>
              <w:t xml:space="preserve">), while ACI ranks last with a distressed score of </w:t>
            </w:r>
            <w:r>
              <w:rPr>
                <w:rFonts w:ascii="Calibri" w:hAnsi="Calibri"/>
                <w:b/>
                <w:color w:val="333333"/>
              </w:rPr>
              <w:t>34.8</w:t>
            </w:r>
            <w:r>
              <w:rPr>
                <w:rFonts w:ascii="Calibri" w:hAnsi="Calibri"/>
                <w:color w:val="333333"/>
              </w:rPr>
              <w:t>.</w:t>
            </w:r>
          </w:p>
        </w:tc>
      </w:tr>
    </w:tbl>
    <w:p w14:paraId="520816AB" w14:textId="77777777" w:rsidR="00AB1E67" w:rsidRDefault="00000000">
      <w:pPr>
        <w:pStyle w:val="Heading3"/>
        <w:spacing w:after="40"/>
      </w:pPr>
      <w:r>
        <w:rPr>
          <w:rFonts w:ascii="Segoe UI" w:hAnsi="Segoe UI"/>
          <w:color w:val="333333"/>
          <w:sz w:val="24"/>
        </w:rPr>
        <w:lastRenderedPageBreak/>
        <w:t>Client Comparison ➔ Trial Balance Tab</w:t>
      </w:r>
    </w:p>
    <w:p w14:paraId="1B5A86E0" w14:textId="77777777" w:rsidR="00AB1E67" w:rsidRDefault="00000000">
      <w:pPr>
        <w:spacing w:before="80" w:after="120"/>
      </w:pPr>
      <w:r>
        <w:rPr>
          <w:rFonts w:ascii="Calibri" w:hAnsi="Calibri"/>
          <w:color w:val="333333"/>
        </w:rPr>
        <w:t xml:space="preserve">First sub-tab of Client Comparison. Renders the calculated ledger trial balance from TallySync logs. In our live trace, this displays entries for the </w:t>
      </w:r>
      <w:r>
        <w:rPr>
          <w:rFonts w:ascii="Calibri" w:hAnsi="Calibri"/>
          <w:b/>
          <w:color w:val="333333"/>
        </w:rPr>
        <w:t>FMCG Client</w:t>
      </w:r>
      <w:r>
        <w:rPr>
          <w:rFonts w:ascii="Calibri" w:hAnsi="Calibri"/>
          <w:color w:val="333333"/>
        </w:rPr>
        <w:t>.</w:t>
      </w:r>
    </w:p>
    <w:p w14:paraId="7AF5074E" w14:textId="77777777" w:rsidR="00AB1E67" w:rsidRDefault="00000000">
      <w:pPr>
        <w:pStyle w:val="Heading4"/>
        <w:spacing w:before="160" w:after="40"/>
      </w:pPr>
      <w:r>
        <w:rPr>
          <w:rFonts w:ascii="Segoe UI" w:hAnsi="Segoe UI"/>
          <w:color w:val="333333"/>
        </w:rPr>
        <w:t>📸 Interface Capture:</w:t>
      </w:r>
    </w:p>
    <w:p w14:paraId="25262390" w14:textId="77777777" w:rsidR="00AB1E67" w:rsidRDefault="00000000">
      <w:pPr>
        <w:spacing w:before="240" w:after="80"/>
        <w:jc w:val="center"/>
      </w:pPr>
      <w:r>
        <w:rPr>
          <w:noProof/>
        </w:rPr>
        <w:drawing>
          <wp:inline distT="0" distB="0" distL="0" distR="0" wp14:anchorId="5996D255" wp14:editId="0A0FF04E">
            <wp:extent cx="5486400" cy="28346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client_trial_balance.png"/>
                    <pic:cNvPicPr/>
                  </pic:nvPicPr>
                  <pic:blipFill>
                    <a:blip r:embed="rId15"/>
                    <a:stretch>
                      <a:fillRect/>
                    </a:stretch>
                  </pic:blipFill>
                  <pic:spPr>
                    <a:xfrm>
                      <a:off x="0" y="0"/>
                      <a:ext cx="5486400" cy="2834640"/>
                    </a:xfrm>
                    <a:prstGeom prst="rect">
                      <a:avLst/>
                    </a:prstGeom>
                  </pic:spPr>
                </pic:pic>
              </a:graphicData>
            </a:graphic>
          </wp:inline>
        </w:drawing>
      </w:r>
    </w:p>
    <w:p w14:paraId="432F1844" w14:textId="77777777" w:rsidR="00AB1E67" w:rsidRDefault="00000000">
      <w:pPr>
        <w:spacing w:after="240"/>
        <w:jc w:val="center"/>
      </w:pPr>
      <w:r>
        <w:rPr>
          <w:rFonts w:ascii="Calibri" w:hAnsi="Calibri"/>
          <w:i/>
          <w:color w:val="666666"/>
          <w:sz w:val="19"/>
        </w:rPr>
        <w:t>Figure: Client Trial Balance Tab</w:t>
      </w:r>
    </w:p>
    <w:p w14:paraId="00C2B117" w14:textId="77777777" w:rsidR="00AB1E67" w:rsidRDefault="00000000">
      <w:pPr>
        <w:pStyle w:val="Heading4"/>
        <w:spacing w:before="160" w:after="40"/>
      </w:pPr>
      <w:r>
        <w:rPr>
          <w:rFonts w:ascii="Segoe UI" w:hAnsi="Segoe UI"/>
          <w:color w:val="333333"/>
        </w:rPr>
        <w:t>📝 Visual Elements &amp; Controls to Note:</w:t>
      </w:r>
    </w:p>
    <w:p w14:paraId="48105E4D" w14:textId="77777777" w:rsidR="00AB1E67" w:rsidRDefault="00000000">
      <w:pPr>
        <w:pStyle w:val="ListBullet"/>
        <w:spacing w:before="40" w:after="40"/>
      </w:pPr>
      <w:r>
        <w:rPr>
          <w:rFonts w:ascii="Calibri" w:hAnsi="Calibri"/>
          <w:b/>
          <w:color w:val="333333"/>
        </w:rPr>
        <w:t>Trial Balance Metrics</w:t>
      </w:r>
      <w:r>
        <w:rPr>
          <w:rFonts w:ascii="Calibri" w:hAnsi="Calibri"/>
          <w:color w:val="333333"/>
        </w:rPr>
        <w:t xml:space="preserve">: Core summary boxes displaying </w:t>
      </w:r>
      <w:r>
        <w:rPr>
          <w:rFonts w:ascii="Calibri" w:hAnsi="Calibri"/>
          <w:i/>
          <w:color w:val="333333"/>
        </w:rPr>
        <w:t>Total Ledgers processed</w:t>
      </w:r>
      <w:r>
        <w:rPr>
          <w:rFonts w:ascii="Calibri" w:hAnsi="Calibri"/>
          <w:color w:val="333333"/>
        </w:rPr>
        <w:t xml:space="preserve"> (</w:t>
      </w:r>
      <w:r>
        <w:rPr>
          <w:rFonts w:ascii="Calibri" w:hAnsi="Calibri"/>
          <w:b/>
          <w:color w:val="333333"/>
        </w:rPr>
        <w:t>1,385</w:t>
      </w:r>
      <w:r>
        <w:rPr>
          <w:rFonts w:ascii="Calibri" w:hAnsi="Calibri"/>
          <w:color w:val="333333"/>
        </w:rPr>
        <w:t xml:space="preserve">), </w:t>
      </w:r>
      <w:r>
        <w:rPr>
          <w:rFonts w:ascii="Calibri" w:hAnsi="Calibri"/>
          <w:i/>
          <w:color w:val="333333"/>
        </w:rPr>
        <w:t>Total Debit balance</w:t>
      </w:r>
      <w:r>
        <w:rPr>
          <w:rFonts w:ascii="Calibri" w:hAnsi="Calibri"/>
          <w:color w:val="333333"/>
        </w:rPr>
        <w:t xml:space="preserve"> (</w:t>
      </w:r>
      <w:r>
        <w:rPr>
          <w:rFonts w:ascii="Calibri" w:hAnsi="Calibri"/>
          <w:b/>
          <w:color w:val="333333"/>
        </w:rPr>
        <w:t>590,856,997.09</w:t>
      </w:r>
      <w:r>
        <w:rPr>
          <w:rFonts w:ascii="Calibri" w:hAnsi="Calibri"/>
          <w:color w:val="333333"/>
        </w:rPr>
        <w:t xml:space="preserve">), and </w:t>
      </w:r>
      <w:r>
        <w:rPr>
          <w:rFonts w:ascii="Calibri" w:hAnsi="Calibri"/>
          <w:i/>
          <w:color w:val="333333"/>
        </w:rPr>
        <w:t>Total Credit balance</w:t>
      </w:r>
      <w:r>
        <w:rPr>
          <w:rFonts w:ascii="Calibri" w:hAnsi="Calibri"/>
          <w:color w:val="333333"/>
        </w:rPr>
        <w:t xml:space="preserve"> (</w:t>
      </w:r>
      <w:r>
        <w:rPr>
          <w:rFonts w:ascii="Calibri" w:hAnsi="Calibri"/>
          <w:b/>
          <w:color w:val="333333"/>
        </w:rPr>
        <w:t>590,856,994.96</w:t>
      </w:r>
      <w:r>
        <w:rPr>
          <w:rFonts w:ascii="Calibri" w:hAnsi="Calibri"/>
          <w:color w:val="333333"/>
        </w:rPr>
        <w:t>).</w:t>
      </w:r>
    </w:p>
    <w:p w14:paraId="36FE8A7D" w14:textId="77777777" w:rsidR="00AB1E67" w:rsidRDefault="00000000">
      <w:pPr>
        <w:pStyle w:val="ListBullet"/>
        <w:spacing w:before="40" w:after="40"/>
      </w:pPr>
      <w:r>
        <w:rPr>
          <w:rFonts w:ascii="Calibri" w:hAnsi="Calibri"/>
          <w:b/>
          <w:color w:val="333333"/>
        </w:rPr>
        <w:t>Trial Balance Dataframe</w:t>
      </w:r>
      <w:r>
        <w:rPr>
          <w:rFonts w:ascii="Calibri" w:hAnsi="Calibri"/>
          <w:color w:val="333333"/>
        </w:rPr>
        <w:t xml:space="preserve">: Multi-column table sorting ledger accounts with absolute debit/credit amounts, indicating the internal mapping categories (e.g. </w:t>
      </w:r>
      <w:r>
        <w:rPr>
          <w:rFonts w:ascii="Consolas" w:hAnsi="Consolas"/>
          <w:color w:val="B42850"/>
          <w:sz w:val="19"/>
        </w:rPr>
        <w:t>KISHOREKUMAR</w:t>
      </w:r>
      <w:r>
        <w:rPr>
          <w:rFonts w:ascii="Calibri" w:hAnsi="Calibri"/>
          <w:color w:val="333333"/>
        </w:rPr>
        <w:t xml:space="preserve"> mapped to </w:t>
      </w:r>
      <w:r>
        <w:rPr>
          <w:rFonts w:ascii="Calibri" w:hAnsi="Calibri"/>
          <w:i/>
          <w:color w:val="333333"/>
        </w:rPr>
        <w:t>payables</w:t>
      </w:r>
      <w:r>
        <w:rPr>
          <w:rFonts w:ascii="Calibri" w:hAnsi="Calibri"/>
          <w:color w:val="333333"/>
        </w:rPr>
        <w:t xml:space="preserve">, </w:t>
      </w:r>
      <w:r>
        <w:rPr>
          <w:rFonts w:ascii="Consolas" w:hAnsi="Consolas"/>
          <w:color w:val="B42850"/>
          <w:sz w:val="19"/>
        </w:rPr>
        <w:t>Rent</w:t>
      </w:r>
      <w:r>
        <w:rPr>
          <w:rFonts w:ascii="Calibri" w:hAnsi="Calibri"/>
          <w:color w:val="333333"/>
        </w:rPr>
        <w:t xml:space="preserve"> mapped to </w:t>
      </w:r>
      <w:r>
        <w:rPr>
          <w:rFonts w:ascii="Calibri" w:hAnsi="Calibri"/>
          <w:i/>
          <w:color w:val="333333"/>
        </w:rPr>
        <w:t>opex</w:t>
      </w:r>
      <w:r>
        <w:rPr>
          <w:rFonts w:ascii="Calibri" w:hAnsi="Calibri"/>
          <w:color w:val="333333"/>
        </w:rPr>
        <w:t xml:space="preserve">, </w:t>
      </w:r>
      <w:r>
        <w:rPr>
          <w:rFonts w:ascii="Consolas" w:hAnsi="Consolas"/>
          <w:color w:val="B42850"/>
          <w:sz w:val="19"/>
        </w:rPr>
        <w:t>Abirami Residency</w:t>
      </w:r>
      <w:r>
        <w:rPr>
          <w:rFonts w:ascii="Calibri" w:hAnsi="Calibri"/>
          <w:color w:val="333333"/>
        </w:rPr>
        <w:t xml:space="preserve"> mapped to </w:t>
      </w:r>
      <w:r>
        <w:rPr>
          <w:rFonts w:ascii="Calibri" w:hAnsi="Calibri"/>
          <w:i/>
          <w:color w:val="333333"/>
        </w:rPr>
        <w:t>receivables</w:t>
      </w:r>
      <w:r>
        <w:rPr>
          <w:rFonts w:ascii="Calibri" w:hAnsi="Calibri"/>
          <w:color w:val="333333"/>
        </w:rPr>
        <w:t>).</w:t>
      </w:r>
    </w:p>
    <w:p w14:paraId="5E13AC88" w14:textId="77777777" w:rsidR="00AB1E67" w:rsidRDefault="00000000">
      <w:pPr>
        <w:pStyle w:val="ListBullet"/>
        <w:spacing w:before="40" w:after="40"/>
      </w:pPr>
      <w:r>
        <w:rPr>
          <w:rFonts w:ascii="Calibri" w:hAnsi="Calibri"/>
          <w:b/>
          <w:color w:val="333333"/>
        </w:rPr>
        <w:t>Download Button</w:t>
      </w:r>
      <w:r>
        <w:rPr>
          <w:rFonts w:ascii="Calibri" w:hAnsi="Calibri"/>
          <w:color w:val="333333"/>
        </w:rPr>
        <w:t>: Single-click action button to download the finalized Trial Balance as a CSV sheet.</w:t>
      </w:r>
    </w:p>
    <w:p w14:paraId="33CED66B" w14:textId="77777777" w:rsidR="00AB1E67" w:rsidRDefault="00000000">
      <w:pPr>
        <w:pStyle w:val="Heading3"/>
        <w:spacing w:after="40"/>
      </w:pPr>
      <w:r>
        <w:rPr>
          <w:rFonts w:ascii="Segoe UI" w:hAnsi="Segoe UI"/>
          <w:color w:val="333333"/>
          <w:sz w:val="24"/>
        </w:rPr>
        <w:t>Client Comparison ➔ Ratio Scorecard Tab</w:t>
      </w:r>
    </w:p>
    <w:p w14:paraId="210487C3" w14:textId="77777777" w:rsidR="00AB1E67" w:rsidRDefault="00000000">
      <w:pPr>
        <w:spacing w:before="80" w:after="120"/>
      </w:pPr>
      <w:r>
        <w:rPr>
          <w:rFonts w:ascii="Calibri" w:hAnsi="Calibri"/>
          <w:color w:val="333333"/>
        </w:rPr>
        <w:t>Second sub-tab of Client Comparison. Benchmarks the private client's financial ratios against the sector standard.</w:t>
      </w:r>
    </w:p>
    <w:p w14:paraId="45D902DB" w14:textId="77777777" w:rsidR="00AB1E67" w:rsidRDefault="00000000">
      <w:pPr>
        <w:pStyle w:val="Heading4"/>
        <w:spacing w:before="160" w:after="40"/>
      </w:pPr>
      <w:r>
        <w:rPr>
          <w:rFonts w:ascii="Segoe UI" w:hAnsi="Segoe UI"/>
          <w:color w:val="333333"/>
        </w:rPr>
        <w:lastRenderedPageBreak/>
        <w:t>📸 Interface Capture:</w:t>
      </w:r>
    </w:p>
    <w:p w14:paraId="314F5C2F" w14:textId="77777777" w:rsidR="00AB1E67" w:rsidRDefault="00000000">
      <w:pPr>
        <w:spacing w:before="240" w:after="80"/>
        <w:jc w:val="center"/>
      </w:pPr>
      <w:r>
        <w:rPr>
          <w:noProof/>
        </w:rPr>
        <w:drawing>
          <wp:inline distT="0" distB="0" distL="0" distR="0" wp14:anchorId="2082A99E" wp14:editId="4FB1DE9A">
            <wp:extent cx="5486400" cy="283178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client_scorecard.png"/>
                    <pic:cNvPicPr/>
                  </pic:nvPicPr>
                  <pic:blipFill>
                    <a:blip r:embed="rId16"/>
                    <a:stretch>
                      <a:fillRect/>
                    </a:stretch>
                  </pic:blipFill>
                  <pic:spPr>
                    <a:xfrm>
                      <a:off x="0" y="0"/>
                      <a:ext cx="5486400" cy="2831782"/>
                    </a:xfrm>
                    <a:prstGeom prst="rect">
                      <a:avLst/>
                    </a:prstGeom>
                  </pic:spPr>
                </pic:pic>
              </a:graphicData>
            </a:graphic>
          </wp:inline>
        </w:drawing>
      </w:r>
    </w:p>
    <w:p w14:paraId="4C903BA2" w14:textId="77777777" w:rsidR="00AB1E67" w:rsidRDefault="00000000">
      <w:pPr>
        <w:spacing w:after="240"/>
        <w:jc w:val="center"/>
      </w:pPr>
      <w:r>
        <w:rPr>
          <w:rFonts w:ascii="Calibri" w:hAnsi="Calibri"/>
          <w:i/>
          <w:color w:val="666666"/>
          <w:sz w:val="19"/>
        </w:rPr>
        <w:t>Figure: Client Scorecard Tab</w:t>
      </w:r>
    </w:p>
    <w:p w14:paraId="544C9768" w14:textId="77777777" w:rsidR="00AB1E67" w:rsidRDefault="00000000">
      <w:pPr>
        <w:pStyle w:val="Heading4"/>
        <w:spacing w:before="160" w:after="40"/>
      </w:pPr>
      <w:r>
        <w:rPr>
          <w:rFonts w:ascii="Segoe UI" w:hAnsi="Segoe UI"/>
          <w:color w:val="333333"/>
        </w:rPr>
        <w:t>📝 Visual Elements &amp; Controls to Note:</w:t>
      </w:r>
    </w:p>
    <w:p w14:paraId="19595DA8" w14:textId="77777777" w:rsidR="00AB1E67" w:rsidRDefault="00000000">
      <w:pPr>
        <w:pStyle w:val="ListBullet"/>
        <w:spacing w:before="40" w:after="40"/>
      </w:pPr>
      <w:r>
        <w:rPr>
          <w:rFonts w:ascii="Calibri" w:hAnsi="Calibri"/>
          <w:b/>
          <w:color w:val="333333"/>
        </w:rPr>
        <w:t>Client Metric Counters</w:t>
      </w:r>
      <w:r>
        <w:rPr>
          <w:rFonts w:ascii="Calibri" w:hAnsi="Calibri"/>
          <w:color w:val="333333"/>
        </w:rPr>
        <w:t xml:space="preserve">: Displays above, at, and below benchmark counts specific to the client's performance (showing </w:t>
      </w:r>
      <w:r>
        <w:rPr>
          <w:rFonts w:ascii="Calibri" w:hAnsi="Calibri"/>
          <w:b/>
          <w:color w:val="333333"/>
        </w:rPr>
        <w:t>5</w:t>
      </w:r>
      <w:r>
        <w:rPr>
          <w:rFonts w:ascii="Calibri" w:hAnsi="Calibri"/>
          <w:color w:val="333333"/>
        </w:rPr>
        <w:t xml:space="preserve"> Above Benchmark, and </w:t>
      </w:r>
      <w:r>
        <w:rPr>
          <w:rFonts w:ascii="Calibri" w:hAnsi="Calibri"/>
          <w:b/>
          <w:color w:val="333333"/>
        </w:rPr>
        <w:t>8</w:t>
      </w:r>
      <w:r>
        <w:rPr>
          <w:rFonts w:ascii="Calibri" w:hAnsi="Calibri"/>
          <w:color w:val="333333"/>
        </w:rPr>
        <w:t xml:space="preserve"> Below Benchmark).</w:t>
      </w:r>
    </w:p>
    <w:p w14:paraId="146AA696" w14:textId="77777777" w:rsidR="00AB1E67" w:rsidRDefault="00000000">
      <w:pPr>
        <w:pStyle w:val="ListBullet"/>
        <w:spacing w:before="40" w:after="40"/>
      </w:pPr>
      <w:r>
        <w:rPr>
          <w:rFonts w:ascii="Calibri" w:hAnsi="Calibri"/>
          <w:b/>
          <w:color w:val="333333"/>
        </w:rPr>
        <w:t>Interactive Scorecard Heatmap</w:t>
      </w:r>
      <w:r>
        <w:rPr>
          <w:rFonts w:ascii="Calibri" w:hAnsi="Calibri"/>
          <w:color w:val="333333"/>
        </w:rPr>
        <w:t>: Detailed Plotly chart visualizing the client's specific ratio percentile ranges relative to the sector peer groups.</w:t>
      </w:r>
    </w:p>
    <w:p w14:paraId="5A8596F1" w14:textId="77777777" w:rsidR="00AB1E67" w:rsidRDefault="00000000">
      <w:pPr>
        <w:pStyle w:val="ListBullet"/>
        <w:spacing w:before="40" w:after="40"/>
      </w:pPr>
      <w:r>
        <w:rPr>
          <w:rFonts w:ascii="Calibri" w:hAnsi="Calibri"/>
          <w:b/>
          <w:color w:val="333333"/>
        </w:rPr>
        <w:t>Client Scorecard Dataframe</w:t>
      </w:r>
      <w:r>
        <w:rPr>
          <w:rFonts w:ascii="Calibri" w:hAnsi="Calibri"/>
          <w:color w:val="333333"/>
        </w:rPr>
        <w:t>: Complete list showing raw values, sector medians, percentiles, and position labels.</w:t>
      </w:r>
    </w:p>
    <w:p w14:paraId="51FC7C35" w14:textId="77777777" w:rsidR="00AB1E67" w:rsidRDefault="00000000">
      <w:pPr>
        <w:pStyle w:val="Heading4"/>
        <w:spacing w:before="160" w:after="40"/>
      </w:pPr>
      <w:r>
        <w:rPr>
          <w:rFonts w:ascii="Segoe UI" w:hAnsi="Segoe UI"/>
          <w:color w:val="333333"/>
        </w:rPr>
        <w:t>📊 High-Resolution Client Ratio Scorecard Plot:</w:t>
      </w:r>
    </w:p>
    <w:p w14:paraId="5E35E33B" w14:textId="77777777" w:rsidR="00AB1E67" w:rsidRDefault="00000000">
      <w:pPr>
        <w:spacing w:before="240" w:after="80"/>
        <w:jc w:val="center"/>
      </w:pPr>
      <w:r>
        <w:rPr>
          <w:noProof/>
        </w:rPr>
        <w:drawing>
          <wp:inline distT="0" distB="0" distL="0" distR="0" wp14:anchorId="75B5895E" wp14:editId="5063C9AB">
            <wp:extent cx="5486400" cy="249381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ratio_scorecard_client.png"/>
                    <pic:cNvPicPr/>
                  </pic:nvPicPr>
                  <pic:blipFill>
                    <a:blip r:embed="rId17"/>
                    <a:stretch>
                      <a:fillRect/>
                    </a:stretch>
                  </pic:blipFill>
                  <pic:spPr>
                    <a:xfrm>
                      <a:off x="0" y="0"/>
                      <a:ext cx="5486400" cy="2493818"/>
                    </a:xfrm>
                    <a:prstGeom prst="rect">
                      <a:avLst/>
                    </a:prstGeom>
                  </pic:spPr>
                </pic:pic>
              </a:graphicData>
            </a:graphic>
          </wp:inline>
        </w:drawing>
      </w:r>
    </w:p>
    <w:p w14:paraId="545B3070" w14:textId="77777777" w:rsidR="00AB1E67" w:rsidRDefault="00000000">
      <w:pPr>
        <w:spacing w:after="240"/>
        <w:jc w:val="center"/>
      </w:pPr>
      <w:r>
        <w:rPr>
          <w:rFonts w:ascii="Calibri" w:hAnsi="Calibri"/>
          <w:i/>
          <w:color w:val="666666"/>
          <w:sz w:val="19"/>
        </w:rPr>
        <w:t>Figure: High-Resolution Client Scorecard</w:t>
      </w:r>
    </w:p>
    <w:p w14:paraId="495E2901" w14:textId="77777777" w:rsidR="00AB1E67" w:rsidRDefault="00000000">
      <w:pPr>
        <w:pStyle w:val="Heading3"/>
        <w:spacing w:after="40"/>
      </w:pPr>
      <w:r>
        <w:rPr>
          <w:rFonts w:ascii="Segoe UI" w:hAnsi="Segoe UI"/>
          <w:color w:val="333333"/>
          <w:sz w:val="24"/>
        </w:rPr>
        <w:lastRenderedPageBreak/>
        <w:t>Client Comparison ➔ Composite Scores Tab</w:t>
      </w:r>
    </w:p>
    <w:p w14:paraId="3C57EFEB" w14:textId="77777777" w:rsidR="00AB1E67" w:rsidRDefault="00000000">
      <w:pPr>
        <w:spacing w:before="80" w:after="120"/>
      </w:pPr>
      <w:r>
        <w:rPr>
          <w:rFonts w:ascii="Calibri" w:hAnsi="Calibri"/>
          <w:color w:val="333333"/>
        </w:rPr>
        <w:t>Third sub-tab of Client Comparison. Ranks the client's health score directly within the public sector peer ranking.</w:t>
      </w:r>
    </w:p>
    <w:p w14:paraId="149BDB12" w14:textId="77777777" w:rsidR="00AB1E67" w:rsidRDefault="00000000">
      <w:pPr>
        <w:pStyle w:val="Heading4"/>
        <w:spacing w:before="160" w:after="40"/>
      </w:pPr>
      <w:r>
        <w:rPr>
          <w:rFonts w:ascii="Segoe UI" w:hAnsi="Segoe UI"/>
          <w:color w:val="333333"/>
        </w:rPr>
        <w:t>📸 Interface Capture:</w:t>
      </w:r>
    </w:p>
    <w:p w14:paraId="3A300D11" w14:textId="77777777" w:rsidR="00AB1E67" w:rsidRDefault="00000000">
      <w:pPr>
        <w:spacing w:before="240" w:after="80"/>
        <w:jc w:val="center"/>
      </w:pPr>
      <w:r>
        <w:rPr>
          <w:noProof/>
        </w:rPr>
        <w:drawing>
          <wp:inline distT="0" distB="0" distL="0" distR="0" wp14:anchorId="1F3C7BF7" wp14:editId="6E6C7A36">
            <wp:extent cx="5486400" cy="282606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client_composite.png"/>
                    <pic:cNvPicPr/>
                  </pic:nvPicPr>
                  <pic:blipFill>
                    <a:blip r:embed="rId18"/>
                    <a:stretch>
                      <a:fillRect/>
                    </a:stretch>
                  </pic:blipFill>
                  <pic:spPr>
                    <a:xfrm>
                      <a:off x="0" y="0"/>
                      <a:ext cx="5486400" cy="2826068"/>
                    </a:xfrm>
                    <a:prstGeom prst="rect">
                      <a:avLst/>
                    </a:prstGeom>
                  </pic:spPr>
                </pic:pic>
              </a:graphicData>
            </a:graphic>
          </wp:inline>
        </w:drawing>
      </w:r>
    </w:p>
    <w:p w14:paraId="6072229C" w14:textId="77777777" w:rsidR="00AB1E67" w:rsidRDefault="00000000">
      <w:pPr>
        <w:spacing w:after="240"/>
        <w:jc w:val="center"/>
      </w:pPr>
      <w:r>
        <w:rPr>
          <w:rFonts w:ascii="Calibri" w:hAnsi="Calibri"/>
          <w:i/>
          <w:color w:val="666666"/>
          <w:sz w:val="19"/>
        </w:rPr>
        <w:t>Figure: Client Composite Scores Tab</w:t>
      </w:r>
    </w:p>
    <w:p w14:paraId="15A6A7EC" w14:textId="77777777" w:rsidR="00AB1E67" w:rsidRDefault="00000000">
      <w:pPr>
        <w:pStyle w:val="Heading4"/>
        <w:spacing w:before="160" w:after="40"/>
      </w:pPr>
      <w:r>
        <w:rPr>
          <w:rFonts w:ascii="Segoe UI" w:hAnsi="Segoe UI"/>
          <w:color w:val="333333"/>
        </w:rPr>
        <w:t>📝 Visual Elements &amp; Controls to Note:</w:t>
      </w:r>
    </w:p>
    <w:p w14:paraId="3584B5C4" w14:textId="77777777" w:rsidR="00AB1E67" w:rsidRDefault="00000000">
      <w:pPr>
        <w:pStyle w:val="ListBullet"/>
        <w:spacing w:before="40" w:after="40"/>
      </w:pPr>
      <w:r>
        <w:rPr>
          <w:rFonts w:ascii="Calibri" w:hAnsi="Calibri"/>
          <w:b/>
          <w:color w:val="333333"/>
        </w:rPr>
        <w:t>Client Health Metrics</w:t>
      </w:r>
      <w:r>
        <w:rPr>
          <w:rFonts w:ascii="Calibri" w:hAnsi="Calibri"/>
          <w:color w:val="333333"/>
        </w:rPr>
        <w:t xml:space="preserve">: Displays the </w:t>
      </w:r>
      <w:r>
        <w:rPr>
          <w:rFonts w:ascii="Calibri" w:hAnsi="Calibri"/>
          <w:i/>
          <w:color w:val="333333"/>
        </w:rPr>
        <w:t>Client's Composite Score (0-100)</w:t>
      </w:r>
      <w:r>
        <w:rPr>
          <w:rFonts w:ascii="Calibri" w:hAnsi="Calibri"/>
          <w:color w:val="333333"/>
        </w:rPr>
        <w:t xml:space="preserve"> (</w:t>
      </w:r>
      <w:r>
        <w:rPr>
          <w:rFonts w:ascii="Calibri" w:hAnsi="Calibri"/>
          <w:b/>
          <w:color w:val="333333"/>
        </w:rPr>
        <w:t>44.8 / 100</w:t>
      </w:r>
      <w:r>
        <w:rPr>
          <w:rFonts w:ascii="Calibri" w:hAnsi="Calibri"/>
          <w:color w:val="333333"/>
        </w:rPr>
        <w:t xml:space="preserve">), </w:t>
      </w:r>
      <w:r>
        <w:rPr>
          <w:rFonts w:ascii="Calibri" w:hAnsi="Calibri"/>
          <w:i/>
          <w:color w:val="333333"/>
        </w:rPr>
        <w:t>Assigned Risk Category</w:t>
      </w:r>
      <w:r>
        <w:rPr>
          <w:rFonts w:ascii="Calibri" w:hAnsi="Calibri"/>
          <w:color w:val="333333"/>
        </w:rPr>
        <w:t xml:space="preserve"> (</w:t>
      </w:r>
      <w:r>
        <w:rPr>
          <w:rFonts w:ascii="Calibri" w:hAnsi="Calibri"/>
          <w:b/>
          <w:color w:val="333333"/>
        </w:rPr>
        <w:t>Weak</w:t>
      </w:r>
      <w:r>
        <w:rPr>
          <w:rFonts w:ascii="Calibri" w:hAnsi="Calibri"/>
          <w:color w:val="333333"/>
        </w:rPr>
        <w:t xml:space="preserve">), and </w:t>
      </w:r>
      <w:r>
        <w:rPr>
          <w:rFonts w:ascii="Calibri" w:hAnsi="Calibri"/>
          <w:i/>
          <w:color w:val="333333"/>
        </w:rPr>
        <w:t>Sector Percentile rank</w:t>
      </w:r>
      <w:r>
        <w:rPr>
          <w:rFonts w:ascii="Calibri" w:hAnsi="Calibri"/>
          <w:color w:val="333333"/>
        </w:rPr>
        <w:t xml:space="preserve"> (</w:t>
      </w:r>
      <w:r>
        <w:rPr>
          <w:rFonts w:ascii="Calibri" w:hAnsi="Calibri"/>
          <w:b/>
          <w:color w:val="333333"/>
        </w:rPr>
        <w:t>14th</w:t>
      </w:r>
      <w:r>
        <w:rPr>
          <w:rFonts w:ascii="Calibri" w:hAnsi="Calibri"/>
          <w:color w:val="333333"/>
        </w:rPr>
        <w:t>).</w:t>
      </w:r>
    </w:p>
    <w:p w14:paraId="3F3E0069" w14:textId="77777777" w:rsidR="00AB1E67" w:rsidRDefault="00000000">
      <w:pPr>
        <w:pStyle w:val="ListBullet"/>
        <w:spacing w:before="40" w:after="40"/>
      </w:pPr>
      <w:r>
        <w:rPr>
          <w:rFonts w:ascii="Calibri" w:hAnsi="Calibri"/>
          <w:b/>
          <w:color w:val="333333"/>
        </w:rPr>
        <w:t>Comparative Score Bar Chart</w:t>
      </w:r>
      <w:r>
        <w:rPr>
          <w:rFonts w:ascii="Calibri" w:hAnsi="Calibri"/>
          <w:color w:val="333333"/>
        </w:rPr>
        <w:t xml:space="preserve">: Renders the sector health score chart, with the private </w:t>
      </w:r>
      <w:r>
        <w:rPr>
          <w:rFonts w:ascii="Calibri" w:hAnsi="Calibri"/>
          <w:b/>
          <w:color w:val="333333"/>
        </w:rPr>
        <w:t>FMCG Client</w:t>
      </w:r>
      <w:r>
        <w:rPr>
          <w:rFonts w:ascii="Calibri" w:hAnsi="Calibri"/>
          <w:color w:val="333333"/>
        </w:rPr>
        <w:t xml:space="preserve"> prominently highlighted in a distinct color and white border to show exactly where they stand among public peers (ranking 7th, right above ACI's 34.8).</w:t>
      </w:r>
    </w:p>
    <w:p w14:paraId="48A29EAD" w14:textId="77777777" w:rsidR="00AB1E67" w:rsidRDefault="00000000">
      <w:pPr>
        <w:pStyle w:val="ListBullet"/>
        <w:spacing w:before="40" w:after="40"/>
      </w:pPr>
      <w:r>
        <w:rPr>
          <w:rFonts w:ascii="Calibri" w:hAnsi="Calibri"/>
          <w:b/>
          <w:color w:val="333333"/>
        </w:rPr>
        <w:t>Client Pillar Breakdown Dataframe</w:t>
      </w:r>
      <w:r>
        <w:rPr>
          <w:rFonts w:ascii="Calibri" w:hAnsi="Calibri"/>
          <w:color w:val="333333"/>
        </w:rPr>
        <w:t>: Individual table displaying the client's score across the five financial pillars.</w:t>
      </w:r>
    </w:p>
    <w:p w14:paraId="21AE2738" w14:textId="77777777" w:rsidR="00AB1E67" w:rsidRDefault="00000000">
      <w:pPr>
        <w:pStyle w:val="Heading4"/>
        <w:spacing w:before="160" w:after="40"/>
      </w:pPr>
      <w:r>
        <w:rPr>
          <w:rFonts w:ascii="Segoe UI" w:hAnsi="Segoe UI"/>
          <w:color w:val="333333"/>
        </w:rPr>
        <w:t>📊 High-Resolution Health Score Ranking (with Client) Plot:</w:t>
      </w:r>
    </w:p>
    <w:p w14:paraId="3123570D" w14:textId="77777777" w:rsidR="00AB1E67" w:rsidRDefault="00000000">
      <w:pPr>
        <w:spacing w:before="240" w:after="80"/>
        <w:jc w:val="center"/>
      </w:pPr>
      <w:r>
        <w:rPr>
          <w:noProof/>
        </w:rPr>
        <w:drawing>
          <wp:inline distT="0" distB="0" distL="0" distR="0" wp14:anchorId="52994E65" wp14:editId="5E615E5E">
            <wp:extent cx="5486400" cy="131748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health_score_with_client.png"/>
                    <pic:cNvPicPr/>
                  </pic:nvPicPr>
                  <pic:blipFill>
                    <a:blip r:embed="rId19"/>
                    <a:stretch>
                      <a:fillRect/>
                    </a:stretch>
                  </pic:blipFill>
                  <pic:spPr>
                    <a:xfrm>
                      <a:off x="0" y="0"/>
                      <a:ext cx="5486400" cy="1317489"/>
                    </a:xfrm>
                    <a:prstGeom prst="rect">
                      <a:avLst/>
                    </a:prstGeom>
                  </pic:spPr>
                </pic:pic>
              </a:graphicData>
            </a:graphic>
          </wp:inline>
        </w:drawing>
      </w:r>
    </w:p>
    <w:p w14:paraId="33CF610B" w14:textId="77777777" w:rsidR="00AB1E67" w:rsidRDefault="00000000">
      <w:pPr>
        <w:spacing w:after="240"/>
        <w:jc w:val="center"/>
      </w:pPr>
      <w:r>
        <w:rPr>
          <w:rFonts w:ascii="Calibri" w:hAnsi="Calibri"/>
          <w:i/>
          <w:color w:val="666666"/>
          <w:sz w:val="19"/>
        </w:rPr>
        <w:t>Figure: High-Resolution Health Score with Client</w:t>
      </w:r>
    </w:p>
    <w:p w14:paraId="35CABC3D" w14:textId="77777777" w:rsidR="00AB1E67" w:rsidRDefault="00000000">
      <w:pPr>
        <w:pStyle w:val="Heading3"/>
        <w:spacing w:after="40"/>
      </w:pPr>
      <w:r>
        <w:rPr>
          <w:rFonts w:ascii="Segoe UI" w:hAnsi="Segoe UI"/>
          <w:color w:val="333333"/>
          <w:sz w:val="24"/>
        </w:rPr>
        <w:lastRenderedPageBreak/>
        <w:t>Client Comparison ➔ Ratio Distribution Tab</w:t>
      </w:r>
    </w:p>
    <w:p w14:paraId="3DA43073" w14:textId="77777777" w:rsidR="00AB1E67" w:rsidRDefault="00000000">
      <w:pPr>
        <w:spacing w:before="80" w:after="120"/>
      </w:pPr>
      <w:r>
        <w:rPr>
          <w:rFonts w:ascii="Calibri" w:hAnsi="Calibri"/>
          <w:color w:val="333333"/>
        </w:rPr>
        <w:t>Fourth sub-tab of Client Comparison. Maps the client against all peer companies across customizable ratio axis.</w:t>
      </w:r>
    </w:p>
    <w:p w14:paraId="5EE37FC5" w14:textId="77777777" w:rsidR="00AB1E67" w:rsidRDefault="00000000">
      <w:pPr>
        <w:pStyle w:val="Heading4"/>
        <w:spacing w:before="160" w:after="40"/>
      </w:pPr>
      <w:r>
        <w:rPr>
          <w:rFonts w:ascii="Segoe UI" w:hAnsi="Segoe UI"/>
          <w:color w:val="333333"/>
        </w:rPr>
        <w:t>📸 Interface Capture:</w:t>
      </w:r>
    </w:p>
    <w:p w14:paraId="58A99A28" w14:textId="77777777" w:rsidR="00AB1E67" w:rsidRDefault="00000000">
      <w:pPr>
        <w:spacing w:before="240" w:after="80"/>
        <w:jc w:val="center"/>
      </w:pPr>
      <w:r>
        <w:rPr>
          <w:noProof/>
        </w:rPr>
        <w:drawing>
          <wp:inline distT="0" distB="0" distL="0" distR="0" wp14:anchorId="586E28A5" wp14:editId="151A1C62">
            <wp:extent cx="5486400" cy="283749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client_peer_scatter.png"/>
                    <pic:cNvPicPr/>
                  </pic:nvPicPr>
                  <pic:blipFill>
                    <a:blip r:embed="rId20"/>
                    <a:stretch>
                      <a:fillRect/>
                    </a:stretch>
                  </pic:blipFill>
                  <pic:spPr>
                    <a:xfrm>
                      <a:off x="0" y="0"/>
                      <a:ext cx="5486400" cy="2837498"/>
                    </a:xfrm>
                    <a:prstGeom prst="rect">
                      <a:avLst/>
                    </a:prstGeom>
                  </pic:spPr>
                </pic:pic>
              </a:graphicData>
            </a:graphic>
          </wp:inline>
        </w:drawing>
      </w:r>
    </w:p>
    <w:p w14:paraId="7D8BD874" w14:textId="77777777" w:rsidR="00AB1E67" w:rsidRDefault="00000000">
      <w:pPr>
        <w:spacing w:after="240"/>
        <w:jc w:val="center"/>
      </w:pPr>
      <w:r>
        <w:rPr>
          <w:rFonts w:ascii="Calibri" w:hAnsi="Calibri"/>
          <w:i/>
          <w:color w:val="666666"/>
          <w:sz w:val="19"/>
        </w:rPr>
        <w:t>Figure: Client Peer Competitive Mapping</w:t>
      </w:r>
    </w:p>
    <w:p w14:paraId="78FBD7DE" w14:textId="77777777" w:rsidR="00AB1E67" w:rsidRDefault="00000000">
      <w:pPr>
        <w:pStyle w:val="Heading4"/>
        <w:spacing w:before="160" w:after="40"/>
      </w:pPr>
      <w:r>
        <w:rPr>
          <w:rFonts w:ascii="Segoe UI" w:hAnsi="Segoe UI"/>
          <w:color w:val="333333"/>
        </w:rPr>
        <w:t>📝 Visual Elements &amp; Controls to Note:</w:t>
      </w:r>
    </w:p>
    <w:p w14:paraId="7095580E" w14:textId="77777777" w:rsidR="00AB1E67" w:rsidRDefault="00000000">
      <w:pPr>
        <w:pStyle w:val="ListBullet"/>
        <w:spacing w:before="40" w:after="40"/>
      </w:pPr>
      <w:r>
        <w:rPr>
          <w:rFonts w:ascii="Calibri" w:hAnsi="Calibri"/>
          <w:b/>
          <w:color w:val="333333"/>
        </w:rPr>
        <w:t>Axis Selectors</w:t>
      </w:r>
      <w:r>
        <w:rPr>
          <w:rFonts w:ascii="Calibri" w:hAnsi="Calibri"/>
          <w:color w:val="333333"/>
        </w:rPr>
        <w:t>: Dropdown controls to dynamically change the X-axis and Y-axis ratios (e.g., mapping operating margin against current ratio).</w:t>
      </w:r>
    </w:p>
    <w:p w14:paraId="2C600D65" w14:textId="77777777" w:rsidR="00AB1E67" w:rsidRDefault="00000000">
      <w:pPr>
        <w:pStyle w:val="ListBullet"/>
        <w:spacing w:before="40" w:after="40"/>
      </w:pPr>
      <w:r>
        <w:rPr>
          <w:rFonts w:ascii="Calibri" w:hAnsi="Calibri"/>
          <w:b/>
          <w:color w:val="333333"/>
        </w:rPr>
        <w:t>Competitive Mapping Scatter Plot</w:t>
      </w:r>
      <w:r>
        <w:rPr>
          <w:rFonts w:ascii="Calibri" w:hAnsi="Calibri"/>
          <w:color w:val="333333"/>
        </w:rPr>
        <w:t>: Scatter chart where every public peer is mapped as a node, and the client is plotted as a prominent, glowing node with a distinct white ring.</w:t>
      </w:r>
    </w:p>
    <w:p w14:paraId="7BEE9C5A" w14:textId="77777777" w:rsidR="00AB1E67" w:rsidRDefault="00000000">
      <w:pPr>
        <w:pStyle w:val="Heading4"/>
        <w:spacing w:before="160" w:after="40"/>
      </w:pPr>
      <w:r>
        <w:rPr>
          <w:rFonts w:ascii="Segoe UI" w:hAnsi="Segoe UI"/>
          <w:color w:val="333333"/>
        </w:rPr>
        <w:t>📊 High-Resolution Peer Competitive Percentile Distribution Plot:</w:t>
      </w:r>
    </w:p>
    <w:p w14:paraId="0BF11F89" w14:textId="77777777" w:rsidR="00AB1E67" w:rsidRDefault="00000000">
      <w:pPr>
        <w:spacing w:before="240" w:after="80"/>
        <w:jc w:val="center"/>
      </w:pPr>
      <w:r>
        <w:rPr>
          <w:noProof/>
        </w:rPr>
        <w:drawing>
          <wp:inline distT="0" distB="0" distL="0" distR="0" wp14:anchorId="25BF984C" wp14:editId="42425408">
            <wp:extent cx="5486400" cy="188212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peer_competitive_mapping.png"/>
                    <pic:cNvPicPr/>
                  </pic:nvPicPr>
                  <pic:blipFill>
                    <a:blip r:embed="rId21"/>
                    <a:stretch>
                      <a:fillRect/>
                    </a:stretch>
                  </pic:blipFill>
                  <pic:spPr>
                    <a:xfrm>
                      <a:off x="0" y="0"/>
                      <a:ext cx="5486400" cy="1882127"/>
                    </a:xfrm>
                    <a:prstGeom prst="rect">
                      <a:avLst/>
                    </a:prstGeom>
                  </pic:spPr>
                </pic:pic>
              </a:graphicData>
            </a:graphic>
          </wp:inline>
        </w:drawing>
      </w:r>
    </w:p>
    <w:p w14:paraId="3C53818B" w14:textId="77777777" w:rsidR="00AB1E67" w:rsidRDefault="00000000">
      <w:pPr>
        <w:spacing w:after="240"/>
        <w:jc w:val="center"/>
      </w:pPr>
      <w:r>
        <w:rPr>
          <w:rFonts w:ascii="Calibri" w:hAnsi="Calibri"/>
          <w:i/>
          <w:color w:val="666666"/>
          <w:sz w:val="19"/>
        </w:rPr>
        <w:t>Figure: High-Resolution Peer Competitive Mapping</w:t>
      </w:r>
    </w:p>
    <w:p w14:paraId="6A9D82DE" w14:textId="77777777" w:rsidR="00AB1E67" w:rsidRDefault="00000000">
      <w:pPr>
        <w:pStyle w:val="Heading3"/>
        <w:spacing w:after="40"/>
      </w:pPr>
      <w:r>
        <w:rPr>
          <w:rFonts w:ascii="Segoe UI" w:hAnsi="Segoe UI"/>
          <w:color w:val="333333"/>
          <w:sz w:val="24"/>
        </w:rPr>
        <w:lastRenderedPageBreak/>
        <w:t>Client Comparison ➔ SWOT Insights Tab</w:t>
      </w:r>
    </w:p>
    <w:p w14:paraId="37B26287" w14:textId="77777777" w:rsidR="00AB1E67" w:rsidRDefault="00000000">
      <w:pPr>
        <w:spacing w:before="80" w:after="120"/>
      </w:pPr>
      <w:r>
        <w:rPr>
          <w:rFonts w:ascii="Calibri" w:hAnsi="Calibri"/>
          <w:color w:val="333333"/>
        </w:rPr>
        <w:t>Fifth sub-tab of Client Comparison. Translates comparative numerical metrics into a strategic 2×2 SWOT matrix.</w:t>
      </w:r>
    </w:p>
    <w:p w14:paraId="517AB3C0" w14:textId="77777777" w:rsidR="00AB1E67" w:rsidRDefault="00000000">
      <w:pPr>
        <w:pStyle w:val="Heading4"/>
        <w:spacing w:before="160" w:after="40"/>
      </w:pPr>
      <w:r>
        <w:rPr>
          <w:rFonts w:ascii="Segoe UI" w:hAnsi="Segoe UI"/>
          <w:color w:val="333333"/>
        </w:rPr>
        <w:t>📸 Interface Capture:</w:t>
      </w:r>
    </w:p>
    <w:p w14:paraId="6B4EBD5D" w14:textId="77777777" w:rsidR="00AB1E67" w:rsidRDefault="00000000">
      <w:pPr>
        <w:spacing w:before="240" w:after="80"/>
        <w:jc w:val="center"/>
      </w:pPr>
      <w:r>
        <w:rPr>
          <w:noProof/>
        </w:rPr>
        <w:drawing>
          <wp:inline distT="0" distB="0" distL="0" distR="0" wp14:anchorId="059E8822" wp14:editId="2DD92FEF">
            <wp:extent cx="5486400" cy="283464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client_swot.png"/>
                    <pic:cNvPicPr/>
                  </pic:nvPicPr>
                  <pic:blipFill>
                    <a:blip r:embed="rId22"/>
                    <a:stretch>
                      <a:fillRect/>
                    </a:stretch>
                  </pic:blipFill>
                  <pic:spPr>
                    <a:xfrm>
                      <a:off x="0" y="0"/>
                      <a:ext cx="5486400" cy="2834640"/>
                    </a:xfrm>
                    <a:prstGeom prst="rect">
                      <a:avLst/>
                    </a:prstGeom>
                  </pic:spPr>
                </pic:pic>
              </a:graphicData>
            </a:graphic>
          </wp:inline>
        </w:drawing>
      </w:r>
    </w:p>
    <w:p w14:paraId="46C39936" w14:textId="77777777" w:rsidR="00AB1E67" w:rsidRDefault="00000000">
      <w:pPr>
        <w:spacing w:after="240"/>
        <w:jc w:val="center"/>
      </w:pPr>
      <w:r>
        <w:rPr>
          <w:rFonts w:ascii="Calibri" w:hAnsi="Calibri"/>
          <w:i/>
          <w:color w:val="666666"/>
          <w:sz w:val="19"/>
        </w:rPr>
        <w:t>Figure: Client SWOT Insights</w:t>
      </w:r>
    </w:p>
    <w:p w14:paraId="58D99358" w14:textId="77777777" w:rsidR="00AB1E67" w:rsidRDefault="00000000">
      <w:pPr>
        <w:pStyle w:val="Heading4"/>
        <w:spacing w:before="160" w:after="40"/>
      </w:pPr>
      <w:r>
        <w:rPr>
          <w:rFonts w:ascii="Segoe UI" w:hAnsi="Segoe UI"/>
          <w:color w:val="333333"/>
        </w:rPr>
        <w:t>📝 Visual Elements &amp; Controls to Note:</w:t>
      </w:r>
    </w:p>
    <w:p w14:paraId="2DF671EF" w14:textId="77777777" w:rsidR="00AB1E67" w:rsidRDefault="00000000">
      <w:pPr>
        <w:pStyle w:val="ListBullet"/>
        <w:spacing w:before="40" w:after="40"/>
      </w:pPr>
      <w:r>
        <w:rPr>
          <w:rFonts w:ascii="Calibri" w:hAnsi="Calibri"/>
          <w:b/>
          <w:color w:val="333333"/>
        </w:rPr>
        <w:t>SWOT Metric Indicators</w:t>
      </w:r>
      <w:r>
        <w:rPr>
          <w:rFonts w:ascii="Calibri" w:hAnsi="Calibri"/>
          <w:color w:val="333333"/>
        </w:rPr>
        <w:t>: Metric cards showing the number of items classified in Strengths (</w:t>
      </w:r>
      <w:r>
        <w:rPr>
          <w:rFonts w:ascii="Calibri" w:hAnsi="Calibri"/>
          <w:b/>
          <w:color w:val="333333"/>
        </w:rPr>
        <w:t>4</w:t>
      </w:r>
      <w:r>
        <w:rPr>
          <w:rFonts w:ascii="Calibri" w:hAnsi="Calibri"/>
          <w:color w:val="333333"/>
        </w:rPr>
        <w:t>), Weaknesses (</w:t>
      </w:r>
      <w:r>
        <w:rPr>
          <w:rFonts w:ascii="Calibri" w:hAnsi="Calibri"/>
          <w:b/>
          <w:color w:val="333333"/>
        </w:rPr>
        <w:t>4</w:t>
      </w:r>
      <w:r>
        <w:rPr>
          <w:rFonts w:ascii="Calibri" w:hAnsi="Calibri"/>
          <w:color w:val="333333"/>
        </w:rPr>
        <w:t>), Opportunities (</w:t>
      </w:r>
      <w:r>
        <w:rPr>
          <w:rFonts w:ascii="Calibri" w:hAnsi="Calibri"/>
          <w:b/>
          <w:color w:val="333333"/>
        </w:rPr>
        <w:t>1</w:t>
      </w:r>
      <w:r>
        <w:rPr>
          <w:rFonts w:ascii="Calibri" w:hAnsi="Calibri"/>
          <w:color w:val="333333"/>
        </w:rPr>
        <w:t>), and Threats (</w:t>
      </w:r>
      <w:r>
        <w:rPr>
          <w:rFonts w:ascii="Calibri" w:hAnsi="Calibri"/>
          <w:b/>
          <w:color w:val="333333"/>
        </w:rPr>
        <w:t>4</w:t>
      </w:r>
      <w:r>
        <w:rPr>
          <w:rFonts w:ascii="Calibri" w:hAnsi="Calibri"/>
          <w:color w:val="333333"/>
        </w:rPr>
        <w:t>).</w:t>
      </w:r>
    </w:p>
    <w:p w14:paraId="627DA4EE" w14:textId="77777777" w:rsidR="00AB1E67" w:rsidRDefault="00000000">
      <w:pPr>
        <w:pStyle w:val="ListBullet"/>
        <w:spacing w:before="40" w:after="40"/>
      </w:pPr>
      <w:r>
        <w:rPr>
          <w:rFonts w:ascii="Calibri" w:hAnsi="Calibri"/>
          <w:b/>
          <w:color w:val="333333"/>
        </w:rPr>
        <w:t>2×2 SWOT Grid Cards</w:t>
      </w:r>
      <w:r>
        <w:rPr>
          <w:rFonts w:ascii="Calibri" w:hAnsi="Calibri"/>
          <w:color w:val="333333"/>
        </w:rPr>
        <w:t>:</w:t>
      </w:r>
    </w:p>
    <w:p w14:paraId="092D26C4" w14:textId="77777777" w:rsidR="00AB1E67" w:rsidRDefault="00000000">
      <w:pPr>
        <w:pStyle w:val="ListBullet"/>
        <w:spacing w:before="40" w:after="40"/>
      </w:pPr>
      <w:r>
        <w:rPr>
          <w:rFonts w:ascii="Calibri" w:hAnsi="Calibri"/>
          <w:color w:val="333333"/>
        </w:rPr>
        <w:t xml:space="preserve">🟢 </w:t>
      </w:r>
      <w:r>
        <w:rPr>
          <w:rFonts w:ascii="Calibri" w:hAnsi="Calibri"/>
          <w:b/>
          <w:color w:val="333333"/>
        </w:rPr>
        <w:t>STRENGTHS (Internal / Positive)</w:t>
      </w:r>
      <w:r>
        <w:rPr>
          <w:rFonts w:ascii="Calibri" w:hAnsi="Calibri"/>
          <w:color w:val="333333"/>
        </w:rPr>
        <w:t xml:space="preserve">: High-percentile ratios (percentile P100) such as </w:t>
      </w:r>
      <w:r>
        <w:rPr>
          <w:rFonts w:ascii="Calibri" w:hAnsi="Calibri"/>
          <w:b/>
          <w:color w:val="333333"/>
        </w:rPr>
        <w:t>Gross Margin</w:t>
      </w:r>
      <w:r>
        <w:rPr>
          <w:rFonts w:ascii="Calibri" w:hAnsi="Calibri"/>
          <w:color w:val="333333"/>
        </w:rPr>
        <w:t xml:space="preserve"> (188.40%), </w:t>
      </w:r>
      <w:r>
        <w:rPr>
          <w:rFonts w:ascii="Calibri" w:hAnsi="Calibri"/>
          <w:b/>
          <w:color w:val="333333"/>
        </w:rPr>
        <w:t>Operating Margin</w:t>
      </w:r>
      <w:r>
        <w:rPr>
          <w:rFonts w:ascii="Calibri" w:hAnsi="Calibri"/>
          <w:color w:val="333333"/>
        </w:rPr>
        <w:t xml:space="preserve"> (203.20%), </w:t>
      </w:r>
      <w:r>
        <w:rPr>
          <w:rFonts w:ascii="Calibri" w:hAnsi="Calibri"/>
          <w:b/>
          <w:color w:val="333333"/>
        </w:rPr>
        <w:t>Net Margin</w:t>
      </w:r>
      <w:r>
        <w:rPr>
          <w:rFonts w:ascii="Calibri" w:hAnsi="Calibri"/>
          <w:color w:val="333333"/>
        </w:rPr>
        <w:t xml:space="preserve"> (203.20%), and </w:t>
      </w:r>
      <w:r>
        <w:rPr>
          <w:rFonts w:ascii="Calibri" w:hAnsi="Calibri"/>
          <w:b/>
          <w:color w:val="333333"/>
        </w:rPr>
        <w:t>Return on Equity</w:t>
      </w:r>
      <w:r>
        <w:rPr>
          <w:rFonts w:ascii="Calibri" w:hAnsi="Calibri"/>
          <w:color w:val="333333"/>
        </w:rPr>
        <w:t xml:space="preserve"> (2643.23%) with positive, plain-English business descriptions.</w:t>
      </w:r>
    </w:p>
    <w:p w14:paraId="2434DAB0" w14:textId="77777777" w:rsidR="00AB1E67" w:rsidRDefault="00000000">
      <w:pPr>
        <w:pStyle w:val="ListBullet"/>
        <w:spacing w:before="40" w:after="40"/>
      </w:pPr>
      <w:r>
        <w:rPr>
          <w:rFonts w:ascii="Calibri" w:hAnsi="Calibri"/>
          <w:color w:val="333333"/>
        </w:rPr>
        <w:t xml:space="preserve">🟠 </w:t>
      </w:r>
      <w:r>
        <w:rPr>
          <w:rFonts w:ascii="Calibri" w:hAnsi="Calibri"/>
          <w:b/>
          <w:color w:val="333333"/>
        </w:rPr>
        <w:t>WEAKNESSES (Internal / Negative)</w:t>
      </w:r>
      <w:r>
        <w:rPr>
          <w:rFonts w:ascii="Calibri" w:hAnsi="Calibri"/>
          <w:color w:val="333333"/>
        </w:rPr>
        <w:t xml:space="preserve">: Low-percentile performance metrics (percentile P0) such as </w:t>
      </w:r>
      <w:r>
        <w:rPr>
          <w:rFonts w:ascii="Calibri" w:hAnsi="Calibri"/>
          <w:b/>
          <w:color w:val="333333"/>
        </w:rPr>
        <w:t>Return on Assets</w:t>
      </w:r>
      <w:r>
        <w:rPr>
          <w:rFonts w:ascii="Calibri" w:hAnsi="Calibri"/>
          <w:color w:val="333333"/>
        </w:rPr>
        <w:t xml:space="preserve"> (-42.89%), </w:t>
      </w:r>
      <w:r>
        <w:rPr>
          <w:rFonts w:ascii="Calibri" w:hAnsi="Calibri"/>
          <w:b/>
          <w:color w:val="333333"/>
        </w:rPr>
        <w:t>Return on Capital Employed</w:t>
      </w:r>
      <w:r>
        <w:rPr>
          <w:rFonts w:ascii="Calibri" w:hAnsi="Calibri"/>
          <w:color w:val="333333"/>
        </w:rPr>
        <w:t xml:space="preserve"> (-30.88%), </w:t>
      </w:r>
      <w:r>
        <w:rPr>
          <w:rFonts w:ascii="Calibri" w:hAnsi="Calibri"/>
          <w:b/>
          <w:color w:val="333333"/>
        </w:rPr>
        <w:t>Asset Turnover</w:t>
      </w:r>
      <w:r>
        <w:rPr>
          <w:rFonts w:ascii="Calibri" w:hAnsi="Calibri"/>
          <w:color w:val="333333"/>
        </w:rPr>
        <w:t xml:space="preserve"> (-0.21), and </w:t>
      </w:r>
      <w:r>
        <w:rPr>
          <w:rFonts w:ascii="Calibri" w:hAnsi="Calibri"/>
          <w:b/>
          <w:color w:val="333333"/>
        </w:rPr>
        <w:t>Receivables Turnover</w:t>
      </w:r>
      <w:r>
        <w:rPr>
          <w:rFonts w:ascii="Calibri" w:hAnsi="Calibri"/>
          <w:color w:val="333333"/>
        </w:rPr>
        <w:t xml:space="preserve"> (-2.48).</w:t>
      </w:r>
    </w:p>
    <w:p w14:paraId="1AB64F3B" w14:textId="77777777" w:rsidR="00AB1E67" w:rsidRDefault="00000000">
      <w:pPr>
        <w:pStyle w:val="ListBullet"/>
        <w:spacing w:before="40" w:after="40"/>
      </w:pPr>
      <w:r>
        <w:rPr>
          <w:rFonts w:ascii="Calibri" w:hAnsi="Calibri"/>
          <w:color w:val="333333"/>
        </w:rPr>
        <w:t xml:space="preserve">🔵 </w:t>
      </w:r>
      <w:r>
        <w:rPr>
          <w:rFonts w:ascii="Calibri" w:hAnsi="Calibri"/>
          <w:b/>
          <w:color w:val="333333"/>
        </w:rPr>
        <w:t>OPPORTUNITIES (External / Strategic)</w:t>
      </w:r>
      <w:r>
        <w:rPr>
          <w:rFonts w:ascii="Calibri" w:hAnsi="Calibri"/>
          <w:color w:val="333333"/>
        </w:rPr>
        <w:t xml:space="preserve">: Key efficiency indicators demonstrating room for market scaling, e.g. </w:t>
      </w:r>
      <w:r>
        <w:rPr>
          <w:rFonts w:ascii="Calibri" w:hAnsi="Calibri"/>
          <w:b/>
          <w:color w:val="333333"/>
        </w:rPr>
        <w:t>Debt Ratio</w:t>
      </w:r>
      <w:r>
        <w:rPr>
          <w:rFonts w:ascii="Calibri" w:hAnsi="Calibri"/>
          <w:color w:val="333333"/>
        </w:rPr>
        <w:t xml:space="preserve"> (-0.90 vs peer median 0.67, P100) — conservative leverage provides untapped borrowing capacity.</w:t>
      </w:r>
    </w:p>
    <w:p w14:paraId="5F0A543D" w14:textId="77777777" w:rsidR="00AB1E67" w:rsidRDefault="00000000">
      <w:pPr>
        <w:pStyle w:val="ListBullet"/>
        <w:spacing w:before="40" w:after="40"/>
      </w:pPr>
      <w:r>
        <w:rPr>
          <w:rFonts w:ascii="Calibri" w:hAnsi="Calibri"/>
          <w:color w:val="333333"/>
        </w:rPr>
        <w:t xml:space="preserve">🔴 </w:t>
      </w:r>
      <w:r>
        <w:rPr>
          <w:rFonts w:ascii="Calibri" w:hAnsi="Calibri"/>
          <w:b/>
          <w:color w:val="333333"/>
        </w:rPr>
        <w:t>THREATS (External / Risk)</w:t>
      </w:r>
      <w:r>
        <w:rPr>
          <w:rFonts w:ascii="Calibri" w:hAnsi="Calibri"/>
          <w:color w:val="333333"/>
        </w:rPr>
        <w:t xml:space="preserve">: Severe outliers or leverage indicators signaling financial risk, e.g. </w:t>
      </w:r>
      <w:r>
        <w:rPr>
          <w:rFonts w:ascii="Calibri" w:hAnsi="Calibri"/>
          <w:b/>
          <w:color w:val="333333"/>
        </w:rPr>
        <w:t>Current Ratio</w:t>
      </w:r>
      <w:r>
        <w:rPr>
          <w:rFonts w:ascii="Calibri" w:hAnsi="Calibri"/>
          <w:color w:val="333333"/>
        </w:rPr>
        <w:t xml:space="preserve"> (-2.57, P0) and </w:t>
      </w:r>
      <w:r>
        <w:rPr>
          <w:rFonts w:ascii="Calibri" w:hAnsi="Calibri"/>
          <w:b/>
          <w:color w:val="333333"/>
        </w:rPr>
        <w:t>Quick Ratio</w:t>
      </w:r>
      <w:r>
        <w:rPr>
          <w:rFonts w:ascii="Calibri" w:hAnsi="Calibri"/>
          <w:color w:val="333333"/>
        </w:rPr>
        <w:t xml:space="preserve"> (-2.57, P0) indicating working capital gaps and liquidity distress.</w:t>
      </w:r>
    </w:p>
    <w:p w14:paraId="2A4E7EC7" w14:textId="77777777" w:rsidR="00AB1E67" w:rsidRDefault="00000000">
      <w:pPr>
        <w:pStyle w:val="ListBullet"/>
        <w:spacing w:before="40" w:after="40"/>
      </w:pPr>
      <w:r>
        <w:rPr>
          <w:rFonts w:ascii="Calibri" w:hAnsi="Calibri"/>
          <w:b/>
          <w:color w:val="333333"/>
        </w:rPr>
        <w:t>SWOT Export Button</w:t>
      </w:r>
      <w:r>
        <w:rPr>
          <w:rFonts w:ascii="Calibri" w:hAnsi="Calibri"/>
          <w:color w:val="333333"/>
        </w:rPr>
        <w:t>: Primary download button to export the SWOT report as a CSV.</w:t>
      </w:r>
    </w:p>
    <w:p w14:paraId="2062713C" w14:textId="77777777" w:rsidR="00AB1E67" w:rsidRDefault="00000000">
      <w:pPr>
        <w:pStyle w:val="Heading3"/>
        <w:spacing w:after="40"/>
      </w:pPr>
      <w:r>
        <w:rPr>
          <w:rFonts w:ascii="Segoe UI" w:hAnsi="Segoe UI"/>
          <w:color w:val="333333"/>
          <w:sz w:val="24"/>
        </w:rPr>
        <w:lastRenderedPageBreak/>
        <w:t>Export Tab</w:t>
      </w:r>
    </w:p>
    <w:p w14:paraId="7B9ED592" w14:textId="77777777" w:rsidR="00AB1E67" w:rsidRDefault="00000000">
      <w:pPr>
        <w:spacing w:before="80" w:after="120"/>
      </w:pPr>
      <w:r>
        <w:rPr>
          <w:rFonts w:ascii="Calibri" w:hAnsi="Calibri"/>
          <w:color w:val="333333"/>
        </w:rPr>
        <w:t>Handles reporting pipelines, allowing you to export the entire multi-tab analysis into an Excel workbook.</w:t>
      </w:r>
    </w:p>
    <w:p w14:paraId="17744CE2" w14:textId="77777777" w:rsidR="00AB1E67" w:rsidRDefault="00000000">
      <w:pPr>
        <w:pStyle w:val="Heading4"/>
        <w:spacing w:before="160" w:after="40"/>
      </w:pPr>
      <w:r>
        <w:rPr>
          <w:rFonts w:ascii="Segoe UI" w:hAnsi="Segoe UI"/>
          <w:color w:val="333333"/>
        </w:rPr>
        <w:t>📸 Interface Capture:</w:t>
      </w:r>
    </w:p>
    <w:p w14:paraId="63B643E7" w14:textId="77777777" w:rsidR="00AB1E67" w:rsidRDefault="00000000">
      <w:pPr>
        <w:spacing w:before="240" w:after="80"/>
        <w:jc w:val="center"/>
      </w:pPr>
      <w:r>
        <w:rPr>
          <w:noProof/>
        </w:rPr>
        <w:drawing>
          <wp:inline distT="0" distB="0" distL="0" distR="0" wp14:anchorId="0010A46B" wp14:editId="19804004">
            <wp:extent cx="5486400" cy="284321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export_tab.png"/>
                    <pic:cNvPicPr/>
                  </pic:nvPicPr>
                  <pic:blipFill>
                    <a:blip r:embed="rId23"/>
                    <a:stretch>
                      <a:fillRect/>
                    </a:stretch>
                  </pic:blipFill>
                  <pic:spPr>
                    <a:xfrm>
                      <a:off x="0" y="0"/>
                      <a:ext cx="5486400" cy="2843212"/>
                    </a:xfrm>
                    <a:prstGeom prst="rect">
                      <a:avLst/>
                    </a:prstGeom>
                  </pic:spPr>
                </pic:pic>
              </a:graphicData>
            </a:graphic>
          </wp:inline>
        </w:drawing>
      </w:r>
    </w:p>
    <w:p w14:paraId="6257F1E6" w14:textId="77777777" w:rsidR="00AB1E67" w:rsidRDefault="00000000">
      <w:pPr>
        <w:spacing w:after="240"/>
        <w:jc w:val="center"/>
      </w:pPr>
      <w:r>
        <w:rPr>
          <w:rFonts w:ascii="Calibri" w:hAnsi="Calibri"/>
          <w:i/>
          <w:color w:val="666666"/>
          <w:sz w:val="19"/>
        </w:rPr>
        <w:t>Figure: Export Tab</w:t>
      </w:r>
    </w:p>
    <w:p w14:paraId="62E7DD7E" w14:textId="77777777" w:rsidR="00AB1E67" w:rsidRDefault="00000000">
      <w:pPr>
        <w:pStyle w:val="Heading4"/>
        <w:spacing w:before="160" w:after="40"/>
      </w:pPr>
      <w:r>
        <w:rPr>
          <w:rFonts w:ascii="Segoe UI" w:hAnsi="Segoe UI"/>
          <w:color w:val="333333"/>
        </w:rPr>
        <w:t>📝 Visual Elements &amp; Controls to Note:</w:t>
      </w:r>
    </w:p>
    <w:p w14:paraId="74291BEA" w14:textId="77777777" w:rsidR="00AB1E67" w:rsidRDefault="00000000">
      <w:pPr>
        <w:pStyle w:val="ListBullet"/>
        <w:spacing w:before="40" w:after="40"/>
      </w:pPr>
      <w:r>
        <w:rPr>
          <w:rFonts w:ascii="Calibri" w:hAnsi="Calibri"/>
          <w:b/>
          <w:color w:val="333333"/>
        </w:rPr>
        <w:t>Generate Excel Report Button</w:t>
      </w:r>
      <w:r>
        <w:rPr>
          <w:rFonts w:ascii="Calibri" w:hAnsi="Calibri"/>
          <w:color w:val="333333"/>
        </w:rPr>
        <w:t xml:space="preserve">: Clicking this triggers the </w:t>
      </w:r>
      <w:r>
        <w:rPr>
          <w:rFonts w:ascii="Consolas" w:hAnsi="Consolas"/>
          <w:color w:val="B42850"/>
          <w:sz w:val="19"/>
        </w:rPr>
        <w:t>ReportGenerator</w:t>
      </w:r>
      <w:r>
        <w:rPr>
          <w:rFonts w:ascii="Calibri" w:hAnsi="Calibri"/>
          <w:color w:val="333333"/>
        </w:rPr>
        <w:t xml:space="preserve"> background engine.</w:t>
      </w:r>
    </w:p>
    <w:p w14:paraId="6820C47C" w14:textId="77777777" w:rsidR="00AB1E67" w:rsidRDefault="00000000">
      <w:pPr>
        <w:pStyle w:val="ListBullet"/>
        <w:spacing w:before="40" w:after="40"/>
      </w:pPr>
      <w:r>
        <w:rPr>
          <w:rFonts w:ascii="Calibri" w:hAnsi="Calibri"/>
          <w:b/>
          <w:color w:val="333333"/>
        </w:rPr>
        <w:t>Download Excel Button</w:t>
      </w:r>
      <w:r>
        <w:rPr>
          <w:rFonts w:ascii="Calibri" w:hAnsi="Calibri"/>
          <w:color w:val="333333"/>
        </w:rPr>
        <w:t>: Large download action button that appears once the multi-sheet Excel file (containing Ratios, Outliers, Scores, SWOT, and peer statistics) has been built.</w:t>
      </w:r>
    </w:p>
    <w:p w14:paraId="4C1EB937" w14:textId="77777777" w:rsidR="00AB1E67" w:rsidRDefault="00000000">
      <w:pPr>
        <w:pStyle w:val="Heading2"/>
        <w:spacing w:before="280" w:after="80"/>
      </w:pPr>
      <w:r>
        <w:rPr>
          <w:rFonts w:ascii="Segoe UI" w:hAnsi="Segoe UI"/>
          <w:color w:val="005F5F"/>
          <w:sz w:val="30"/>
        </w:rPr>
        <w:t>📸 5. Visual Asset Directory</w:t>
      </w:r>
    </w:p>
    <w:p w14:paraId="51B44999" w14:textId="77777777" w:rsidR="00AB1E67" w:rsidRDefault="00000000">
      <w:pPr>
        <w:spacing w:before="80" w:after="120"/>
      </w:pPr>
      <w:r>
        <w:rPr>
          <w:rFonts w:ascii="Calibri" w:hAnsi="Calibri"/>
          <w:color w:val="333333"/>
        </w:rPr>
        <w:t xml:space="preserve">All visual assets included in this manual are stored inside your local </w:t>
      </w:r>
      <w:r>
        <w:rPr>
          <w:rFonts w:ascii="Calibri" w:hAnsi="Calibri"/>
          <w:b/>
          <w:color w:val="333333"/>
        </w:rPr>
        <w:t>`docs/images/`</w:t>
      </w:r>
      <w:r>
        <w:rPr>
          <w:rFonts w:ascii="Calibri" w:hAnsi="Calibri"/>
          <w:color w:val="333333"/>
        </w:rPr>
        <w:t xml:space="preserve"> directory.</w:t>
      </w:r>
    </w:p>
    <w:p w14:paraId="0C784B86" w14:textId="77777777" w:rsidR="00AB1E67" w:rsidRDefault="00000000">
      <w:pPr>
        <w:pStyle w:val="Heading3"/>
        <w:spacing w:after="40"/>
      </w:pPr>
      <w:r>
        <w:rPr>
          <w:rFonts w:ascii="Segoe UI" w:hAnsi="Segoe UI"/>
          <w:color w:val="333333"/>
          <w:sz w:val="24"/>
        </w:rPr>
        <w:t>📋 Visual Asset Verification Checklist:</w:t>
      </w:r>
    </w:p>
    <w:p w14:paraId="7DF61E74" w14:textId="77777777" w:rsidR="00AB1E67" w:rsidRDefault="00000000">
      <w:pPr>
        <w:pStyle w:val="ListBullet"/>
        <w:spacing w:before="40" w:after="40"/>
      </w:pPr>
      <w:r>
        <w:rPr>
          <w:rFonts w:ascii="Calibri" w:hAnsi="Calibri"/>
          <w:color w:val="333333"/>
        </w:rPr>
        <w:t xml:space="preserve">✅ </w:t>
      </w:r>
      <w:r>
        <w:rPr>
          <w:rFonts w:ascii="Consolas" w:hAnsi="Consolas"/>
          <w:color w:val="B42850"/>
          <w:sz w:val="19"/>
        </w:rPr>
        <w:t>docs/images/01_sidebar_and_home.png</w:t>
      </w:r>
      <w:r>
        <w:rPr>
          <w:rFonts w:ascii="Calibri" w:hAnsi="Calibri"/>
          <w:color w:val="333333"/>
        </w:rPr>
        <w:t xml:space="preserve"> — Sidebar &amp; Home configuration interface.</w:t>
      </w:r>
    </w:p>
    <w:p w14:paraId="65FB52FB" w14:textId="77777777" w:rsidR="00AB1E67" w:rsidRDefault="00000000">
      <w:pPr>
        <w:pStyle w:val="ListBullet"/>
        <w:spacing w:before="40" w:after="40"/>
      </w:pPr>
      <w:r>
        <w:rPr>
          <w:rFonts w:ascii="Calibri" w:hAnsi="Calibri"/>
          <w:color w:val="333333"/>
        </w:rPr>
        <w:t xml:space="preserve">✅ </w:t>
      </w:r>
      <w:r>
        <w:rPr>
          <w:rFonts w:ascii="Consolas" w:hAnsi="Consolas"/>
          <w:color w:val="B42850"/>
          <w:sz w:val="19"/>
        </w:rPr>
        <w:t>docs/images/02_tally_upload.png</w:t>
      </w:r>
      <w:r>
        <w:rPr>
          <w:rFonts w:ascii="Calibri" w:hAnsi="Calibri"/>
          <w:color w:val="333333"/>
        </w:rPr>
        <w:t xml:space="preserve"> — Calibration &amp; TallySync Upload file inputs interface.</w:t>
      </w:r>
    </w:p>
    <w:p w14:paraId="75AB5759" w14:textId="77777777" w:rsidR="00AB1E67" w:rsidRDefault="00000000">
      <w:pPr>
        <w:pStyle w:val="ListBullet"/>
        <w:spacing w:before="40" w:after="40"/>
      </w:pPr>
      <w:r>
        <w:rPr>
          <w:rFonts w:ascii="Calibri" w:hAnsi="Calibri"/>
          <w:color w:val="333333"/>
        </w:rPr>
        <w:t xml:space="preserve">✅ </w:t>
      </w:r>
      <w:r>
        <w:rPr>
          <w:rFonts w:ascii="Consolas" w:hAnsi="Consolas"/>
          <w:color w:val="B42850"/>
          <w:sz w:val="19"/>
        </w:rPr>
        <w:t>docs/images/03_ratio_scorecard.png</w:t>
      </w:r>
      <w:r>
        <w:rPr>
          <w:rFonts w:ascii="Calibri" w:hAnsi="Calibri"/>
          <w:color w:val="333333"/>
        </w:rPr>
        <w:t xml:space="preserve"> — Standard Peer Ratio Scorecard interface.</w:t>
      </w:r>
    </w:p>
    <w:p w14:paraId="4942EE50" w14:textId="77777777" w:rsidR="00AB1E67" w:rsidRDefault="00000000">
      <w:pPr>
        <w:pStyle w:val="ListBullet"/>
        <w:spacing w:before="40" w:after="40"/>
      </w:pPr>
      <w:r>
        <w:rPr>
          <w:rFonts w:ascii="Calibri" w:hAnsi="Calibri"/>
          <w:color w:val="333333"/>
        </w:rPr>
        <w:t xml:space="preserve">✅ </w:t>
      </w:r>
      <w:r>
        <w:rPr>
          <w:rFonts w:ascii="Consolas" w:hAnsi="Consolas"/>
          <w:color w:val="B42850"/>
          <w:sz w:val="19"/>
        </w:rPr>
        <w:t>docs/images/04_outliers.png</w:t>
      </w:r>
      <w:r>
        <w:rPr>
          <w:rFonts w:ascii="Calibri" w:hAnsi="Calibri"/>
          <w:color w:val="333333"/>
        </w:rPr>
        <w:t xml:space="preserve"> — Outlier scatter &amp; univariate dataframe interface.</w:t>
      </w:r>
    </w:p>
    <w:p w14:paraId="27BD4C01" w14:textId="77777777" w:rsidR="00AB1E67" w:rsidRDefault="00000000">
      <w:pPr>
        <w:pStyle w:val="ListBullet"/>
        <w:spacing w:before="40" w:after="40"/>
      </w:pPr>
      <w:r>
        <w:rPr>
          <w:rFonts w:ascii="Calibri" w:hAnsi="Calibri"/>
          <w:color w:val="333333"/>
        </w:rPr>
        <w:t xml:space="preserve">✅ </w:t>
      </w:r>
      <w:r>
        <w:rPr>
          <w:rFonts w:ascii="Consolas" w:hAnsi="Consolas"/>
          <w:color w:val="B42850"/>
          <w:sz w:val="19"/>
        </w:rPr>
        <w:t>docs/images/05_peer_benchmark.png</w:t>
      </w:r>
      <w:r>
        <w:rPr>
          <w:rFonts w:ascii="Calibri" w:hAnsi="Calibri"/>
          <w:color w:val="333333"/>
        </w:rPr>
        <w:t xml:space="preserve"> — Peer stats heatmap and descriptive statistics table interface.</w:t>
      </w:r>
    </w:p>
    <w:p w14:paraId="24198D25" w14:textId="77777777" w:rsidR="00AB1E67" w:rsidRDefault="00000000">
      <w:pPr>
        <w:pStyle w:val="ListBullet"/>
        <w:spacing w:before="40" w:after="40"/>
      </w:pPr>
      <w:r>
        <w:rPr>
          <w:rFonts w:ascii="Calibri" w:hAnsi="Calibri"/>
          <w:color w:val="333333"/>
        </w:rPr>
        <w:t xml:space="preserve">✅ </w:t>
      </w:r>
      <w:r>
        <w:rPr>
          <w:rFonts w:ascii="Consolas" w:hAnsi="Consolas"/>
          <w:color w:val="B42850"/>
          <w:sz w:val="19"/>
        </w:rPr>
        <w:t>docs/images/06_composite_score.png</w:t>
      </w:r>
      <w:r>
        <w:rPr>
          <w:rFonts w:ascii="Calibri" w:hAnsi="Calibri"/>
          <w:color w:val="333333"/>
        </w:rPr>
        <w:t xml:space="preserve"> — Health Score bar chart and sector ranking table interface.</w:t>
      </w:r>
    </w:p>
    <w:p w14:paraId="03488290" w14:textId="77777777" w:rsidR="00AB1E67" w:rsidRDefault="00000000">
      <w:pPr>
        <w:pStyle w:val="ListBullet"/>
        <w:spacing w:before="40" w:after="40"/>
      </w:pPr>
      <w:r>
        <w:rPr>
          <w:rFonts w:ascii="Calibri" w:hAnsi="Calibri"/>
          <w:color w:val="333333"/>
        </w:rPr>
        <w:t xml:space="preserve">✅ </w:t>
      </w:r>
      <w:r>
        <w:rPr>
          <w:rFonts w:ascii="Consolas" w:hAnsi="Consolas"/>
          <w:color w:val="B42850"/>
          <w:sz w:val="19"/>
        </w:rPr>
        <w:t>docs/images/07_client_trial_balance.png</w:t>
      </w:r>
      <w:r>
        <w:rPr>
          <w:rFonts w:ascii="Calibri" w:hAnsi="Calibri"/>
          <w:color w:val="333333"/>
        </w:rPr>
        <w:t xml:space="preserve"> — Mapped TallySync Trial Balance interface.</w:t>
      </w:r>
    </w:p>
    <w:p w14:paraId="0FC571AF" w14:textId="77777777" w:rsidR="00AB1E67" w:rsidRDefault="00000000">
      <w:pPr>
        <w:pStyle w:val="ListBullet"/>
        <w:spacing w:before="40" w:after="40"/>
      </w:pPr>
      <w:r>
        <w:rPr>
          <w:rFonts w:ascii="Calibri" w:hAnsi="Calibri"/>
          <w:color w:val="333333"/>
        </w:rPr>
        <w:t xml:space="preserve">✅ </w:t>
      </w:r>
      <w:r>
        <w:rPr>
          <w:rFonts w:ascii="Consolas" w:hAnsi="Consolas"/>
          <w:color w:val="B42850"/>
          <w:sz w:val="19"/>
        </w:rPr>
        <w:t>docs/images/08_client_scorecard.png</w:t>
      </w:r>
      <w:r>
        <w:rPr>
          <w:rFonts w:ascii="Calibri" w:hAnsi="Calibri"/>
          <w:color w:val="333333"/>
        </w:rPr>
        <w:t xml:space="preserve"> — Client Comparison Ratio Scorecard interface.</w:t>
      </w:r>
    </w:p>
    <w:p w14:paraId="24A6EFDD" w14:textId="77777777" w:rsidR="00AB1E67" w:rsidRDefault="00000000">
      <w:pPr>
        <w:pStyle w:val="ListBullet"/>
        <w:spacing w:before="40" w:after="40"/>
      </w:pPr>
      <w:r>
        <w:rPr>
          <w:rFonts w:ascii="Calibri" w:hAnsi="Calibri"/>
          <w:color w:val="333333"/>
        </w:rPr>
        <w:lastRenderedPageBreak/>
        <w:t xml:space="preserve">✅ </w:t>
      </w:r>
      <w:r>
        <w:rPr>
          <w:rFonts w:ascii="Consolas" w:hAnsi="Consolas"/>
          <w:color w:val="B42850"/>
          <w:sz w:val="19"/>
        </w:rPr>
        <w:t>docs/images/09_client_composite.png</w:t>
      </w:r>
      <w:r>
        <w:rPr>
          <w:rFonts w:ascii="Calibri" w:hAnsi="Calibri"/>
          <w:color w:val="333333"/>
        </w:rPr>
        <w:t xml:space="preserve"> — Client Composite Health Ranking interface.</w:t>
      </w:r>
    </w:p>
    <w:p w14:paraId="334CBEFD" w14:textId="77777777" w:rsidR="00AB1E67" w:rsidRDefault="00000000">
      <w:pPr>
        <w:pStyle w:val="ListBullet"/>
        <w:spacing w:before="40" w:after="40"/>
      </w:pPr>
      <w:r>
        <w:rPr>
          <w:rFonts w:ascii="Calibri" w:hAnsi="Calibri"/>
          <w:color w:val="333333"/>
        </w:rPr>
        <w:t xml:space="preserve">✅ </w:t>
      </w:r>
      <w:r>
        <w:rPr>
          <w:rFonts w:ascii="Consolas" w:hAnsi="Consolas"/>
          <w:color w:val="B42850"/>
          <w:sz w:val="19"/>
        </w:rPr>
        <w:t>docs/images/10_client_peer_scatter.png</w:t>
      </w:r>
      <w:r>
        <w:rPr>
          <w:rFonts w:ascii="Calibri" w:hAnsi="Calibri"/>
          <w:color w:val="333333"/>
        </w:rPr>
        <w:t xml:space="preserve"> — Client Peer competitive percentile mapping interface.</w:t>
      </w:r>
    </w:p>
    <w:p w14:paraId="2247B140" w14:textId="77777777" w:rsidR="00AB1E67" w:rsidRDefault="00000000">
      <w:pPr>
        <w:pStyle w:val="ListBullet"/>
        <w:spacing w:before="40" w:after="40"/>
      </w:pPr>
      <w:r>
        <w:rPr>
          <w:rFonts w:ascii="Calibri" w:hAnsi="Calibri"/>
          <w:color w:val="333333"/>
        </w:rPr>
        <w:t xml:space="preserve">✅ </w:t>
      </w:r>
      <w:r>
        <w:rPr>
          <w:rFonts w:ascii="Consolas" w:hAnsi="Consolas"/>
          <w:color w:val="B42850"/>
          <w:sz w:val="19"/>
        </w:rPr>
        <w:t>docs/images/11_client_swot.png</w:t>
      </w:r>
      <w:r>
        <w:rPr>
          <w:rFonts w:ascii="Calibri" w:hAnsi="Calibri"/>
          <w:color w:val="333333"/>
        </w:rPr>
        <w:t xml:space="preserve"> — Client SWOT matrix grid interface.</w:t>
      </w:r>
    </w:p>
    <w:p w14:paraId="3367A6B6" w14:textId="77777777" w:rsidR="00AB1E67" w:rsidRDefault="00000000">
      <w:pPr>
        <w:pStyle w:val="ListBullet"/>
        <w:spacing w:before="40" w:after="40"/>
      </w:pPr>
      <w:r>
        <w:rPr>
          <w:rFonts w:ascii="Calibri" w:hAnsi="Calibri"/>
          <w:color w:val="333333"/>
        </w:rPr>
        <w:t xml:space="preserve">✅ </w:t>
      </w:r>
      <w:r>
        <w:rPr>
          <w:rFonts w:ascii="Consolas" w:hAnsi="Consolas"/>
          <w:color w:val="B42850"/>
          <w:sz w:val="19"/>
        </w:rPr>
        <w:t>docs/images/12_export_tab.png</w:t>
      </w:r>
      <w:r>
        <w:rPr>
          <w:rFonts w:ascii="Calibri" w:hAnsi="Calibri"/>
          <w:color w:val="333333"/>
        </w:rPr>
        <w:t xml:space="preserve"> — Report generation and Excel downloader interface.</w:t>
      </w:r>
    </w:p>
    <w:p w14:paraId="2A737261" w14:textId="77777777" w:rsidR="00AB1E67" w:rsidRDefault="00000000">
      <w:pPr>
        <w:pStyle w:val="ListBullet"/>
        <w:spacing w:before="40" w:after="40"/>
      </w:pPr>
      <w:r>
        <w:rPr>
          <w:rFonts w:ascii="Calibri" w:hAnsi="Calibri"/>
          <w:color w:val="333333"/>
        </w:rPr>
        <w:t xml:space="preserve">✅ </w:t>
      </w:r>
      <w:r>
        <w:rPr>
          <w:rFonts w:ascii="Consolas" w:hAnsi="Consolas"/>
          <w:color w:val="B42850"/>
          <w:sz w:val="19"/>
        </w:rPr>
        <w:t>docs/images/chart_scorecard_kr.png</w:t>
      </w:r>
      <w:r>
        <w:rPr>
          <w:rFonts w:ascii="Calibri" w:hAnsi="Calibri"/>
          <w:color w:val="333333"/>
        </w:rPr>
        <w:t xml:space="preserve"> — Standalone Plotly High-Resolution Scorecard (Kroger "KR" peer).</w:t>
      </w:r>
    </w:p>
    <w:p w14:paraId="29F7BA0C" w14:textId="77777777" w:rsidR="00AB1E67" w:rsidRDefault="00000000">
      <w:pPr>
        <w:pStyle w:val="ListBullet"/>
        <w:spacing w:before="40" w:after="40"/>
      </w:pPr>
      <w:r>
        <w:rPr>
          <w:rFonts w:ascii="Calibri" w:hAnsi="Calibri"/>
          <w:color w:val="333333"/>
        </w:rPr>
        <w:t xml:space="preserve">✅ </w:t>
      </w:r>
      <w:r>
        <w:rPr>
          <w:rFonts w:ascii="Consolas" w:hAnsi="Consolas"/>
          <w:color w:val="B42850"/>
          <w:sz w:val="19"/>
        </w:rPr>
        <w:t>docs/images/chart_peer_group_statistics.png</w:t>
      </w:r>
      <w:r>
        <w:rPr>
          <w:rFonts w:ascii="Calibri" w:hAnsi="Calibri"/>
          <w:color w:val="333333"/>
        </w:rPr>
        <w:t xml:space="preserve"> — Standalone Plotly High-Resolution Peer Statistics Heatmap.</w:t>
      </w:r>
    </w:p>
    <w:p w14:paraId="1FA92ACA" w14:textId="77777777" w:rsidR="00AB1E67" w:rsidRDefault="00000000">
      <w:pPr>
        <w:pStyle w:val="ListBullet"/>
        <w:spacing w:before="40" w:after="40"/>
      </w:pPr>
      <w:r>
        <w:rPr>
          <w:rFonts w:ascii="Calibri" w:hAnsi="Calibri"/>
          <w:color w:val="333333"/>
        </w:rPr>
        <w:t xml:space="preserve">✅ </w:t>
      </w:r>
      <w:r>
        <w:rPr>
          <w:rFonts w:ascii="Consolas" w:hAnsi="Consolas"/>
          <w:color w:val="B42850"/>
          <w:sz w:val="19"/>
        </w:rPr>
        <w:t>docs/images/chart_health_score_sector_ranking.png</w:t>
      </w:r>
      <w:r>
        <w:rPr>
          <w:rFonts w:ascii="Calibri" w:hAnsi="Calibri"/>
          <w:color w:val="333333"/>
        </w:rPr>
        <w:t xml:space="preserve"> — Standalone Plotly High-Resolution Health Score Sector Ranking.</w:t>
      </w:r>
    </w:p>
    <w:p w14:paraId="37DB4559" w14:textId="77777777" w:rsidR="00AB1E67" w:rsidRDefault="00000000">
      <w:pPr>
        <w:pStyle w:val="ListBullet"/>
        <w:spacing w:before="40" w:after="40"/>
      </w:pPr>
      <w:r>
        <w:rPr>
          <w:rFonts w:ascii="Calibri" w:hAnsi="Calibri"/>
          <w:color w:val="333333"/>
        </w:rPr>
        <w:t xml:space="preserve">✅ </w:t>
      </w:r>
      <w:r>
        <w:rPr>
          <w:rFonts w:ascii="Consolas" w:hAnsi="Consolas"/>
          <w:color w:val="B42850"/>
          <w:sz w:val="19"/>
        </w:rPr>
        <w:t>docs/images/chart_ratio_scorecard_client.png</w:t>
      </w:r>
      <w:r>
        <w:rPr>
          <w:rFonts w:ascii="Calibri" w:hAnsi="Calibri"/>
          <w:color w:val="333333"/>
        </w:rPr>
        <w:t xml:space="preserve"> — Standalone Plotly High-Resolution Ratio Scorecard (FMCG Client).</w:t>
      </w:r>
    </w:p>
    <w:p w14:paraId="7200497C" w14:textId="77777777" w:rsidR="00AB1E67" w:rsidRDefault="00000000">
      <w:pPr>
        <w:pStyle w:val="ListBullet"/>
        <w:spacing w:before="40" w:after="40"/>
      </w:pPr>
      <w:r>
        <w:rPr>
          <w:rFonts w:ascii="Calibri" w:hAnsi="Calibri"/>
          <w:color w:val="333333"/>
        </w:rPr>
        <w:t xml:space="preserve">✅ </w:t>
      </w:r>
      <w:r>
        <w:rPr>
          <w:rFonts w:ascii="Consolas" w:hAnsi="Consolas"/>
          <w:color w:val="B42850"/>
          <w:sz w:val="19"/>
        </w:rPr>
        <w:t>docs/images/chart_health_score_with_client.png</w:t>
      </w:r>
      <w:r>
        <w:rPr>
          <w:rFonts w:ascii="Calibri" w:hAnsi="Calibri"/>
          <w:color w:val="333333"/>
        </w:rPr>
        <w:t xml:space="preserve"> — Standalone Plotly High-Resolution Health Score Ranking (with Client).</w:t>
      </w:r>
    </w:p>
    <w:p w14:paraId="1010184E" w14:textId="77777777" w:rsidR="00AB1E67" w:rsidRDefault="00000000">
      <w:pPr>
        <w:pStyle w:val="ListBullet"/>
        <w:spacing w:before="40" w:after="40"/>
      </w:pPr>
      <w:r>
        <w:rPr>
          <w:rFonts w:ascii="Calibri" w:hAnsi="Calibri"/>
          <w:color w:val="333333"/>
        </w:rPr>
        <w:t xml:space="preserve">✅ </w:t>
      </w:r>
      <w:r>
        <w:rPr>
          <w:rFonts w:ascii="Consolas" w:hAnsi="Consolas"/>
          <w:color w:val="B42850"/>
          <w:sz w:val="19"/>
        </w:rPr>
        <w:t>docs/images/chart_peer_competitive_mapping.png</w:t>
      </w:r>
      <w:r>
        <w:rPr>
          <w:rFonts w:ascii="Calibri" w:hAnsi="Calibri"/>
          <w:color w:val="333333"/>
        </w:rPr>
        <w:t xml:space="preserve"> — Standalone Plotly High-Resolution Peer competitive mapping scatter plot.</w:t>
      </w:r>
    </w:p>
    <w:tbl>
      <w:tblPr>
        <w:tblW w:w="0" w:type="auto"/>
        <w:jc w:val="center"/>
        <w:tblLayout w:type="fixed"/>
        <w:tblLook w:val="04A0" w:firstRow="1" w:lastRow="0" w:firstColumn="1" w:lastColumn="0" w:noHBand="0" w:noVBand="1"/>
      </w:tblPr>
      <w:tblGrid>
        <w:gridCol w:w="8640"/>
      </w:tblGrid>
      <w:tr w:rsidR="00AB1E67" w14:paraId="787687D6" w14:textId="77777777">
        <w:trPr>
          <w:jc w:val="center"/>
        </w:trPr>
        <w:tc>
          <w:tcPr>
            <w:tcW w:w="8640" w:type="dxa"/>
            <w:tcBorders>
              <w:left w:val="single" w:sz="36" w:space="0" w:color="005F5F"/>
            </w:tcBorders>
            <w:shd w:val="clear" w:color="auto" w:fill="E0F2F1"/>
          </w:tcPr>
          <w:p w14:paraId="54811E5C" w14:textId="77777777" w:rsidR="00AB1E67" w:rsidRDefault="00000000">
            <w:pPr>
              <w:spacing w:before="120" w:after="120"/>
              <w:ind w:left="216" w:right="216"/>
            </w:pPr>
            <w:r>
              <w:rPr>
                <w:rFonts w:ascii="Segoe UI" w:hAnsi="Segoe UI"/>
                <w:b/>
                <w:color w:val="005F5F"/>
              </w:rPr>
              <w:t xml:space="preserve"> TIP: </w:t>
            </w:r>
            <w:r>
              <w:rPr>
                <w:rFonts w:ascii="Calibri" w:hAnsi="Calibri"/>
                <w:color w:val="333333"/>
              </w:rPr>
              <w:t>Standard Markdown readers (such as VS Code, GitHub, Obsidian, or Typora) will automatically render these images in real-time when viewing this file.</w:t>
            </w:r>
          </w:p>
        </w:tc>
      </w:tr>
    </w:tbl>
    <w:p w14:paraId="76460377" w14:textId="77777777" w:rsidR="0081035F" w:rsidRDefault="0081035F"/>
    <w:sectPr w:rsidR="0081035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91222259">
    <w:abstractNumId w:val="8"/>
  </w:num>
  <w:num w:numId="2" w16cid:durableId="573710894">
    <w:abstractNumId w:val="6"/>
  </w:num>
  <w:num w:numId="3" w16cid:durableId="853498936">
    <w:abstractNumId w:val="5"/>
  </w:num>
  <w:num w:numId="4" w16cid:durableId="647128636">
    <w:abstractNumId w:val="4"/>
  </w:num>
  <w:num w:numId="5" w16cid:durableId="1469321516">
    <w:abstractNumId w:val="7"/>
  </w:num>
  <w:num w:numId="6" w16cid:durableId="559824655">
    <w:abstractNumId w:val="3"/>
  </w:num>
  <w:num w:numId="7" w16cid:durableId="409430244">
    <w:abstractNumId w:val="2"/>
  </w:num>
  <w:num w:numId="8" w16cid:durableId="1731924425">
    <w:abstractNumId w:val="1"/>
  </w:num>
  <w:num w:numId="9" w16cid:durableId="14616507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92110"/>
    <w:rsid w:val="0081035F"/>
    <w:rsid w:val="00AA1D8D"/>
    <w:rsid w:val="00AB1E67"/>
    <w:rsid w:val="00B128A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B27A85"/>
  <w14:defaultImageDpi w14:val="300"/>
  <w15:docId w15:val="{CE0C838A-3DCC-4E32-A9D9-2EB0005D6B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19</Pages>
  <Words>3216</Words>
  <Characters>18337</Characters>
  <Application>Microsoft Office Word</Application>
  <DocSecurity>0</DocSecurity>
  <Lines>152</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21510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Rohit Vedhanandh</cp:lastModifiedBy>
  <cp:revision>2</cp:revision>
  <dcterms:created xsi:type="dcterms:W3CDTF">2013-12-23T23:15:00Z</dcterms:created>
  <dcterms:modified xsi:type="dcterms:W3CDTF">2026-05-18T05:46:00Z</dcterms:modified>
  <cp:category/>
</cp:coreProperties>
</file>