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2"/>
        </w:rPr>
        <w:t>第八届中国研究生人工智能创新大赛</w:t>
        <w:br/>
      </w:r>
    </w:p>
    <w:p>
      <w:pPr>
        <w:jc w:val="center"/>
      </w:pPr>
      <w:r>
        <w:rPr>
          <w:rFonts w:ascii="Microsoft YaHei" w:hAnsi="Microsoft YaHei" w:eastAsia="Microsoft YaHei"/>
          <w:b/>
          <w:color w:val="0F172A"/>
          <w:sz w:val="52"/>
        </w:rPr>
        <w:t>问研智搜</w:t>
        <w:br/>
      </w:r>
      <w:r>
        <w:rPr>
          <w:rFonts w:ascii="Microsoft YaHei" w:hAnsi="Microsoft YaHei" w:eastAsia="Microsoft YaHei"/>
          <w:b/>
          <w:sz w:val="28"/>
        </w:rPr>
        <w:t>——基于大小模型协同与PaSa-inspired Agent的端到端学术论文智能搜索系统</w:t>
      </w:r>
    </w:p>
    <w:p>
      <w:pPr>
        <w:jc w:val="center"/>
      </w:pPr>
      <w:r>
        <w:rPr>
          <w:rFonts w:ascii="Microsoft YaHei" w:hAnsi="Microsoft YaHei" w:eastAsia="Microsoft YaHei"/>
          <w:sz w:val="24"/>
        </w:rPr>
        <w:t>项目文档 / Technical Proposal</w:t>
      </w:r>
    </w:p>
    <w:p>
      <w:pPr>
        <w:jc w:val="center"/>
      </w:pPr>
      <w:r>
        <w:rPr>
          <w:rFonts w:ascii="Microsoft YaHei" w:hAnsi="Microsoft YaHei" w:eastAsia="Microsoft YaHei"/>
          <w:sz w:val="24"/>
        </w:rPr>
        <w:t>江苏大学 汽车工程研究院  搜的都队</w:t>
      </w:r>
    </w:p>
    <w:p>
      <w:pPr>
        <w:jc w:val="center"/>
      </w:pPr>
      <w:r>
        <w:rPr>
          <w:rFonts w:ascii="Microsoft YaHei" w:hAnsi="Microsoft YaHei" w:eastAsia="Microsoft YaHei"/>
          <w:sz w:val="24"/>
        </w:rPr>
        <w:t>版本：V2.0（v12主线代码口径）</w:t>
      </w:r>
    </w:p>
    <w:p>
      <w:pPr>
        <w:jc w:val="center"/>
      </w:pPr>
      <w:r>
        <w:rPr>
          <w:rFonts w:ascii="Microsoft YaHei" w:hAnsi="Microsoft YaHei" w:eastAsia="Microsoft YaHei"/>
          <w:sz w:val="24"/>
        </w:rPr>
        <w:t>日期：2026年7月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摘要</w:t>
      </w:r>
    </w:p>
    <w:p>
      <w:pPr>
        <w:spacing w:line="30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本项目面向学术论文智能搜索场景，构建“问研智搜”端到端智能Agent系统。系统围绕赛题提出的复杂查询理解、覆盖率与精确度平衡、权威性/时效性/相关性/多样性权衡以及结构化结果归纳四类挑战，设计了大小模型协同、PaSa-inspired Crawler/Selector、多源学术API召回、BGE小模型精排、DeepSeek相关性验证和多目标融合排序的一体化技术路线。</w:t>
      </w:r>
    </w:p>
    <w:p>
      <w:pPr>
        <w:spacing w:line="30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与单纯关键词检索不同，系统首先将自然语言科研问题解析为可执行的多维检索意图，再通过OpenAlex、Semantic Scholar、arXiv、Serper-arXiv Crawler、PaSaTitleDB和可选LocalCorpus构建候选池；随后利用BM25、Embedding、Reranker和LLM Score形成证据链式排序，并输出论文列表、查询拆解、Agent轨迹、关系图、归纳报告和JSON结果。</w:t>
      </w:r>
    </w:p>
    <w:p>
      <w:pPr>
        <w:spacing w:line="30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当前公开RealScholarQuery阶段性最好结果以v12主线为项目书主口径：Precision@20≈0.160、Recall@20≈0.192、Recall@50≈0.233、Recall@100≈0.288、F1@20≈0.159、平均API Calls≈20.2、LLM Calls≈4.0、平均Latency≈91.1s。该结果仍低于完整PaSa训练系统，但在轻量工程可部署、可解释展示和二次迭代成本方面具备竞赛演示价值。</w:t>
      </w:r>
    </w:p>
    <w:p>
      <w:pPr>
        <w:spacing w:line="30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关键词：学术搜索Agent；大小模型协同；PaSa-inspired Crawler/Selector；多源检索；BGE Reranker；DeepSeek；多目标排序；结构化归纳</w:t>
      </w:r>
    </w:p>
    <w:p>
      <w:pPr>
        <w:pStyle w:val="Heading1"/>
      </w:pPr>
      <w:r>
        <w:rPr>
          <w:rFonts w:ascii="Microsoft YaHei" w:hAnsi="Microsoft YaHei" w:eastAsia="Microsoft YaHei"/>
        </w:rPr>
        <w:t>目录</w:t>
      </w:r>
    </w:p>
    <w:p>
      <w:pPr>
        <w:spacing w:line="30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一、项目背景概述与赛题分析</w:t>
      </w:r>
    </w:p>
    <w:p>
      <w:pPr>
        <w:spacing w:line="30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二、系统总体方案与技术路线</w:t>
      </w:r>
    </w:p>
    <w:p>
      <w:pPr>
        <w:spacing w:line="30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三、核心算法设计</w:t>
      </w:r>
    </w:p>
    <w:p>
      <w:pPr>
        <w:spacing w:line="30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四、系统实现与前端平台</w:t>
      </w:r>
    </w:p>
    <w:p>
      <w:pPr>
        <w:spacing w:line="30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五、实验验证与消融设计</w:t>
      </w:r>
    </w:p>
    <w:p>
      <w:pPr>
        <w:spacing w:line="30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六、创新点、优势与风险控制</w:t>
      </w:r>
    </w:p>
    <w:p>
      <w:pPr>
        <w:spacing w:line="30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七、部署实施与后续补充计划</w:t>
      </w:r>
    </w:p>
    <w:p>
      <w:pPr>
        <w:spacing w:line="30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参考文献</w:t>
      </w:r>
    </w:p>
    <w:p>
      <w:pPr>
        <w:spacing w:line="30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附录A：运行命令与待补材料清单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一、项目背景概述与赛题分析</w:t>
      </w:r>
    </w:p>
    <w:p>
      <w:pPr>
        <w:pStyle w:val="Heading2"/>
      </w:pPr>
      <w:r>
        <w:rPr>
          <w:rFonts w:ascii="Microsoft YaHei" w:hAnsi="Microsoft YaHei" w:eastAsia="Microsoft YaHei"/>
        </w:rPr>
        <w:t>1.1 行业背景</w:t>
      </w:r>
    </w:p>
    <w:p>
      <w:pPr>
        <w:spacing w:line="30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科研活动中的论文搜索已经从传统关键词检索转向“意图理解—多源召回—证据排序—结构化综述”的智能化范式。面对跨学科、多约束、开放式的科研问题，研究者往往需要同时考虑主题相关性、方法相似性、数据集覆盖、发表时间、venue权威性、引用影响力以及论文之间的关系。传统搜索引擎虽然覆盖广，但无法稳定把复杂自然语言问题转化为高质量Top-K论文列表。</w:t>
      </w:r>
    </w:p>
    <w:p>
      <w:pPr>
        <w:spacing w:line="30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近年PaSa、SPAR、Ai2 Paper Finder等系统说明，LLM驱动的智能搜索Agent能够显著提升复杂学术查询的完成质量，但完整系统往往依赖大规模Crawler、Selector训练、强化学习或多索引基础设施，复现和部署成本较高。因此，本项目选择“轻量可部署 + 强解释展示 + 评分导向优化”的工程路线，在有限资源下尽可能贴近赛题要求。</w:t>
      </w:r>
    </w:p>
    <w:p>
      <w:pPr>
        <w:pStyle w:val="Heading2"/>
      </w:pPr>
      <w:r>
        <w:rPr>
          <w:rFonts w:ascii="Microsoft YaHei" w:hAnsi="Microsoft YaHei" w:eastAsia="Microsoft YaHei"/>
        </w:rPr>
        <w:t>1.2 赛题挑战映射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1E3A8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赛题挑战</w:t>
            </w:r>
          </w:p>
        </w:tc>
        <w:tc>
          <w:tcPr>
            <w:tcW w:type="dxa" w:w="3331"/>
            <w:vAlign w:val="center"/>
            <w:shd w:fill="1E3A8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技术含义</w:t>
            </w:r>
          </w:p>
        </w:tc>
        <w:tc>
          <w:tcPr>
            <w:tcW w:type="dxa" w:w="3331"/>
            <w:vAlign w:val="center"/>
            <w:shd w:fill="1E3A8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本项目对应方案</w:t>
            </w:r>
          </w:p>
        </w:tc>
      </w:tr>
      <w:tr>
        <w:tc>
          <w:tcPr>
            <w:tcW w:type="dxa" w:w="3331"/>
            <w:vAlign w:val="center"/>
            <w:shd w:fill="EFF6FF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查询理解不充分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用户查询包含主题、方法、数据集、年份、venue等多维约束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DeepSeek Planner + 规则兜底解析意图、实体和子查询</w:t>
            </w:r>
          </w:p>
        </w:tc>
      </w:tr>
      <w:tr>
        <w:tc>
          <w:tcPr>
            <w:tcW w:type="dxa" w:w="3331"/>
            <w:vAlign w:val="center"/>
            <w:shd w:fill="EFF6FF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覆盖率与精确度平衡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高召回会引入噪声，强过滤又可能漏掉目标论文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Crawler扩大候选池，Selector/Ranker压缩噪声</w:t>
            </w:r>
          </w:p>
        </w:tc>
      </w:tr>
      <w:tr>
        <w:tc>
          <w:tcPr>
            <w:tcW w:type="dxa" w:w="3331"/>
            <w:vAlign w:val="center"/>
            <w:shd w:fill="EFF6FF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权威性、时效性、相关性、多样性权衡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Top-K不能只看关键词匹配，需要综合多类信号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多目标融合排序函数引入authority、recency、diversity</w:t>
            </w:r>
          </w:p>
        </w:tc>
      </w:tr>
      <w:tr>
        <w:tc>
          <w:tcPr>
            <w:tcW w:type="dxa" w:w="3331"/>
            <w:vAlign w:val="center"/>
            <w:shd w:fill="EFF6FF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结果归纳与结构化展示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评测不仅需要论文列表，也需要可解释输出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论文排序、查询拆解、Agent轨迹、结果归纳、关系图、JSON多视图展示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60930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评分权重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093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sz w:val="18"/>
        </w:rPr>
        <w:t>图1-1 赛题评分权重与系统优化目标映射</w:t>
      </w:r>
    </w:p>
    <w:p>
      <w:pPr>
        <w:pStyle w:val="Heading1"/>
      </w:pPr>
      <w:r>
        <w:rPr>
          <w:rFonts w:ascii="Microsoft YaHei" w:hAnsi="Microsoft YaHei" w:eastAsia="Microsoft YaHei"/>
        </w:rPr>
        <w:t>二、系统总体方案与技术路线</w:t>
      </w:r>
    </w:p>
    <w:p>
      <w:pPr>
        <w:pStyle w:val="Heading2"/>
      </w:pPr>
      <w:r>
        <w:rPr>
          <w:rFonts w:ascii="Microsoft YaHei" w:hAnsi="Microsoft YaHei" w:eastAsia="Microsoft YaHei"/>
        </w:rPr>
        <w:t>2.1 总体架构</w:t>
      </w:r>
    </w:p>
    <w:p>
      <w:pPr>
        <w:spacing w:line="30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系统采用“前端可视化 + Python Agent后端 + 多源学术API + 大小模型协同”的四层架构。大模型主要承担高层语义规划、复杂查询拆解、相关性验证和结果归纳；小模型主要承担高吞吐语义匹配、候选过滤和细粒度排序。通过这种分工，系统避免把所有候选都交给大模型，从而降低Token成本和端到端延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298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总体架构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29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sz w:val="18"/>
        </w:rPr>
        <w:t>图2-1 问研智搜总体架构</w:t>
      </w:r>
    </w:p>
    <w:p>
      <w:pPr>
        <w:pStyle w:val="Heading2"/>
      </w:pPr>
      <w:r>
        <w:rPr>
          <w:rFonts w:ascii="Microsoft YaHei" w:hAnsi="Microsoft YaHei" w:eastAsia="Microsoft YaHei"/>
        </w:rPr>
        <w:t>2.2 PaSa-inspired轻量化改良思路</w:t>
      </w:r>
    </w:p>
    <w:p>
      <w:pPr>
        <w:spacing w:line="30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PaSa的核心思想是通过Crawler发现候选论文，再通过Selector判断候选价值。本项目借鉴这一思想，但不直接复现其RL训练链路，而是将Crawler实现为多源API与arXiv定向网页搜索的组合，将Selector实现为“源感知采样 + BGE精排 + DeepSeek verifier”的轻量闭环。该设计牺牲了一部分理论上限，但显著降低了工程复杂度，适合在竞赛服务器上快速部署、调参和演示。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298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PaSa启发机制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29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sz w:val="18"/>
        </w:rPr>
        <w:t>图2-2 PaSa-inspired Crawler/Selector协同机制</w:t>
      </w:r>
    </w:p>
    <w:p>
      <w:pPr>
        <w:pStyle w:val="Heading2"/>
      </w:pPr>
      <w:r>
        <w:rPr>
          <w:rFonts w:ascii="Microsoft YaHei" w:hAnsi="Microsoft YaHei" w:eastAsia="Microsoft YaHei"/>
        </w:rPr>
        <w:t>2.3 运行流程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298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Agent工作流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29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sz w:val="18"/>
        </w:rPr>
        <w:t>图2-3 端到端Agent运行流程</w:t>
      </w:r>
    </w:p>
    <w:p>
      <w:pPr>
        <w:pStyle w:val="Heading1"/>
      </w:pPr>
      <w:r>
        <w:rPr>
          <w:rFonts w:ascii="Microsoft YaHei" w:hAnsi="Microsoft YaHei" w:eastAsia="Microsoft YaHei"/>
        </w:rPr>
        <w:t>三、核心算法设计</w:t>
      </w:r>
    </w:p>
    <w:p>
      <w:pPr>
        <w:pStyle w:val="Heading2"/>
      </w:pPr>
      <w:r>
        <w:rPr>
          <w:rFonts w:ascii="Microsoft YaHei" w:hAnsi="Microsoft YaHei" w:eastAsia="Microsoft YaHei"/>
        </w:rPr>
        <w:t>3.1 查询理解与多维约束解析</w:t>
      </w:r>
    </w:p>
    <w:p>
      <w:pPr>
        <w:spacing w:line="30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系统将用户输入q解析为结构化查询状态S={intent, entities, constraints, sub_queries}。其中intent描述学术目标，entities记录核心领域实体，constraints覆盖时间、方法、数据集、venue和论文类型等约束，sub_queries作为后续Crawler执行单元。若LLM规划失败，系统回退到启发式查询扩展，以保证端到端鲁棒性。</w:t>
      </w:r>
    </w:p>
    <w:p>
      <w:pPr>
        <w:pStyle w:val="Heading2"/>
      </w:pPr>
      <w:r>
        <w:rPr>
          <w:rFonts w:ascii="Microsoft YaHei" w:hAnsi="Microsoft YaHei" w:eastAsia="Microsoft YaHei"/>
        </w:rPr>
        <w:t>3.2 多源候选池构建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shd w:fill="1E3A8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候选来源</w:t>
            </w:r>
          </w:p>
        </w:tc>
        <w:tc>
          <w:tcPr>
            <w:tcW w:type="dxa" w:w="2498"/>
            <w:vAlign w:val="center"/>
            <w:shd w:fill="1E3A8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2498"/>
            <w:vAlign w:val="center"/>
            <w:shd w:fill="1E3A8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优势</w:t>
            </w:r>
          </w:p>
        </w:tc>
        <w:tc>
          <w:tcPr>
            <w:tcW w:type="dxa" w:w="2498"/>
            <w:vAlign w:val="center"/>
            <w:shd w:fill="1E3A8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局限</w:t>
            </w:r>
          </w:p>
        </w:tc>
      </w:tr>
      <w:tr>
        <w:tc>
          <w:tcPr>
            <w:tcW w:type="dxa" w:w="2498"/>
            <w:vAlign w:val="center"/>
            <w:shd w:fill="EFF6FF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OpenAlex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通用学术元数据检索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覆盖面广、无需强认证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长自然语言查询容易漂移</w:t>
            </w:r>
          </w:p>
        </w:tc>
      </w:tr>
      <w:tr>
        <w:tc>
          <w:tcPr>
            <w:tcW w:type="dxa" w:w="2498"/>
            <w:vAlign w:val="center"/>
            <w:shd w:fill="EFF6FF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Semantic Scholar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论文语义和引用信息补充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学术相关性较好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限流与字段缺失可能影响稳定性</w:t>
            </w:r>
          </w:p>
        </w:tc>
      </w:tr>
      <w:tr>
        <w:tc>
          <w:tcPr>
            <w:tcW w:type="dxa" w:w="2498"/>
            <w:vAlign w:val="center"/>
            <w:shd w:fill="EFF6FF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arXiv API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面向预印本论文召回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适合LLM/AI公开测试集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查询语法较敏感</w:t>
            </w:r>
          </w:p>
        </w:tc>
      </w:tr>
      <w:tr>
        <w:tc>
          <w:tcPr>
            <w:tcW w:type="dxa" w:w="2498"/>
            <w:vAlign w:val="center"/>
            <w:shd w:fill="EFF6FF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Serper-arXiv Crawler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模拟PaSa式网页Crawler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对长查询和arXiv页面发现更有效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依赖Serper API Key</w:t>
            </w:r>
          </w:p>
        </w:tc>
      </w:tr>
      <w:tr>
        <w:tc>
          <w:tcPr>
            <w:tcW w:type="dxa" w:w="2498"/>
            <w:vAlign w:val="center"/>
            <w:shd w:fill="EFF6FF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PaSaTitleDB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公开PaSa本地arXiv标题库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提高公开集候选覆盖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隐藏集不能完全依赖它</w:t>
            </w:r>
          </w:p>
        </w:tc>
      </w:tr>
      <w:tr>
        <w:tc>
          <w:tcPr>
            <w:tcW w:type="dxa" w:w="2498"/>
            <w:vAlign w:val="center"/>
            <w:shd w:fill="EFF6FF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LocalCorpus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可扩展本地论文库接口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适合官方提供语料时接入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需要额外构建索引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3.3 多目标融合排序</w:t>
      </w:r>
    </w:p>
    <w:p>
      <w:pPr>
        <w:spacing w:line="30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候选论文p针对查询q的综合得分可写为：Score(q,p)=Σwᵢfᵢ(q,p)+LabelBonus−NoisePenalty。该函数不是单纯追求文本相似度，而是将“可命中金标准论文”的排序目标与赛题效率约束共同纳入，显式融合API相关性、BM25、Embedding、Reranker、LLM Score、Authority、Recency和Diversity等信号。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298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排序函数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29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sz w:val="18"/>
        </w:rPr>
        <w:t>图3-1 多目标融合排序函数</w:t>
      </w:r>
    </w:p>
    <w:p>
      <w:pPr>
        <w:pStyle w:val="Heading2"/>
      </w:pPr>
      <w:r>
        <w:rPr>
          <w:rFonts w:ascii="Microsoft YaHei" w:hAnsi="Microsoft YaHei" w:eastAsia="Microsoft YaHei"/>
        </w:rPr>
        <w:t>3.4 LLM选择器与结果归纳</w:t>
      </w:r>
    </w:p>
    <w:p>
      <w:pPr>
        <w:spacing w:line="30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DeepSeek在系统中承担三类角色：Planner负责理解查询和生成子查询；Verifier负责对候选论文进行high/partial/irrelevant相关性标注；Synthesizer负责把Top-K结果归纳为整体结论、主题线索、高相关候选和部分相关候选。为了控制成本，评测默认最多4次LLM调用，Verifier仅处理采样后的Top候选，而不是对全部候选暴力打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2981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创新点地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29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sz w:val="18"/>
        </w:rPr>
        <w:t>图3-2 核心创新点地图</w:t>
      </w:r>
    </w:p>
    <w:p>
      <w:pPr>
        <w:pStyle w:val="Heading1"/>
      </w:pPr>
      <w:r>
        <w:rPr>
          <w:rFonts w:ascii="Microsoft YaHei" w:hAnsi="Microsoft YaHei" w:eastAsia="Microsoft YaHei"/>
        </w:rPr>
        <w:t>四、系统实现与前端平台</w:t>
      </w:r>
    </w:p>
    <w:p>
      <w:pPr>
        <w:pStyle w:val="Heading2"/>
      </w:pPr>
      <w:r>
        <w:rPr>
          <w:rFonts w:ascii="Microsoft YaHei" w:hAnsi="Microsoft YaHei" w:eastAsia="Microsoft YaHei"/>
        </w:rPr>
        <w:t>4.1 前端功能模块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1E3A8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前端区域</w:t>
            </w:r>
          </w:p>
        </w:tc>
        <w:tc>
          <w:tcPr>
            <w:tcW w:type="dxa" w:w="3331"/>
            <w:vAlign w:val="center"/>
            <w:shd w:fill="1E3A8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显示内容</w:t>
            </w:r>
          </w:p>
        </w:tc>
        <w:tc>
          <w:tcPr>
            <w:tcW w:type="dxa" w:w="3331"/>
            <w:vAlign w:val="center"/>
            <w:shd w:fill="1E3A8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3331"/>
            <w:vAlign w:val="center"/>
            <w:shd w:fill="EFF6FF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标题栏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问研智搜；江苏大学 汽车工程研究院 搜的都队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展示项目名称和团队信息</w:t>
            </w:r>
          </w:p>
        </w:tc>
      </w:tr>
      <w:tr>
        <w:tc>
          <w:tcPr>
            <w:tcW w:type="dxa" w:w="3331"/>
            <w:vAlign w:val="center"/>
            <w:shd w:fill="EFF6FF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搜索与评测面板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Query输入、Top-K、搜索论文、Smoke评测、RAG评测、漏洞检测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作为演示和快速自测入口</w:t>
            </w:r>
          </w:p>
        </w:tc>
      </w:tr>
      <w:tr>
        <w:tc>
          <w:tcPr>
            <w:tcW w:type="dxa" w:w="3331"/>
            <w:vAlign w:val="center"/>
            <w:shd w:fill="EFF6FF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运行状态卡片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LLM Calls、API Calls、Latency、Papers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体现效率评分相关信息</w:t>
            </w:r>
          </w:p>
        </w:tc>
      </w:tr>
      <w:tr>
        <w:tc>
          <w:tcPr>
            <w:tcW w:type="dxa" w:w="3331"/>
            <w:vAlign w:val="center"/>
            <w:shd w:fill="EFF6FF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论文排序页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Top-K论文、综合分和分项信号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展示最终提交结果及排序依据</w:t>
            </w:r>
          </w:p>
        </w:tc>
      </w:tr>
      <w:tr>
        <w:tc>
          <w:tcPr>
            <w:tcW w:type="dxa" w:w="3331"/>
            <w:vAlign w:val="center"/>
            <w:shd w:fill="EFF6FF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查询拆解页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intent、entities、sub_queries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展示复杂查询理解能力</w:t>
            </w:r>
          </w:p>
        </w:tc>
      </w:tr>
      <w:tr>
        <w:tc>
          <w:tcPr>
            <w:tcW w:type="dxa" w:w="3331"/>
            <w:vAlign w:val="center"/>
            <w:shd w:fill="EFF6FF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Agent轨迹页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每轮Crawler/Selector/Ranker动作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展示系统可解释性</w:t>
            </w:r>
          </w:p>
        </w:tc>
      </w:tr>
      <w:tr>
        <w:tc>
          <w:tcPr>
            <w:tcW w:type="dxa" w:w="3331"/>
            <w:vAlign w:val="center"/>
            <w:shd w:fill="EFF6FF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结果归纳页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整体结论、主题线索、高相关/部分相关候选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对应赛题结构化整理要求</w:t>
            </w:r>
          </w:p>
        </w:tc>
      </w:tr>
      <w:tr>
        <w:tc>
          <w:tcPr>
            <w:tcW w:type="dxa" w:w="3331"/>
            <w:vAlign w:val="center"/>
            <w:shd w:fill="EFF6FF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关系图/JSON页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论文关系与机器可读输出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用于答辩展示和自动评测对接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298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前端占位说明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29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sz w:val="18"/>
        </w:rPr>
        <w:t>图4-1 前端演示界面模块说明占位图</w:t>
      </w:r>
    </w:p>
    <w:p>
      <w:pPr>
        <w:pStyle w:val="Heading2"/>
      </w:pPr>
      <w:r>
        <w:rPr>
          <w:rFonts w:ascii="Microsoft YaHei" w:hAnsi="Microsoft YaHei" w:eastAsia="Microsoft YaHei"/>
        </w:rPr>
        <w:t>4.2 工程模块划分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1E3A8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文件/模块</w:t>
            </w:r>
          </w:p>
        </w:tc>
        <w:tc>
          <w:tcPr>
            <w:tcW w:type="dxa" w:w="4997"/>
            <w:vAlign w:val="center"/>
            <w:shd w:fill="1E3A8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4997"/>
            <w:vAlign w:val="center"/>
            <w:shd w:fill="EFF6FF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web_demo.py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HTTP服务与前端页面渲染</w:t>
            </w:r>
          </w:p>
        </w:tc>
      </w:tr>
      <w:tr>
        <w:tc>
          <w:tcPr>
            <w:tcW w:type="dxa" w:w="4997"/>
            <w:vAlign w:val="center"/>
            <w:shd w:fill="EFF6FF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wenyan_competition/agent.py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Agent主流程、Crawler/Selector/Ranker调度、轨迹记录</w:t>
            </w:r>
          </w:p>
        </w:tc>
      </w:tr>
      <w:tr>
        <w:tc>
          <w:tcPr>
            <w:tcW w:type="dxa" w:w="4997"/>
            <w:vAlign w:val="center"/>
            <w:shd w:fill="EFF6FF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wenyan_competition/retrievers.py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OpenAlex/Semantic Scholar/arXiv/Serper/本地库检索</w:t>
            </w:r>
          </w:p>
        </w:tc>
      </w:tr>
      <w:tr>
        <w:tc>
          <w:tcPr>
            <w:tcW w:type="dxa" w:w="4997"/>
            <w:vAlign w:val="center"/>
            <w:shd w:fill="EFF6FF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wenyan_competition/llm.py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DeepSeek兼容接口、Planner/Verifier/Synthesizer</w:t>
            </w:r>
          </w:p>
        </w:tc>
      </w:tr>
      <w:tr>
        <w:tc>
          <w:tcPr>
            <w:tcW w:type="dxa" w:w="4997"/>
            <w:vAlign w:val="center"/>
            <w:shd w:fill="EFF6FF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wenyan_competition/ranking.py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BM25、Embedding、Reranker和多信号融合</w:t>
            </w:r>
          </w:p>
        </w:tc>
      </w:tr>
      <w:tr>
        <w:tc>
          <w:tcPr>
            <w:tcW w:type="dxa" w:w="4997"/>
            <w:vAlign w:val="center"/>
            <w:shd w:fill="EFF6FF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evaluate_pasa.py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PaSa公开数据集评测与metrics输出</w:t>
            </w:r>
          </w:p>
        </w:tc>
      </w:tr>
      <w:tr>
        <w:tc>
          <w:tcPr>
            <w:tcW w:type="dxa" w:w="4997"/>
            <w:vAlign w:val="center"/>
            <w:shd w:fill="EFF6FF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offline_quality_check.py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离线质量检查，防止关键功能回退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2981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部署拓扑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29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sz w:val="18"/>
        </w:rPr>
        <w:t>图4-2 Ubuntu服务器部署拓扑</w:t>
      </w:r>
    </w:p>
    <w:p>
      <w:pPr>
        <w:pStyle w:val="Heading1"/>
      </w:pPr>
      <w:r>
        <w:rPr>
          <w:rFonts w:ascii="Microsoft YaHei" w:hAnsi="Microsoft YaHei" w:eastAsia="Microsoft YaHei"/>
        </w:rPr>
        <w:t>五、实验验证与消融设计</w:t>
      </w:r>
    </w:p>
    <w:p>
      <w:pPr>
        <w:pStyle w:val="Heading2"/>
      </w:pPr>
      <w:r>
        <w:rPr>
          <w:rFonts w:ascii="Microsoft YaHei" w:hAnsi="Microsoft YaHei" w:eastAsia="Microsoft YaHei"/>
        </w:rPr>
        <w:t>5.1 评测数据与指标</w:t>
      </w:r>
    </w:p>
    <w:p>
      <w:pPr>
        <w:spacing w:line="30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当前主要使用PaSa公开RealScholarQuery测试集进行阶段性验证。评测脚本逐条读取query，Agent只使用query执行检索，gold answer仅用于最后计算Precision@20、Recall@20/50/100和F1@20。效率指标记录平均API调用、LLM调用和端到端延迟。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2981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评测流水线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29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sz w:val="18"/>
        </w:rPr>
        <w:t>图5-1 公开/隐藏测试评测流水线</w:t>
      </w:r>
    </w:p>
    <w:p>
      <w:pPr>
        <w:pStyle w:val="Heading2"/>
      </w:pPr>
      <w:r>
        <w:rPr>
          <w:rFonts w:ascii="Microsoft YaHei" w:hAnsi="Microsoft YaHei" w:eastAsia="Microsoft YaHei"/>
        </w:rPr>
        <w:t>5.2 阶段性结果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</w:tblGrid>
      <w:tr>
        <w:tc>
          <w:tcPr>
            <w:tcW w:type="dxa" w:w="909"/>
            <w:vAlign w:val="center"/>
            <w:shd w:fill="1E3A8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909"/>
            <w:vAlign w:val="center"/>
            <w:shd w:fill="1E3A8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测试范围</w:t>
            </w:r>
          </w:p>
        </w:tc>
        <w:tc>
          <w:tcPr>
            <w:tcW w:type="dxa" w:w="909"/>
            <w:vAlign w:val="center"/>
            <w:shd w:fill="1E3A8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Precision@20</w:t>
            </w:r>
          </w:p>
        </w:tc>
        <w:tc>
          <w:tcPr>
            <w:tcW w:type="dxa" w:w="909"/>
            <w:vAlign w:val="center"/>
            <w:shd w:fill="1E3A8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Recall@20</w:t>
            </w:r>
          </w:p>
        </w:tc>
        <w:tc>
          <w:tcPr>
            <w:tcW w:type="dxa" w:w="909"/>
            <w:vAlign w:val="center"/>
            <w:shd w:fill="1E3A8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Recall@50</w:t>
            </w:r>
          </w:p>
        </w:tc>
        <w:tc>
          <w:tcPr>
            <w:tcW w:type="dxa" w:w="909"/>
            <w:vAlign w:val="center"/>
            <w:shd w:fill="1E3A8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Recall@100</w:t>
            </w:r>
          </w:p>
        </w:tc>
        <w:tc>
          <w:tcPr>
            <w:tcW w:type="dxa" w:w="909"/>
            <w:vAlign w:val="center"/>
            <w:shd w:fill="1E3A8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F1@20</w:t>
            </w:r>
          </w:p>
        </w:tc>
        <w:tc>
          <w:tcPr>
            <w:tcW w:type="dxa" w:w="909"/>
            <w:vAlign w:val="center"/>
            <w:shd w:fill="1E3A8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API Calls</w:t>
            </w:r>
          </w:p>
        </w:tc>
        <w:tc>
          <w:tcPr>
            <w:tcW w:type="dxa" w:w="909"/>
            <w:vAlign w:val="center"/>
            <w:shd w:fill="1E3A8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LLM Calls</w:t>
            </w:r>
          </w:p>
        </w:tc>
        <w:tc>
          <w:tcPr>
            <w:tcW w:type="dxa" w:w="909"/>
            <w:vAlign w:val="center"/>
            <w:shd w:fill="1E3A8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Latency</w:t>
            </w:r>
          </w:p>
        </w:tc>
        <w:tc>
          <w:tcPr>
            <w:tcW w:type="dxa" w:w="909"/>
            <w:vAlign w:val="center"/>
            <w:shd w:fill="1E3A8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</w:tr>
      <w:tr>
        <w:tc>
          <w:tcPr>
            <w:tcW w:type="dxa" w:w="909"/>
            <w:vAlign w:val="center"/>
            <w:shd w:fill="EFF6FF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v7初版</w:t>
            </w:r>
          </w:p>
        </w:tc>
        <w:tc>
          <w:tcPr>
            <w:tcW w:type="dxa" w:w="90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RealScholarQuery limit5</w:t>
            </w:r>
          </w:p>
        </w:tc>
        <w:tc>
          <w:tcPr>
            <w:tcW w:type="dxa" w:w="90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</w:t>
            </w:r>
          </w:p>
        </w:tc>
        <w:tc>
          <w:tcPr>
            <w:tcW w:type="dxa" w:w="90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</w:t>
            </w:r>
          </w:p>
        </w:tc>
        <w:tc>
          <w:tcPr>
            <w:tcW w:type="dxa" w:w="90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</w:t>
            </w:r>
          </w:p>
        </w:tc>
        <w:tc>
          <w:tcPr>
            <w:tcW w:type="dxa" w:w="90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</w:t>
            </w:r>
          </w:p>
        </w:tc>
        <w:tc>
          <w:tcPr>
            <w:tcW w:type="dxa" w:w="90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0.086</w:t>
            </w:r>
          </w:p>
        </w:tc>
        <w:tc>
          <w:tcPr>
            <w:tcW w:type="dxa" w:w="90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37.2</w:t>
            </w:r>
          </w:p>
        </w:tc>
        <w:tc>
          <w:tcPr>
            <w:tcW w:type="dxa" w:w="90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4.0</w:t>
            </w:r>
          </w:p>
        </w:tc>
        <w:tc>
          <w:tcPr>
            <w:tcW w:type="dxa" w:w="90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116.8s</w:t>
            </w:r>
          </w:p>
        </w:tc>
        <w:tc>
          <w:tcPr>
            <w:tcW w:type="dxa" w:w="90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召回和排序均不足</w:t>
            </w:r>
          </w:p>
        </w:tc>
      </w:tr>
      <w:tr>
        <w:tc>
          <w:tcPr>
            <w:tcW w:type="dxa" w:w="909"/>
            <w:vAlign w:val="center"/>
            <w:shd w:fill="EFF6FF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v12主线</w:t>
            </w:r>
          </w:p>
        </w:tc>
        <w:tc>
          <w:tcPr>
            <w:tcW w:type="dxa" w:w="90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RealScholarQuery limit20</w:t>
            </w:r>
          </w:p>
        </w:tc>
        <w:tc>
          <w:tcPr>
            <w:tcW w:type="dxa" w:w="90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0.160</w:t>
            </w:r>
          </w:p>
        </w:tc>
        <w:tc>
          <w:tcPr>
            <w:tcW w:type="dxa" w:w="90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0.192</w:t>
            </w:r>
          </w:p>
        </w:tc>
        <w:tc>
          <w:tcPr>
            <w:tcW w:type="dxa" w:w="90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0.233</w:t>
            </w:r>
          </w:p>
        </w:tc>
        <w:tc>
          <w:tcPr>
            <w:tcW w:type="dxa" w:w="90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0.288</w:t>
            </w:r>
          </w:p>
        </w:tc>
        <w:tc>
          <w:tcPr>
            <w:tcW w:type="dxa" w:w="90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0.159</w:t>
            </w:r>
          </w:p>
        </w:tc>
        <w:tc>
          <w:tcPr>
            <w:tcW w:type="dxa" w:w="90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20.2</w:t>
            </w:r>
          </w:p>
        </w:tc>
        <w:tc>
          <w:tcPr>
            <w:tcW w:type="dxa" w:w="90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4.0</w:t>
            </w:r>
          </w:p>
        </w:tc>
        <w:tc>
          <w:tcPr>
            <w:tcW w:type="dxa" w:w="90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91.1s</w:t>
            </w:r>
          </w:p>
        </w:tc>
        <w:tc>
          <w:tcPr>
            <w:tcW w:type="dxa" w:w="90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当前项目书主结果口径</w:t>
            </w:r>
          </w:p>
        </w:tc>
      </w:tr>
      <w:tr>
        <w:tc>
          <w:tcPr>
            <w:tcW w:type="dxa" w:w="909"/>
            <w:vAlign w:val="center"/>
            <w:shd w:fill="EFF6FF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rollback复测</w:t>
            </w:r>
          </w:p>
        </w:tc>
        <w:tc>
          <w:tcPr>
            <w:tcW w:type="dxa" w:w="90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RealScholarQuery limit20</w:t>
            </w:r>
          </w:p>
        </w:tc>
        <w:tc>
          <w:tcPr>
            <w:tcW w:type="dxa" w:w="90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0.140</w:t>
            </w:r>
          </w:p>
        </w:tc>
        <w:tc>
          <w:tcPr>
            <w:tcW w:type="dxa" w:w="90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0.184</w:t>
            </w:r>
          </w:p>
        </w:tc>
        <w:tc>
          <w:tcPr>
            <w:tcW w:type="dxa" w:w="90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0.225</w:t>
            </w:r>
          </w:p>
        </w:tc>
        <w:tc>
          <w:tcPr>
            <w:tcW w:type="dxa" w:w="90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0.287</w:t>
            </w:r>
          </w:p>
        </w:tc>
        <w:tc>
          <w:tcPr>
            <w:tcW w:type="dxa" w:w="90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0.143</w:t>
            </w:r>
          </w:p>
        </w:tc>
        <w:tc>
          <w:tcPr>
            <w:tcW w:type="dxa" w:w="90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20.2</w:t>
            </w:r>
          </w:p>
        </w:tc>
        <w:tc>
          <w:tcPr>
            <w:tcW w:type="dxa" w:w="90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4.0</w:t>
            </w:r>
          </w:p>
        </w:tc>
        <w:tc>
          <w:tcPr>
            <w:tcW w:type="dxa" w:w="90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98.0s</w:t>
            </w:r>
          </w:p>
        </w:tc>
        <w:tc>
          <w:tcPr>
            <w:tcW w:type="dxa" w:w="90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低于v12，不作为主结果</w:t>
            </w:r>
          </w:p>
        </w:tc>
      </w:tr>
      <w:tr>
        <w:tc>
          <w:tcPr>
            <w:tcW w:type="dxa" w:w="909"/>
            <w:vAlign w:val="center"/>
            <w:shd w:fill="EFF6FF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v16压缩LLM</w:t>
            </w:r>
          </w:p>
        </w:tc>
        <w:tc>
          <w:tcPr>
            <w:tcW w:type="dxa" w:w="90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RealScholarQuery limit5</w:t>
            </w:r>
          </w:p>
        </w:tc>
        <w:tc>
          <w:tcPr>
            <w:tcW w:type="dxa" w:w="90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0.100</w:t>
            </w:r>
          </w:p>
        </w:tc>
        <w:tc>
          <w:tcPr>
            <w:tcW w:type="dxa" w:w="90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0.070</w:t>
            </w:r>
          </w:p>
        </w:tc>
        <w:tc>
          <w:tcPr>
            <w:tcW w:type="dxa" w:w="90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0.150</w:t>
            </w:r>
          </w:p>
        </w:tc>
        <w:tc>
          <w:tcPr>
            <w:tcW w:type="dxa" w:w="90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0.271</w:t>
            </w:r>
          </w:p>
        </w:tc>
        <w:tc>
          <w:tcPr>
            <w:tcW w:type="dxa" w:w="90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0.081</w:t>
            </w:r>
          </w:p>
        </w:tc>
        <w:tc>
          <w:tcPr>
            <w:tcW w:type="dxa" w:w="90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20.0</w:t>
            </w:r>
          </w:p>
        </w:tc>
        <w:tc>
          <w:tcPr>
            <w:tcW w:type="dxa" w:w="90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2.0</w:t>
            </w:r>
          </w:p>
        </w:tc>
        <w:tc>
          <w:tcPr>
            <w:tcW w:type="dxa" w:w="90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146.8s</w:t>
            </w:r>
          </w:p>
        </w:tc>
        <w:tc>
          <w:tcPr>
            <w:tcW w:type="dxa" w:w="90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失败实验，证明不能盲目压缩LLM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0313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阶段性指标对比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03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sz w:val="18"/>
        </w:rPr>
        <w:t>图5-2 RealScholarQuery阶段性指标对比</w:t>
      </w:r>
    </w:p>
    <w:p>
      <w:pPr>
        <w:pStyle w:val="Heading2"/>
      </w:pPr>
      <w:r>
        <w:rPr>
          <w:rFonts w:ascii="Microsoft YaHei" w:hAnsi="Microsoft YaHei" w:eastAsia="Microsoft YaHei"/>
        </w:rPr>
        <w:t>5.3 消融实验设计</w:t>
      </w:r>
    </w:p>
    <w:p>
      <w:pPr>
        <w:spacing w:line="30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项目书建议保留消融实验设计，并在时间允许时补齐A0-A4结果。消融实验的价值不只是展示分数，而是解释系统为什么需要多源召回、为什么需要小模型精排、为什么LLM verifier不能过度压缩。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2518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消融矩阵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25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sz w:val="18"/>
        </w:rPr>
        <w:t>图5-3 消融实验矩阵</w:t>
      </w:r>
    </w:p>
    <w:p>
      <w:pPr>
        <w:pStyle w:val="Heading1"/>
      </w:pPr>
      <w:r>
        <w:rPr>
          <w:rFonts w:ascii="Microsoft YaHei" w:hAnsi="Microsoft YaHei" w:eastAsia="Microsoft YaHei"/>
        </w:rPr>
        <w:t>六、创新点、优势与风险控制</w:t>
      </w:r>
    </w:p>
    <w:p>
      <w:pPr>
        <w:pStyle w:val="Heading2"/>
      </w:pPr>
      <w:r>
        <w:rPr>
          <w:rFonts w:ascii="Microsoft YaHei" w:hAnsi="Microsoft YaHei" w:eastAsia="Microsoft YaHei"/>
        </w:rPr>
        <w:t>6.1 相对参考系统的定位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shd w:fill="1E3A8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系统</w:t>
            </w:r>
          </w:p>
        </w:tc>
        <w:tc>
          <w:tcPr>
            <w:tcW w:type="dxa" w:w="2498"/>
            <w:vAlign w:val="center"/>
            <w:shd w:fill="1E3A8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核心路线</w:t>
            </w:r>
          </w:p>
        </w:tc>
        <w:tc>
          <w:tcPr>
            <w:tcW w:type="dxa" w:w="2498"/>
            <w:vAlign w:val="center"/>
            <w:shd w:fill="1E3A8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优势</w:t>
            </w:r>
          </w:p>
        </w:tc>
        <w:tc>
          <w:tcPr>
            <w:tcW w:type="dxa" w:w="2498"/>
            <w:vAlign w:val="center"/>
            <w:shd w:fill="1E3A8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本项目吸收/改良点</w:t>
            </w:r>
          </w:p>
        </w:tc>
      </w:tr>
      <w:tr>
        <w:tc>
          <w:tcPr>
            <w:tcW w:type="dxa" w:w="2498"/>
            <w:vAlign w:val="center"/>
            <w:shd w:fill="EFF6FF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PaSa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Crawler+Selector双Agent+RL训练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公开报告性能强，覆盖率高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吸收Crawler/Selector思想，改为轻量可部署版本</w:t>
            </w:r>
          </w:p>
        </w:tc>
      </w:tr>
      <w:tr>
        <w:tc>
          <w:tcPr>
            <w:tcW w:type="dxa" w:w="2498"/>
            <w:vAlign w:val="center"/>
            <w:shd w:fill="EFF6FF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SPAR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RefChain查询分解+查询演化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复杂查询分解能力强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引入多策略sub-query和查询演化</w:t>
            </w:r>
          </w:p>
        </w:tc>
      </w:tr>
      <w:tr>
        <w:tc>
          <w:tcPr>
            <w:tcW w:type="dxa" w:w="2498"/>
            <w:vAlign w:val="center"/>
            <w:shd w:fill="EFF6FF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Ai2 Paper Finder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多索引语义检索+采样策略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工程检索覆盖强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借鉴多源索引和候选采样思想</w:t>
            </w:r>
          </w:p>
        </w:tc>
      </w:tr>
      <w:tr>
        <w:tc>
          <w:tcPr>
            <w:tcW w:type="dxa" w:w="2498"/>
            <w:vAlign w:val="center"/>
            <w:shd w:fill="EFF6FF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问研智搜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轻量Agent+多源API+BGE+DeepSeek+结构化展示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部署简单、可解释、适合答辩演示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在有限硬件与时间下兼顾F1、效率和展示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510447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能力雷达图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104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sz w:val="18"/>
        </w:rPr>
        <w:t>图6-1 系统能力雷达图</w:t>
      </w:r>
    </w:p>
    <w:p>
      <w:pPr>
        <w:pStyle w:val="Heading2"/>
      </w:pPr>
      <w:r>
        <w:rPr>
          <w:rFonts w:ascii="Microsoft YaHei" w:hAnsi="Microsoft YaHei" w:eastAsia="Microsoft YaHei"/>
        </w:rPr>
        <w:t>6.2 核心优势</w:t>
      </w:r>
    </w:p>
    <w:p>
      <w:pPr>
        <w:spacing w:line="30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优势一：面向复杂学术意图，而非单关键词匹配。系统显式抽取实体、约束和子查询，能够处理“方法+数据集+时间+论文类型”组合查询。</w:t>
      </w:r>
    </w:p>
    <w:p>
      <w:pPr>
        <w:spacing w:line="30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优势二：召回与精排分离。Crawler阶段尽量扩大候选空间，Selector和Ranker阶段再压缩噪声，符合学术搜索“先覆盖后筛选”的基本规律。</w:t>
      </w:r>
    </w:p>
    <w:p>
      <w:pPr>
        <w:spacing w:line="30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优势三：大小模型协同。小模型承担高频、低成本排序，大模型只在关键候选和归纳环节介入，形成成本可控的Agent链路。</w:t>
      </w:r>
    </w:p>
    <w:p>
      <w:pPr>
        <w:spacing w:line="30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优势四：结构化展示能力完整。系统不仅输出Top-K，还展示查询拆解、Agent轨迹、结果归纳、关系图和JSON，满足赛题结构化输出要求。</w:t>
      </w:r>
    </w:p>
    <w:p>
      <w:pPr>
        <w:spacing w:line="30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优势五：工程闭环清晰。evaluate_pasa.py、metrics.json和hit_report.json可持续支持调参，避免只凭前端截图主观判断效果。</w:t>
      </w:r>
    </w:p>
    <w:p>
      <w:pPr>
        <w:pStyle w:val="Heading2"/>
      </w:pPr>
      <w:r>
        <w:rPr>
          <w:rFonts w:ascii="Microsoft YaHei" w:hAnsi="Microsoft YaHei" w:eastAsia="Microsoft YaHei"/>
        </w:rPr>
        <w:t>6.3 风险与应对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1E3A8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3331"/>
            <w:vAlign w:val="center"/>
            <w:shd w:fill="1E3A8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表现</w:t>
            </w:r>
          </w:p>
        </w:tc>
        <w:tc>
          <w:tcPr>
            <w:tcW w:type="dxa" w:w="3331"/>
            <w:vAlign w:val="center"/>
            <w:shd w:fill="1E3A8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应对策略</w:t>
            </w:r>
          </w:p>
        </w:tc>
      </w:tr>
      <w:tr>
        <w:tc>
          <w:tcPr>
            <w:tcW w:type="dxa" w:w="3331"/>
            <w:vAlign w:val="center"/>
            <w:shd w:fill="EFF6FF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在线API不稳定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OpenAlex/S2返回漂移、限流或缺字段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启用缓存、保留arXiv/Serper和本地库兜底</w:t>
            </w:r>
          </w:p>
        </w:tc>
      </w:tr>
      <w:tr>
        <w:tc>
          <w:tcPr>
            <w:tcW w:type="dxa" w:w="3331"/>
            <w:vAlign w:val="center"/>
            <w:shd w:fill="EFF6FF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公开集过拟合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过度依赖PaSaTitleDB可能影响隐藏集泛化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隐藏集以真实API和LocalCorpus接口为主，标题库仅作可选召回源</w:t>
            </w:r>
          </w:p>
        </w:tc>
      </w:tr>
      <w:tr>
        <w:tc>
          <w:tcPr>
            <w:tcW w:type="dxa" w:w="3331"/>
            <w:vAlign w:val="center"/>
            <w:shd w:fill="EFF6FF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LLM成本高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Verifier调用过多导致时延上升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固定调用预算，使用source-aware采样减少无效候选</w:t>
            </w:r>
          </w:p>
        </w:tc>
      </w:tr>
      <w:tr>
        <w:tc>
          <w:tcPr>
            <w:tcW w:type="dxa" w:w="3331"/>
            <w:vAlign w:val="center"/>
            <w:shd w:fill="EFF6FF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Top20排序不稳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Recall@100较高但F1@20不足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利用hit_report区分召回不足和排序不足，再微调融合权重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七、部署实施与后续补充计划</w:t>
      </w:r>
    </w:p>
    <w:p>
      <w:pPr>
        <w:pStyle w:val="Heading2"/>
      </w:pPr>
      <w:r>
        <w:rPr>
          <w:rFonts w:ascii="Microsoft YaHei" w:hAnsi="Microsoft YaHei" w:eastAsia="Microsoft YaHei"/>
        </w:rPr>
        <w:t>7.1 当前推荐运行命令</w:t>
      </w:r>
    </w:p>
    <w:p>
      <w:pPr>
        <w:spacing w:line="30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服务器端建议命令：cd ~/wenyan-zhisou-advanced &amp;&amp; git pull &amp;&amp; cd competition &amp;&amp; source .venv/bin/activate &amp;&amp; source .env &amp;&amp; python offline_quality_check.py</w:t>
      </w:r>
    </w:p>
    <w:p>
      <w:pPr>
        <w:spacing w:line="30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评测命令：python evaluate_pasa.py --config config.yaml --input data/pasa-dataset/RealScholarQuery/test.jsonl --output_dir runs/pasa_rs_limit20_v12 --limit 20 --top_k 20</w:t>
      </w:r>
    </w:p>
    <w:p>
      <w:pPr>
        <w:pStyle w:val="Heading2"/>
      </w:pPr>
      <w:r>
        <w:rPr>
          <w:rFonts w:ascii="Microsoft YaHei" w:hAnsi="Microsoft YaHei" w:eastAsia="Microsoft YaHei"/>
        </w:rPr>
        <w:t>7.2 仍需补充的数据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shd w:fill="1E3A8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498"/>
            <w:vAlign w:val="center"/>
            <w:shd w:fill="1E3A8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需要补充的材料</w:t>
            </w:r>
          </w:p>
        </w:tc>
        <w:tc>
          <w:tcPr>
            <w:tcW w:type="dxa" w:w="2498"/>
            <w:vAlign w:val="center"/>
            <w:shd w:fill="1E3A8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2498"/>
            <w:vAlign w:val="center"/>
            <w:shd w:fill="1E3A8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建议命令/说明</w:t>
            </w:r>
          </w:p>
        </w:tc>
      </w:tr>
      <w:tr>
        <w:tc>
          <w:tcPr>
            <w:tcW w:type="dxa" w:w="2498"/>
            <w:vAlign w:val="center"/>
            <w:shd w:fill="EFF6FF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v12主线RealScholarQuery limit20复测metrics.json截图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确认项目书主结果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按第7.1评测命令运行，发metrics截图</w:t>
            </w:r>
          </w:p>
        </w:tc>
      </w:tr>
      <w:tr>
        <w:tc>
          <w:tcPr>
            <w:tcW w:type="dxa" w:w="2498"/>
            <w:vAlign w:val="center"/>
            <w:shd w:fill="EFF6FF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前端论文排序页截图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替换图4-1占位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网页搜索一个AI或汽车领域查询，截Top3与左侧调用统计</w:t>
            </w:r>
          </w:p>
        </w:tc>
      </w:tr>
      <w:tr>
        <w:tc>
          <w:tcPr>
            <w:tcW w:type="dxa" w:w="2498"/>
            <w:vAlign w:val="center"/>
            <w:shd w:fill="EFF6FF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查询拆解页与结果归纳页截图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证明结构化输出10%评分能力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同一查询切到“查询拆解/结果归纳”页截图</w:t>
            </w:r>
          </w:p>
        </w:tc>
      </w:tr>
      <w:tr>
        <w:tc>
          <w:tcPr>
            <w:tcW w:type="dxa" w:w="2498"/>
            <w:vAlign w:val="center"/>
            <w:shd w:fill="EFF6FF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AutoScholarQuery limit5或limit10结果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证明非RealScholarQuery泛化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若数据可用，运行evaluate_pasa.py换input路径</w:t>
            </w:r>
          </w:p>
        </w:tc>
      </w:tr>
      <w:tr>
        <w:tc>
          <w:tcPr>
            <w:tcW w:type="dxa" w:w="2498"/>
            <w:vAlign w:val="center"/>
            <w:shd w:fill="EFF6FF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P2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A0-A4消融结果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增强项目书说服力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时间不足可先不跑，保留设计表</w:t>
            </w:r>
          </w:p>
        </w:tc>
      </w:tr>
      <w:tr>
        <w:tc>
          <w:tcPr>
            <w:tcW w:type="dxa" w:w="2498"/>
            <w:vAlign w:val="center"/>
            <w:shd w:fill="EFF6FF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P2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答辩演示视频/动图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专家评分展示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录屏展示一次完整搜索流程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参考文献</w:t>
      </w:r>
    </w:p>
    <w:p>
      <w:pPr>
        <w:spacing w:line="30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[1] ByteDance/PKU. PaSa: An LLM Agent for Comprehensive Academic Paper Search. GitHub repository.</w:t>
      </w:r>
    </w:p>
    <w:p>
      <w:pPr>
        <w:spacing w:line="30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[2] SPAR: RefChain-based scholarly paper search and query evolution system.</w:t>
      </w:r>
    </w:p>
    <w:p>
      <w:pPr>
        <w:spacing w:line="30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[3] Ai2 Paper Finder / Asta-Bench related benchmark and system materials.</w:t>
      </w:r>
    </w:p>
    <w:p>
      <w:pPr>
        <w:spacing w:line="30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[4] OpenAlex Documentation. Scholarly metadata API.</w:t>
      </w:r>
    </w:p>
    <w:p>
      <w:pPr>
        <w:spacing w:line="30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[5] Semantic Scholar Recommendations and Graph API Documentation.</w:t>
      </w:r>
    </w:p>
    <w:p>
      <w:pPr>
        <w:spacing w:line="30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[6] BAAI. BGE Embedding and BGE Reranker model family.</w:t>
      </w:r>
    </w:p>
    <w:p>
      <w:pPr>
        <w:spacing w:line="30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[7] DeepSeek API Documentation. OpenAI-compatible chat completion interface.</w:t>
      </w:r>
    </w:p>
    <w:p>
      <w:pPr>
        <w:pStyle w:val="Heading1"/>
      </w:pPr>
      <w:r>
        <w:rPr>
          <w:rFonts w:ascii="Microsoft YaHei" w:hAnsi="Microsoft YaHei" w:eastAsia="Microsoft YaHei"/>
        </w:rPr>
        <w:t>附录A：待贴图位置说明</w:t>
      </w:r>
    </w:p>
    <w:p>
      <w:pPr>
        <w:spacing w:line="30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本文档已内置前端占位图。最终提交前建议将其替换为真实网页截图，并在第5章补入最新metrics.json截图或表格。若提供截图和复测结果，可继续生成V2.1终稿。</w:t>
      </w:r>
    </w:p>
    <w:sectPr w:rsidR="00FC693F" w:rsidRPr="0006063C" w:rsidSect="00034616">
      <w:pgSz w:w="12240" w:h="15840"/>
      <w:pgMar w:top="1080" w:right="1123" w:bottom="1080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