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100"/>
        <w:jc w:val="center"/>
      </w:pPr>
      <w:r>
        <w:rPr>
          <w:rFonts w:ascii="黑体" w:hAnsi="黑体" w:eastAsia="黑体"/>
          <w:b/>
          <w:color w:val="173F59"/>
          <w:sz w:val="64"/>
        </w:rPr>
        <w:t>PathGuard</w:t>
      </w:r>
    </w:p>
    <w:p>
      <w:pPr>
        <w:spacing w:before="160" w:after="0"/>
        <w:jc w:val="center"/>
      </w:pPr>
      <w:r>
        <w:rPr>
          <w:rFonts w:ascii="黑体" w:hAnsi="黑体" w:eastAsia="黑体"/>
          <w:b/>
          <w:color w:val="000000"/>
          <w:sz w:val="40"/>
        </w:rPr>
        <w:t>工程车辆候选轨迹验证优先级工作台</w:t>
      </w:r>
    </w:p>
    <w:p>
      <w:pPr>
        <w:spacing w:before="300"/>
        <w:jc w:val="center"/>
      </w:pPr>
      <w:r>
        <w:rPr>
          <w:rFonts w:ascii="宋体" w:hAnsi="宋体" w:eastAsia="宋体"/>
          <w:color w:val="4B4B4B"/>
          <w:sz w:val="24"/>
        </w:rPr>
        <w:t>面向工程机械研发与验证流程的离线决策辅助产品</w:t>
      </w:r>
    </w:p>
    <w:p>
      <w:pPr>
        <w:spacing w:before="900"/>
        <w:jc w:val="center"/>
      </w:pPr>
      <w:r>
        <w:rPr>
          <w:rFonts w:ascii="宋体" w:hAnsi="宋体" w:eastAsia="宋体"/>
          <w:color w:val="323232"/>
          <w:sz w:val="22"/>
        </w:rPr>
        <w:t>第十五届中国创新创业大赛 “AI+工程机械” 专业赛</w:t>
        <w:br/>
        <w:t>AI+产品方向 · 项目计划书</w:t>
      </w:r>
    </w:p>
    <w:p>
      <w:pPr>
        <w:spacing w:before="2600"/>
        <w:jc w:val="center"/>
      </w:pPr>
      <w:r>
        <w:rPr>
          <w:rFonts w:ascii="宋体" w:hAnsi="宋体" w:eastAsia="宋体"/>
          <w:color w:val="555555"/>
          <w:sz w:val="20"/>
        </w:rPr>
        <w:t>正式版 v3  |  2026年9月</w:t>
      </w:r>
    </w:p>
    <w:p>
      <w:r>
        <w:br w:type="page"/>
      </w:r>
    </w:p>
    <w:p>
      <w:pPr>
        <w:pStyle w:val="Heading1"/>
      </w:pPr>
      <w:r>
        <w:rPr>
          <w:rFonts w:ascii="宋体" w:hAnsi="宋体" w:eastAsia="宋体"/>
          <w:b w:val="0"/>
          <w:i w:val="0"/>
          <w:color w:val="000000"/>
          <w:sz w:val="32"/>
        </w:rPr>
        <w:t>项目摘要</w:t>
      </w:r>
    </w:p>
    <w:p>
      <w:pPr>
        <w:keepLines/>
      </w:pPr>
      <w:r>
        <w:rPr>
          <w:rFonts w:ascii="宋体" w:hAnsi="宋体" w:eastAsia="宋体"/>
          <w:b w:val="0"/>
          <w:i w:val="0"/>
          <w:color w:val="242424"/>
          <w:sz w:val="21"/>
        </w:rPr>
        <w:t>工程车辆规划系统会生成多条候选路线，但路线进入闭环仿真、测试排期或实车验证之前，研发人员仍要判断“先看哪一条、为什么、缺少什么证据”。仅按路线长度或单一工程阈值排序，难以同时利用历史失败样本、多个轨迹指标和现场边界信息；只给一个模型分数，又无法解释工程师应采取的下一步动作。</w:t>
      </w:r>
    </w:p>
    <w:p>
      <w:pPr>
        <w:keepLines/>
      </w:pPr>
      <w:r>
        <w:rPr>
          <w:rFonts w:ascii="宋体" w:hAnsi="宋体" w:eastAsia="宋体"/>
          <w:b w:val="0"/>
          <w:i w:val="0"/>
          <w:color w:val="242424"/>
          <w:sz w:val="21"/>
        </w:rPr>
        <w:t>PathGuard 是面向工程车辆规划、测试和项目交付团队的</w:t>
      </w:r>
      <w:r>
        <w:rPr>
          <w:rFonts w:ascii="宋体" w:hAnsi="宋体" w:eastAsia="宋体"/>
          <w:b/>
          <w:i w:val="0"/>
          <w:color w:val="242424"/>
          <w:sz w:val="21"/>
        </w:rPr>
        <w:t>离线候选轨迹验证优先级工作台</w:t>
      </w:r>
      <w:r>
        <w:rPr>
          <w:rFonts w:ascii="宋体" w:hAnsi="宋体" w:eastAsia="宋体"/>
          <w:b w:val="0"/>
          <w:i w:val="0"/>
          <w:color w:val="242424"/>
          <w:sz w:val="21"/>
        </w:rPr>
        <w:t>。它读取执行前路线特征与车辆结构，利用冻结的55维特征模型对历史失败风险进行排序，同时给出独立工程规则提示；对于经过严格数据检查的真实边界坐标，可根据操作者确认的车长、车宽和参考点位置，估算局部横断面余量。系统再把结构未定、模型与规则冲突、P0风险及可信边界越界等情形纳入人工复核队列，并保留验证结果。</w:t>
      </w:r>
    </w:p>
    <w:p>
      <w:pPr>
        <w:keepLines/>
      </w:pPr>
      <w:r>
        <w:rPr>
          <w:rFonts w:ascii="宋体" w:hAnsi="宋体" w:eastAsia="宋体"/>
          <w:b w:val="0"/>
          <w:i w:val="0"/>
          <w:color w:val="242424"/>
          <w:sz w:val="21"/>
        </w:rPr>
        <w:t>项目已形成可运行的本地演示、冻结数据口径、离线对照分析、路线几何交互和本机验证记录链路。当前证据仍属于历史数据回顾性分析：尚未证明真实规划批次内的选路增益，也没有实车部署或客户节时数据。因此，PathGuard定位为</w:t>
      </w:r>
      <w:r>
        <w:rPr>
          <w:rFonts w:ascii="宋体" w:hAnsi="宋体" w:eastAsia="宋体"/>
          <w:b/>
          <w:i w:val="0"/>
          <w:color w:val="242424"/>
          <w:sz w:val="21"/>
        </w:rPr>
        <w:t>工程验证决策辅助原型</w:t>
      </w:r>
      <w:r>
        <w:rPr>
          <w:rFonts w:ascii="宋体" w:hAnsi="宋体" w:eastAsia="宋体"/>
          <w:b w:val="0"/>
          <w:i w:val="0"/>
          <w:color w:val="242424"/>
          <w:sz w:val="21"/>
        </w:rPr>
        <w:t>，不直接控制车辆，不替代仿真、人工复核或实车测试，也不是安全认证器。</w:t>
      </w:r>
    </w:p>
    <w:p>
      <w:pPr>
        <w:pStyle w:val="Heading1"/>
      </w:pPr>
      <w:r>
        <w:rPr>
          <w:rFonts w:ascii="宋体" w:hAnsi="宋体" w:eastAsia="宋体"/>
          <w:b w:val="0"/>
          <w:i w:val="0"/>
          <w:color w:val="000000"/>
          <w:sz w:val="32"/>
        </w:rPr>
        <w:t>一、行业问题与产品机会</w:t>
      </w:r>
    </w:p>
    <w:p>
      <w:pPr>
        <w:pStyle w:val="Heading2"/>
      </w:pPr>
      <w:r>
        <w:rPr>
          <w:rFonts w:ascii="宋体" w:hAnsi="宋体" w:eastAsia="宋体"/>
          <w:b w:val="0"/>
          <w:i w:val="0"/>
          <w:color w:val="000000"/>
          <w:sz w:val="26"/>
        </w:rPr>
        <w:t>1. 候选生成之后仍有一段高成本的判断工作</w:t>
      </w:r>
    </w:p>
    <w:p>
      <w:pPr>
        <w:keepLines/>
      </w:pPr>
      <w:r>
        <w:rPr>
          <w:rFonts w:ascii="宋体" w:hAnsi="宋体" w:eastAsia="宋体"/>
          <w:b w:val="0"/>
          <w:i w:val="0"/>
          <w:color w:val="242424"/>
          <w:sz w:val="21"/>
        </w:rPr>
        <w:t>一位匿名工程车辆规划与测试相关人员在项目共创反馈中描述：算法内部可能产生几十到几百条候选轨迹；经过硬约束筛选后，工程师通常真正需要看的约为5至30条，重点复核最好控制在Top-10左右。该反馈是一例定性访谈，说明值得验证的工作流假设，不构成行业统计结论。</w:t>
      </w:r>
    </w:p>
    <w:p>
      <w:pPr>
        <w:keepLines/>
      </w:pPr>
      <w:r>
        <w:rPr>
          <w:rFonts w:ascii="宋体" w:hAnsi="宋体" w:eastAsia="宋体"/>
          <w:b w:val="0"/>
          <w:i w:val="0"/>
          <w:color w:val="242424"/>
          <w:sz w:val="21"/>
        </w:rPr>
        <w:t>对工程团队而言，关键挑战不仅是“能否算出路线”，还包括场景数据是否可信、失败案例由什么因素触发、仿真与实车差异如何解释，以及有限测试资源该投向哪些路线。路径长度只是一个目标；边界余量、车辆外廓、曲率与速度耦合、坡度、转向变化、定位和地图时效等证据都会影响复核顺序。</w:t>
      </w:r>
    </w:p>
    <w:p>
      <w:pPr>
        <w:pStyle w:val="Heading2"/>
      </w:pPr>
      <w:r>
        <w:rPr>
          <w:rFonts w:ascii="宋体" w:hAnsi="宋体" w:eastAsia="宋体"/>
          <w:b w:val="0"/>
          <w:i w:val="0"/>
          <w:color w:val="000000"/>
          <w:sz w:val="26"/>
        </w:rPr>
        <w:t>2. 当前流程的三个断点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0E5"/>
          <w:left w:val="single" w:sz="4" w:space="0" w:color="D9E0E5"/>
          <w:bottom w:val="single" w:sz="4" w:space="0" w:color="D9E0E5"/>
          <w:right w:val="single" w:sz="4" w:space="0" w:color="D9E0E5"/>
          <w:insideH w:val="single" w:sz="4" w:space="0" w:color="D9E0E5"/>
          <w:insideV w:val="single" w:sz="4" w:space="0" w:color="D9E0E5"/>
        </w:tblBorders>
      </w:tblPr>
      <w:tblGrid>
        <w:gridCol w:w="3221"/>
        <w:gridCol w:w="3221"/>
        <w:gridCol w:w="3221"/>
      </w:tblGrid>
      <w:tr>
        <w:trPr>
          <w:tblHeader w:val="true"/>
        </w:trPr>
        <w:tc>
          <w:tcPr>
            <w:tcW w:type="dxa" w:w="3221"/>
            <w:vAlign w:val="center"/>
            <w:shd w:fill="173F59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6"/>
              </w:rPr>
              <w:t>断点</w:t>
            </w:r>
          </w:p>
        </w:tc>
        <w:tc>
          <w:tcPr>
            <w:tcW w:type="dxa" w:w="3221"/>
            <w:vAlign w:val="center"/>
            <w:shd w:fill="173F59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6"/>
              </w:rPr>
              <w:t>工程影响</w:t>
            </w:r>
          </w:p>
        </w:tc>
        <w:tc>
          <w:tcPr>
            <w:tcW w:type="dxa" w:w="3221"/>
            <w:vAlign w:val="center"/>
            <w:shd w:fill="173F59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6"/>
              </w:rPr>
              <w:t>PathGuard 的应对</w:t>
            </w:r>
          </w:p>
        </w:tc>
      </w:tr>
      <w:tr>
        <w:trPr>
          <w:cantSplit/>
        </w:trPr>
        <w:tc>
          <w:tcPr>
            <w:tcW w:type="dxa" w:w="32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42424"/>
                <w:sz w:val="16"/>
              </w:rPr>
              <w:t>候选路线与验证资源不匹配</w:t>
            </w:r>
          </w:p>
        </w:tc>
        <w:tc>
          <w:tcPr>
            <w:tcW w:type="dxa" w:w="32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42424"/>
                <w:sz w:val="16"/>
              </w:rPr>
              <w:t>大量相似或低价值路线占用逐条查看和仿真预算</w:t>
            </w:r>
          </w:p>
        </w:tc>
        <w:tc>
          <w:tcPr>
            <w:tcW w:type="dxa" w:w="32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42424"/>
                <w:sz w:val="16"/>
              </w:rPr>
              <w:t>将候选路线组织成可调整的优先复核队列；真实批次收益仍待验证</w:t>
            </w:r>
          </w:p>
        </w:tc>
      </w:tr>
      <w:tr>
        <w:trPr>
          <w:cantSplit/>
        </w:trPr>
        <w:tc>
          <w:tcPr>
            <w:tcW w:type="dxa" w:w="32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9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42424"/>
                <w:sz w:val="16"/>
              </w:rPr>
              <w:t>结果只有分数、没有位置和原因</w:t>
            </w:r>
          </w:p>
        </w:tc>
        <w:tc>
          <w:tcPr>
            <w:tcW w:type="dxa" w:w="32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9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42424"/>
                <w:sz w:val="16"/>
              </w:rPr>
              <w:t>工程师还要翻日志、地图和指标，难以形成动作</w:t>
            </w:r>
          </w:p>
        </w:tc>
        <w:tc>
          <w:tcPr>
            <w:tcW w:type="dxa" w:w="32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9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42424"/>
                <w:sz w:val="16"/>
              </w:rPr>
              <w:t>展示指标证据、原始路线关注点、局部边界余量及下一步建议</w:t>
            </w:r>
          </w:p>
        </w:tc>
      </w:tr>
      <w:tr>
        <w:trPr>
          <w:cantSplit/>
        </w:trPr>
        <w:tc>
          <w:tcPr>
            <w:tcW w:type="dxa" w:w="32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42424"/>
                <w:sz w:val="16"/>
              </w:rPr>
              <w:t>数据或车辆配置不完整</w:t>
            </w:r>
          </w:p>
        </w:tc>
        <w:tc>
          <w:tcPr>
            <w:tcW w:type="dxa" w:w="32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42424"/>
                <w:sz w:val="16"/>
              </w:rPr>
              <w:t>车型不明、边界含义不清时容易形成虚假确定性</w:t>
            </w:r>
          </w:p>
        </w:tc>
        <w:tc>
          <w:tcPr>
            <w:tcW w:type="dxa" w:w="32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42424"/>
                <w:sz w:val="16"/>
              </w:rPr>
              <w:t>显示证据等级；缺证据或结构未定时转人工核验，拒绝给出确定结论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宋体" w:hAnsi="宋体" w:eastAsia="宋体"/>
          <w:b w:val="0"/>
          <w:i w:val="0"/>
          <w:color w:val="000000"/>
          <w:sz w:val="32"/>
        </w:rPr>
        <w:t>二、产品定位与目标用户</w:t>
      </w:r>
    </w:p>
    <w:p>
      <w:pPr>
        <w:keepLines/>
      </w:pPr>
      <w:r>
        <w:rPr>
          <w:rFonts w:ascii="宋体" w:hAnsi="宋体" w:eastAsia="宋体"/>
          <w:b w:val="0"/>
          <w:i w:val="0"/>
          <w:color w:val="242424"/>
          <w:sz w:val="21"/>
        </w:rPr>
        <w:t>PathGuard 位于候选路线生成之后、闭环仿真及实车验证之前。其核心交付是</w:t>
      </w:r>
      <w:r>
        <w:rPr>
          <w:rFonts w:ascii="宋体" w:hAnsi="宋体" w:eastAsia="宋体"/>
          <w:b/>
          <w:i w:val="0"/>
          <w:color w:val="242424"/>
          <w:sz w:val="21"/>
        </w:rPr>
        <w:t>带理由和证据状态的验证清单</w:t>
      </w:r>
      <w:r>
        <w:rPr>
          <w:rFonts w:ascii="宋体" w:hAnsi="宋体" w:eastAsia="宋体"/>
          <w:b w:val="0"/>
          <w:i w:val="0"/>
          <w:color w:val="242424"/>
          <w:sz w:val="21"/>
        </w:rPr>
        <w:t>，而不是替规划器生成路线或替控制器执行车辆动作。</w:t>
      </w:r>
    </w:p>
    <w:p>
      <w:pPr>
        <w:keepLines/>
      </w:pPr>
      <w:r>
        <w:rPr>
          <w:rFonts w:ascii="宋体" w:hAnsi="宋体" w:eastAsia="宋体"/>
          <w:b w:val="0"/>
          <w:i w:val="0"/>
          <w:color w:val="242424"/>
          <w:sz w:val="21"/>
        </w:rPr>
        <w:t>目标使用者包括：</w:t>
      </w:r>
    </w:p>
    <w:p>
      <w:pPr>
        <w:pStyle w:val="ListBullet"/>
        <w:spacing w:after="60"/>
        <w:ind w:left="346" w:hanging="230"/>
      </w:pPr>
      <w:r>
        <w:rPr>
          <w:rFonts w:ascii="宋体" w:hAnsi="宋体" w:eastAsia="宋体"/>
          <w:b w:val="0"/>
          <w:i w:val="0"/>
          <w:color w:val="242424"/>
          <w:sz w:val="20"/>
        </w:rPr>
        <w:t>工程车辆规划算法工程师：筛选下一轮值得复核的候选路线；</w:t>
      </w:r>
    </w:p>
    <w:p>
      <w:pPr>
        <w:pStyle w:val="ListBullet"/>
        <w:spacing w:after="60"/>
        <w:ind w:left="346" w:hanging="230"/>
      </w:pPr>
      <w:r>
        <w:rPr>
          <w:rFonts w:ascii="宋体" w:hAnsi="宋体" w:eastAsia="宋体"/>
          <w:b w:val="0"/>
          <w:i w:val="0"/>
          <w:color w:val="242424"/>
          <w:sz w:val="20"/>
        </w:rPr>
        <w:t>仿真和测试工程师：定位异常指标与几何边界位置，安排补测或回放；</w:t>
      </w:r>
    </w:p>
    <w:p>
      <w:pPr>
        <w:pStyle w:val="ListBullet"/>
        <w:spacing w:after="60"/>
        <w:ind w:left="346" w:hanging="230"/>
      </w:pPr>
      <w:r>
        <w:rPr>
          <w:rFonts w:ascii="宋体" w:hAnsi="宋体" w:eastAsia="宋体"/>
          <w:b w:val="0"/>
          <w:i w:val="0"/>
          <w:color w:val="242424"/>
          <w:sz w:val="20"/>
        </w:rPr>
        <w:t>项目交付与客户共创人员：把风险证据、未决问题和验证动作整理为可沟通记录。</w:t>
      </w:r>
    </w:p>
    <w:p>
      <w:pPr>
        <w:keepLines/>
      </w:pPr>
      <w:r>
        <w:rPr>
          <w:rFonts w:ascii="宋体" w:hAnsi="宋体" w:eastAsia="宋体"/>
          <w:b w:val="0"/>
          <w:i w:val="0"/>
          <w:color w:val="242424"/>
          <w:sz w:val="21"/>
        </w:rPr>
        <w:t>产品演示按客户理解路径分成三层：</w:t>
      </w:r>
      <w:r>
        <w:rPr>
          <w:rFonts w:ascii="宋体" w:hAnsi="宋体" w:eastAsia="宋体"/>
          <w:b/>
          <w:i w:val="0"/>
          <w:color w:val="242424"/>
          <w:sz w:val="21"/>
        </w:rPr>
        <w:t>首页</w:t>
      </w:r>
      <w:r>
        <w:rPr>
          <w:rFonts w:ascii="宋体" w:hAnsi="宋体" w:eastAsia="宋体"/>
          <w:b w:val="0"/>
          <w:i w:val="0"/>
          <w:color w:val="242424"/>
          <w:sz w:val="21"/>
        </w:rPr>
        <w:t>说明产品解决的工作问题；</w:t>
      </w:r>
      <w:r>
        <w:rPr>
          <w:rFonts w:ascii="宋体" w:hAnsi="宋体" w:eastAsia="宋体"/>
          <w:b/>
          <w:i w:val="0"/>
          <w:color w:val="242424"/>
          <w:sz w:val="21"/>
        </w:rPr>
        <w:t>产品介绍</w:t>
      </w:r>
      <w:r>
        <w:rPr>
          <w:rFonts w:ascii="宋体" w:hAnsi="宋体" w:eastAsia="宋体"/>
          <w:b w:val="0"/>
          <w:i w:val="0"/>
          <w:color w:val="242424"/>
          <w:sz w:val="21"/>
        </w:rPr>
        <w:t>说明输入、决策与交付；</w:t>
      </w:r>
      <w:r>
        <w:rPr>
          <w:rFonts w:ascii="宋体" w:hAnsi="宋体" w:eastAsia="宋体"/>
          <w:b/>
          <w:i w:val="0"/>
          <w:color w:val="242424"/>
          <w:sz w:val="21"/>
        </w:rPr>
        <w:t>风险工作台</w:t>
      </w:r>
      <w:r>
        <w:rPr>
          <w:rFonts w:ascii="宋体" w:hAnsi="宋体" w:eastAsia="宋体"/>
          <w:b w:val="0"/>
          <w:i w:val="0"/>
          <w:color w:val="242424"/>
          <w:sz w:val="21"/>
        </w:rPr>
        <w:t>提供候选路线、路线分析和验证证据。工作台内部先显示通俗结论，再展开模型、规则、指标和几何细节。</w:t>
      </w:r>
    </w:p>
    <w:p>
      <w:pPr>
        <w:pStyle w:val="Heading1"/>
      </w:pPr>
      <w:r>
        <w:rPr>
          <w:rFonts w:ascii="宋体" w:hAnsi="宋体" w:eastAsia="宋体"/>
          <w:b w:val="0"/>
          <w:i w:val="0"/>
          <w:color w:val="000000"/>
          <w:sz w:val="32"/>
        </w:rPr>
        <w:t>三、产品工作流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E0E5"/>
          <w:left w:val="single" w:sz="4" w:space="0" w:color="D9E0E5"/>
          <w:bottom w:val="single" w:sz="4" w:space="0" w:color="D9E0E5"/>
          <w:right w:val="single" w:sz="4" w:space="0" w:color="D9E0E5"/>
          <w:insideH w:val="single" w:sz="4" w:space="0" w:color="D9E0E5"/>
          <w:insideV w:val="single" w:sz="4" w:space="0" w:color="D9E0E5"/>
        </w:tblBorders>
      </w:tblPr>
      <w:tblGrid>
        <w:gridCol w:w="9663"/>
      </w:tblGrid>
      <w:tr>
        <w:tc>
          <w:tcPr>
            <w:tcW w:type="dxa" w:w="9663"/>
            <w:shd w:fill="F1F4F6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宋体"/>
                <w:color w:val="233947"/>
                <w:sz w:val="17"/>
              </w:rPr>
              <w:t>导入执行前路线特征或原始NPZ</w:t>
              <w:br/>
              <w:t xml:space="preserve">            ↓</w:t>
              <w:br/>
              <w:t>校验55维契约、路线坐标、车辆结构和证据状态</w:t>
              <w:br/>
              <w:t xml:space="preserve">            ↓</w:t>
              <w:br/>
              <w:t>学习模型排序 ─── 独立工程规则交叉检查</w:t>
              <w:br/>
              <w:t xml:space="preserve">            ↓                    ↓</w:t>
              <w:br/>
              <w:t>显示优先级、原因、风险位置与冲突状态</w:t>
              <w:br/>
              <w:t xml:space="preserve">            ↓</w:t>
              <w:br/>
              <w:t>可信边界通过筛查且尺寸经确认时，估算局部横断面余量</w:t>
              <w:br/>
              <w:t xml:space="preserve">            ↓</w:t>
              <w:br/>
              <w:t>强制复核项 + 常规Top-K队列</w:t>
              <w:br/>
              <w:t xml:space="preserve">            ↓</w:t>
              <w:br/>
              <w:t>人工复核、闭环仿真、实车测试或客户共创</w:t>
              <w:br/>
              <w:t xml:space="preserve">            ↓</w:t>
              <w:br/>
              <w:t>将验证方式、结果和备注保存为本机可追溯记录</w:t>
            </w:r>
          </w:p>
        </w:tc>
      </w:tr>
    </w:tbl>
    <w:p>
      <w:pPr>
        <w:spacing w:after="20"/>
      </w:pPr>
    </w:p>
    <w:p>
      <w:pPr>
        <w:keepLines/>
      </w:pPr>
      <w:r>
        <w:rPr>
          <w:rFonts w:ascii="宋体" w:hAnsi="宋体" w:eastAsia="宋体"/>
          <w:b w:val="0"/>
          <w:i w:val="0"/>
          <w:color w:val="242424"/>
          <w:sz w:val="21"/>
        </w:rPr>
        <w:t>验证队列由两部分组成：必须复核的路线，以及按模型分数补足的常规Top-K路线。必须复核项包括结构未定、模型与规则冲突、进入P0等级及可信边界估算越界的路线。强制项可能使总条数超过Top-K，界面显示各条入队原因，不静默挤出风险证据。</w:t>
      </w:r>
    </w:p>
    <w:p>
      <w:pPr>
        <w:pStyle w:val="Heading1"/>
      </w:pPr>
      <w:r>
        <w:rPr>
          <w:rFonts w:ascii="宋体" w:hAnsi="宋体" w:eastAsia="宋体"/>
          <w:b w:val="0"/>
          <w:i w:val="0"/>
          <w:color w:val="000000"/>
          <w:sz w:val="32"/>
        </w:rPr>
        <w:t>四、系统与算法设计</w:t>
      </w:r>
    </w:p>
    <w:p>
      <w:pPr>
        <w:pStyle w:val="Heading2"/>
      </w:pPr>
      <w:r>
        <w:rPr>
          <w:rFonts w:ascii="宋体" w:hAnsi="宋体" w:eastAsia="宋体"/>
          <w:b w:val="0"/>
          <w:i w:val="0"/>
          <w:color w:val="000000"/>
          <w:sz w:val="26"/>
        </w:rPr>
        <w:t>1. 输入契约与数据处理</w:t>
      </w:r>
    </w:p>
    <w:p>
      <w:pPr>
        <w:keepLines/>
      </w:pPr>
      <w:r>
        <w:rPr>
          <w:rFonts w:ascii="宋体" w:hAnsi="宋体" w:eastAsia="宋体"/>
          <w:b w:val="0"/>
          <w:i w:val="0"/>
          <w:color w:val="242424"/>
          <w:sz w:val="21"/>
        </w:rPr>
        <w:t xml:space="preserve">冻结特征版本为 </w:t>
      </w:r>
      <w:r>
        <w:rPr>
          <w:rFonts w:ascii="Consolas" w:hAnsi="Consolas" w:eastAsia="宋体"/>
          <w:b w:val="0"/>
          <w:i w:val="0"/>
          <w:color w:val="242424"/>
          <w:sz w:val="21"/>
        </w:rPr>
        <w:t>pathguard_preexec_v2.0.0</w:t>
      </w:r>
      <w:r>
        <w:rPr>
          <w:rFonts w:ascii="宋体" w:hAnsi="宋体" w:eastAsia="宋体"/>
          <w:b w:val="0"/>
          <w:i w:val="0"/>
          <w:color w:val="242424"/>
          <w:sz w:val="21"/>
        </w:rPr>
        <w:t xml:space="preserve">，Schema SHA-256 为 </w:t>
      </w:r>
      <w:r>
        <w:rPr>
          <w:rFonts w:ascii="Consolas" w:hAnsi="Consolas" w:eastAsia="宋体"/>
          <w:b w:val="0"/>
          <w:i w:val="0"/>
          <w:color w:val="242424"/>
          <w:sz w:val="21"/>
        </w:rPr>
        <w:t>b365d5b00779cc9f1e2858e695f0063112d94771a2cbc611c734d1110983d334</w:t>
      </w:r>
      <w:r>
        <w:rPr>
          <w:rFonts w:ascii="宋体" w:hAnsi="宋体" w:eastAsia="宋体"/>
          <w:b w:val="0"/>
          <w:i w:val="0"/>
          <w:color w:val="242424"/>
          <w:sz w:val="21"/>
        </w:rPr>
        <w:t>。模型输入是按顺序校验的55项有限数值特征，覆盖路线采样与长度、曲率及变化、坡度、速度与曲率耦合、横向加速度代理、转向、横摆、静态边界净空和10米局部窗口统计等。</w:t>
      </w:r>
    </w:p>
    <w:p>
      <w:pPr>
        <w:keepLines/>
      </w:pPr>
      <w:r>
        <w:rPr>
          <w:rFonts w:ascii="宋体" w:hAnsi="宋体" w:eastAsia="宋体"/>
          <w:b w:val="0"/>
          <w:i w:val="0"/>
          <w:color w:val="242424"/>
          <w:sz w:val="21"/>
        </w:rPr>
        <w:t>CSV输入必须完整符合冻结字段契约；原始NPZ上传则复用冻结的执行前特征提取脚本。车型结构、地图编号、标签状态及文件哈希作为元数据记录，不进入模型特征矩阵。缺列、错误版本、非有限值或损坏输入均应拒绝评分并给出原因。</w:t>
      </w:r>
    </w:p>
    <w:p>
      <w:pPr>
        <w:pStyle w:val="Heading2"/>
      </w:pPr>
      <w:r>
        <w:rPr>
          <w:rFonts w:ascii="宋体" w:hAnsi="宋体" w:eastAsia="宋体"/>
          <w:b w:val="0"/>
          <w:i w:val="0"/>
          <w:color w:val="000000"/>
          <w:sz w:val="26"/>
        </w:rPr>
        <w:t>2. 学习模型与工程规则分工</w:t>
      </w:r>
    </w:p>
    <w:p>
      <w:pPr>
        <w:keepLines/>
      </w:pPr>
      <w:r>
        <w:rPr>
          <w:rFonts w:ascii="宋体" w:hAnsi="宋体" w:eastAsia="宋体"/>
          <w:b w:val="0"/>
          <w:i w:val="0"/>
          <w:color w:val="242424"/>
          <w:sz w:val="21"/>
        </w:rPr>
        <w:t xml:space="preserve">学习模型使用HistGradientBoosting分类器。标签定义为 </w:t>
      </w:r>
      <w:r>
        <w:rPr>
          <w:rFonts w:ascii="Consolas" w:hAnsi="Consolas" w:eastAsia="宋体"/>
          <w:b w:val="0"/>
          <w:i w:val="0"/>
          <w:color w:val="242424"/>
          <w:sz w:val="21"/>
        </w:rPr>
        <w:t>1=通过、0=失败</w:t>
      </w:r>
      <w:r>
        <w:rPr>
          <w:rFonts w:ascii="宋体" w:hAnsi="宋体" w:eastAsia="宋体"/>
          <w:b w:val="0"/>
          <w:i w:val="0"/>
          <w:color w:val="242424"/>
          <w:sz w:val="21"/>
        </w:rPr>
        <w:t>，界面把失败类别输出作为</w:t>
      </w:r>
      <w:r>
        <w:rPr>
          <w:rFonts w:ascii="宋体" w:hAnsi="宋体" w:eastAsia="宋体"/>
          <w:b/>
          <w:i w:val="0"/>
          <w:color w:val="242424"/>
          <w:sz w:val="21"/>
        </w:rPr>
        <w:t>历史失败风险排序分数</w:t>
      </w:r>
      <w:r>
        <w:rPr>
          <w:rFonts w:ascii="宋体" w:hAnsi="宋体" w:eastAsia="宋体"/>
          <w:b w:val="0"/>
          <w:i w:val="0"/>
          <w:color w:val="242424"/>
          <w:sz w:val="21"/>
        </w:rPr>
        <w:t>。由于测试集规模和分布限制，界面不得把它解释成可靠的物理碰撞概率或现场失效概率。</w:t>
      </w:r>
    </w:p>
    <w:p>
      <w:pPr>
        <w:keepLines/>
      </w:pPr>
      <w:r>
        <w:rPr>
          <w:rFonts w:ascii="宋体" w:hAnsi="宋体" w:eastAsia="宋体"/>
          <w:b w:val="0"/>
          <w:i w:val="0"/>
          <w:color w:val="242424"/>
          <w:sz w:val="21"/>
        </w:rPr>
        <w:t>固定工程规则使用冻结开发集参考分布，对曲率、速度—曲率耦合、横向加速度代理、转向、横摆、坡度和边界净空等指标提供独立应力提示。该提示不是模型特征归因，也不是失败概率。当前主排序保留学习模型；规则独立用于交叉检查。模型和规则差值达到0.25时触发人工复核，这一阈值是待验证的工作流启发式设定，不宣称为最优阈值。</w:t>
      </w:r>
    </w:p>
    <w:p>
      <w:pPr>
        <w:keepLines/>
      </w:pPr>
      <w:r>
        <w:rPr>
          <w:rFonts w:ascii="宋体" w:hAnsi="宋体" w:eastAsia="宋体"/>
          <w:b w:val="0"/>
          <w:i w:val="0"/>
          <w:color w:val="242424"/>
          <w:sz w:val="21"/>
        </w:rPr>
        <w:t>产品没有把车长、车宽或车辆质量塞进现有学习模型。长、宽和参考点位置用于独立几何计算，不改变55维模型分数；质量字段已删除，因为当前没有载荷分布、质心、轮胎附着、制动和动力学模型支撑质量效应计算。</w:t>
      </w:r>
    </w:p>
    <w:p>
      <w:pPr>
        <w:pStyle w:val="Heading2"/>
      </w:pPr>
      <w:r>
        <w:rPr>
          <w:rFonts w:ascii="宋体" w:hAnsi="宋体" w:eastAsia="宋体"/>
          <w:b w:val="0"/>
          <w:i w:val="0"/>
          <w:color w:val="000000"/>
          <w:sz w:val="26"/>
        </w:rPr>
        <w:t>3. 车身外廓和边界余量</w:t>
      </w:r>
    </w:p>
    <w:p>
      <w:pPr>
        <w:keepLines/>
      </w:pPr>
      <w:r>
        <w:rPr>
          <w:rFonts w:ascii="宋体" w:hAnsi="宋体" w:eastAsia="宋体"/>
          <w:b w:val="0"/>
          <w:i w:val="0"/>
          <w:color w:val="242424"/>
          <w:sz w:val="21"/>
        </w:rPr>
        <w:t xml:space="preserve">对具有米制 </w:t>
      </w:r>
      <w:r>
        <w:rPr>
          <w:rFonts w:ascii="Consolas" w:hAnsi="Consolas" w:eastAsia="宋体"/>
          <w:b w:val="0"/>
          <w:i w:val="0"/>
          <w:color w:val="242424"/>
          <w:sz w:val="21"/>
        </w:rPr>
        <w:t>x/y</w:t>
      </w:r>
      <w:r>
        <w:rPr>
          <w:rFonts w:ascii="宋体" w:hAnsi="宋体" w:eastAsia="宋体"/>
          <w:b w:val="0"/>
          <w:i w:val="0"/>
          <w:color w:val="242424"/>
          <w:sz w:val="21"/>
        </w:rPr>
        <w:t xml:space="preserve"> 和逐点航向角的路线，系统按输入车长、车宽和“参考点距车尾”计算刚性矩形四角随路线运动的扫掠轨迹。改变尺寸会直接改变外廓图；只有可信边界样本才进一步计算边界余量。</w:t>
      </w:r>
    </w:p>
    <w:p>
      <w:pPr>
        <w:keepLines/>
      </w:pPr>
      <w:r>
        <w:rPr>
          <w:rFonts w:ascii="宋体" w:hAnsi="宋体" w:eastAsia="宋体"/>
          <w:b w:val="0"/>
          <w:i w:val="0"/>
          <w:color w:val="242424"/>
          <w:sz w:val="21"/>
        </w:rPr>
        <w:t xml:space="preserve">边界启用前依次检查：左右边界坐标到中心线的距离能否在 </w:t>
      </w:r>
      <w:r>
        <w:rPr>
          <w:rFonts w:ascii="Consolas" w:hAnsi="Consolas" w:eastAsia="宋体"/>
          <w:b w:val="0"/>
          <w:i w:val="0"/>
          <w:color w:val="242424"/>
          <w:sz w:val="21"/>
        </w:rPr>
        <w:t>1e-5 m</w:t>
      </w:r>
      <w:r>
        <w:rPr>
          <w:rFonts w:ascii="宋体" w:hAnsi="宋体" w:eastAsia="宋体"/>
          <w:b w:val="0"/>
          <w:i w:val="0"/>
          <w:color w:val="242424"/>
          <w:sz w:val="21"/>
        </w:rPr>
        <w:t xml:space="preserve"> 内复现相应净空数组；左右点是否位于行进方向定义的正确侧；左右次序及路线里程是否一致；边界点列与中心线的对应步长比是否满足保守筛查（P99.9≤3且最大值≤5）。目前仅3条五轴路线通过全部筛查。</w:t>
      </w:r>
    </w:p>
    <w:p>
      <w:pPr>
        <w:keepLines/>
      </w:pPr>
      <w:r>
        <w:rPr>
          <w:rFonts w:ascii="宋体" w:hAnsi="宋体" w:eastAsia="宋体"/>
          <w:b w:val="0"/>
          <w:i w:val="0"/>
          <w:color w:val="242424"/>
          <w:sz w:val="21"/>
        </w:rPr>
        <w:t>余量算法沿全分辨率路线，在四条车体外边上取16个横断面采样点，并将车头、车尾的纵向偏移映射到邻近路线里程，估算左、右局部剩余间隙。页面显示最小估算余量、所在里程、受影响侧、越界/低余量区间和建议动作。显示层不把它称作完整碰撞检查：算法没有验证完整二维走廊拓扑、自交、点间连续碰撞、铰接车辆姿态、轮胎/悬架或动力学。</w:t>
      </w:r>
    </w:p>
    <w:p>
      <w:pPr>
        <w:keepLines/>
      </w:pPr>
      <w:r>
        <w:rPr>
          <w:rFonts w:ascii="宋体" w:hAnsi="宋体" w:eastAsia="宋体"/>
          <w:b w:val="0"/>
          <w:i w:val="0"/>
          <w:color w:val="242424"/>
          <w:sz w:val="21"/>
        </w:rPr>
        <w:t>当路线只有示例尺寸或用户尚未确认尺寸时，系统明确标为假设参数，只显示条件性的矩形扫掠，不输出真实车型的尺寸风险结论。未通过边界检查的路线只展示路线和外廓，不推断虚构障碍物或边界结果。</w:t>
      </w:r>
    </w:p>
    <w:p>
      <w:pPr>
        <w:pStyle w:val="Heading1"/>
      </w:pPr>
      <w:r>
        <w:rPr>
          <w:rFonts w:ascii="宋体" w:hAnsi="宋体" w:eastAsia="宋体"/>
          <w:b w:val="0"/>
          <w:i w:val="0"/>
          <w:color w:val="000000"/>
          <w:sz w:val="32"/>
        </w:rPr>
        <w:t>五、数据基础与证据分层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0E5"/>
          <w:left w:val="single" w:sz="4" w:space="0" w:color="D9E0E5"/>
          <w:bottom w:val="single" w:sz="4" w:space="0" w:color="D9E0E5"/>
          <w:right w:val="single" w:sz="4" w:space="0" w:color="D9E0E5"/>
          <w:insideH w:val="single" w:sz="4" w:space="0" w:color="D9E0E5"/>
          <w:insideV w:val="single" w:sz="4" w:space="0" w:color="D9E0E5"/>
        </w:tblBorders>
      </w:tblPr>
      <w:tblGrid>
        <w:gridCol w:w="3221"/>
        <w:gridCol w:w="3221"/>
        <w:gridCol w:w="3221"/>
      </w:tblGrid>
      <w:tr>
        <w:trPr>
          <w:tblHeader w:val="true"/>
        </w:trPr>
        <w:tc>
          <w:tcPr>
            <w:tcW w:type="dxa" w:w="3221"/>
            <w:vAlign w:val="center"/>
            <w:shd w:fill="173F59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6"/>
              </w:rPr>
              <w:t>冻结事实</w:t>
            </w:r>
          </w:p>
        </w:tc>
        <w:tc>
          <w:tcPr>
            <w:tcW w:type="dxa" w:w="3221"/>
            <w:vAlign w:val="center"/>
            <w:shd w:fill="173F59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6"/>
              </w:rPr>
              <w:t>数量</w:t>
            </w:r>
          </w:p>
        </w:tc>
        <w:tc>
          <w:tcPr>
            <w:tcW w:type="dxa" w:w="3221"/>
            <w:vAlign w:val="center"/>
            <w:shd w:fill="173F59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6"/>
              </w:rPr>
              <w:t>解释</w:t>
            </w:r>
          </w:p>
        </w:tc>
      </w:tr>
      <w:tr>
        <w:trPr>
          <w:cantSplit/>
        </w:trPr>
        <w:tc>
          <w:tcPr>
            <w:tcW w:type="dxa" w:w="32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42424"/>
                <w:sz w:val="16"/>
              </w:rPr>
              <w:t>V3清单精确SHA-256匹配</w:t>
            </w:r>
          </w:p>
        </w:tc>
        <w:tc>
          <w:tcPr>
            <w:tcW w:type="dxa" w:w="32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42424"/>
                <w:sz w:val="16"/>
              </w:rPr>
              <w:t>451</w:t>
            </w:r>
          </w:p>
        </w:tc>
        <w:tc>
          <w:tcPr>
            <w:tcW w:type="dxa" w:w="32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42424"/>
                <w:sz w:val="16"/>
              </w:rPr>
              <w:t>按哈希与清单精确关联</w:t>
            </w:r>
          </w:p>
        </w:tc>
      </w:tr>
      <w:tr>
        <w:trPr>
          <w:cantSplit/>
        </w:trPr>
        <w:tc>
          <w:tcPr>
            <w:tcW w:type="dxa" w:w="32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9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42424"/>
                <w:sz w:val="16"/>
              </w:rPr>
              <w:t>成功提取执行前特征</w:t>
            </w:r>
          </w:p>
        </w:tc>
        <w:tc>
          <w:tcPr>
            <w:tcW w:type="dxa" w:w="32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9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42424"/>
                <w:sz w:val="16"/>
              </w:rPr>
              <w:t>437</w:t>
            </w:r>
          </w:p>
        </w:tc>
        <w:tc>
          <w:tcPr>
            <w:tcW w:type="dxa" w:w="32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9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42424"/>
                <w:sz w:val="16"/>
              </w:rPr>
              <w:t>不等于全部进入监督训练</w:t>
            </w:r>
          </w:p>
        </w:tc>
      </w:tr>
      <w:tr>
        <w:trPr>
          <w:cantSplit/>
        </w:trPr>
        <w:tc>
          <w:tcPr>
            <w:tcW w:type="dxa" w:w="32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42424"/>
                <w:sz w:val="16"/>
              </w:rPr>
              <w:t>最终监督样本</w:t>
            </w:r>
          </w:p>
        </w:tc>
        <w:tc>
          <w:tcPr>
            <w:tcW w:type="dxa" w:w="32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42424"/>
                <w:sz w:val="16"/>
              </w:rPr>
              <w:t>340</w:t>
            </w:r>
          </w:p>
        </w:tc>
        <w:tc>
          <w:tcPr>
            <w:tcW w:type="dxa" w:w="32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42424"/>
                <w:sz w:val="16"/>
              </w:rPr>
              <w:t>139通过、201失败；不能概称“340条现场实测”</w:t>
            </w:r>
          </w:p>
        </w:tc>
      </w:tr>
      <w:tr>
        <w:trPr>
          <w:cantSplit/>
        </w:trPr>
        <w:tc>
          <w:tcPr>
            <w:tcW w:type="dxa" w:w="32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9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42424"/>
                <w:sz w:val="16"/>
              </w:rPr>
              <w:t>五轴 / 六轴 / 结构未定</w:t>
            </w:r>
          </w:p>
        </w:tc>
        <w:tc>
          <w:tcPr>
            <w:tcW w:type="dxa" w:w="32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9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42424"/>
                <w:sz w:val="16"/>
              </w:rPr>
              <w:t>99 / 79 / 162</w:t>
            </w:r>
          </w:p>
        </w:tc>
        <w:tc>
          <w:tcPr>
            <w:tcW w:type="dxa" w:w="32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9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42424"/>
                <w:sz w:val="16"/>
              </w:rPr>
              <w:t>结构未定接近样本一半，保留拒判</w:t>
            </w:r>
          </w:p>
        </w:tc>
      </w:tr>
      <w:tr>
        <w:trPr>
          <w:cantSplit/>
        </w:trPr>
        <w:tc>
          <w:tcPr>
            <w:tcW w:type="dxa" w:w="32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42424"/>
                <w:sz w:val="16"/>
              </w:rPr>
              <w:t>数值特征</w:t>
            </w:r>
          </w:p>
        </w:tc>
        <w:tc>
          <w:tcPr>
            <w:tcW w:type="dxa" w:w="32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42424"/>
                <w:sz w:val="16"/>
              </w:rPr>
              <w:t>55</w:t>
            </w:r>
          </w:p>
        </w:tc>
        <w:tc>
          <w:tcPr>
            <w:tcW w:type="dxa" w:w="32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42424"/>
                <w:sz w:val="16"/>
              </w:rPr>
              <w:t>冻结输入契约</w:t>
            </w:r>
          </w:p>
        </w:tc>
      </w:tr>
      <w:tr>
        <w:trPr>
          <w:cantSplit/>
        </w:trPr>
        <w:tc>
          <w:tcPr>
            <w:tcW w:type="dxa" w:w="32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9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42424"/>
                <w:sz w:val="16"/>
              </w:rPr>
              <w:t>地图</w:t>
            </w:r>
          </w:p>
        </w:tc>
        <w:tc>
          <w:tcPr>
            <w:tcW w:type="dxa" w:w="32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9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42424"/>
                <w:sz w:val="16"/>
              </w:rPr>
              <w:t>25</w:t>
            </w:r>
          </w:p>
        </w:tc>
        <w:tc>
          <w:tcPr>
            <w:tcW w:type="dxa" w:w="32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9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42424"/>
                <w:sz w:val="16"/>
              </w:rPr>
              <w:t>地图分组验证单位</w:t>
            </w:r>
          </w:p>
        </w:tc>
      </w:tr>
    </w:tbl>
    <w:p>
      <w:pPr>
        <w:spacing w:after="20"/>
      </w:pPr>
    </w:p>
    <w:p>
      <w:pPr>
        <w:keepLines/>
      </w:pPr>
      <w:r>
        <w:rPr>
          <w:rFonts w:ascii="宋体" w:hAnsi="宋体" w:eastAsia="宋体"/>
          <w:b w:val="0"/>
          <w:i w:val="0"/>
          <w:color w:val="242424"/>
          <w:sz w:val="21"/>
        </w:rPr>
        <w:t>数据来源和证据等级应与结果一起披露。共享仓库中的脱敏特征、统计、模型、哈希索引和必要演示文件不等同于原始工程数据。当前系统仅对带标签数据作历史失败排序，对只有工程指标的记录展示指标风险，对只有路线或代理信息的记录只作代理排序；数据层级不同，不能混写为同一类已验证样本。</w:t>
      </w:r>
    </w:p>
    <w:p>
      <w:pPr>
        <w:pStyle w:val="Heading1"/>
      </w:pPr>
      <w:r>
        <w:rPr>
          <w:rFonts w:ascii="宋体" w:hAnsi="宋体" w:eastAsia="宋体"/>
          <w:b w:val="0"/>
          <w:i w:val="0"/>
          <w:color w:val="000000"/>
          <w:sz w:val="32"/>
        </w:rPr>
        <w:t>六、离线评测与消融审计</w:t>
      </w:r>
    </w:p>
    <w:p>
      <w:pPr>
        <w:pStyle w:val="Heading2"/>
      </w:pPr>
      <w:r>
        <w:rPr>
          <w:rFonts w:ascii="宋体" w:hAnsi="宋体" w:eastAsia="宋体"/>
          <w:b w:val="0"/>
          <w:i w:val="0"/>
          <w:color w:val="000000"/>
          <w:sz w:val="26"/>
        </w:rPr>
        <w:t>1. 独立地图留出结果</w:t>
      </w:r>
    </w:p>
    <w:p>
      <w:pPr>
        <w:keepLines/>
      </w:pPr>
      <w:r>
        <w:rPr>
          <w:rFonts w:ascii="宋体" w:hAnsi="宋体" w:eastAsia="宋体"/>
          <w:b w:val="0"/>
          <w:i w:val="0"/>
          <w:color w:val="242424"/>
          <w:sz w:val="21"/>
        </w:rPr>
        <w:t>留出集包含5张开发阶段未使用的地图、66条样本，其中39条为失败。学习模型与三个事后基线的结果如下。表中全局Top-K按已留出表整体排序，不等于同一次规划任务内的选路结果。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0E5"/>
          <w:left w:val="single" w:sz="4" w:space="0" w:color="D9E0E5"/>
          <w:bottom w:val="single" w:sz="4" w:space="0" w:color="D9E0E5"/>
          <w:right w:val="single" w:sz="4" w:space="0" w:color="D9E0E5"/>
          <w:insideH w:val="single" w:sz="4" w:space="0" w:color="D9E0E5"/>
          <w:insideV w:val="single" w:sz="4" w:space="0" w:color="D9E0E5"/>
        </w:tblBorders>
      </w:tblPr>
      <w:tblGrid>
        <w:gridCol w:w="1610"/>
        <w:gridCol w:w="1610"/>
        <w:gridCol w:w="1610"/>
        <w:gridCol w:w="1610"/>
        <w:gridCol w:w="1610"/>
        <w:gridCol w:w="1610"/>
      </w:tblGrid>
      <w:tr>
        <w:trPr>
          <w:tblHeader w:val="true"/>
        </w:trPr>
        <w:tc>
          <w:tcPr>
            <w:tcW w:type="dxa" w:w="1610"/>
            <w:vAlign w:val="center"/>
            <w:shd w:fill="173F59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6"/>
              </w:rPr>
              <w:t>方法</w:t>
            </w:r>
          </w:p>
        </w:tc>
        <w:tc>
          <w:tcPr>
            <w:tcW w:type="dxa" w:w="1610"/>
            <w:vAlign w:val="center"/>
            <w:shd w:fill="173F59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6"/>
              </w:rPr>
              <w:t>Top-10捕获失败</w:t>
            </w:r>
          </w:p>
        </w:tc>
        <w:tc>
          <w:tcPr>
            <w:tcW w:type="dxa" w:w="1610"/>
            <w:vAlign w:val="center"/>
            <w:shd w:fill="173F59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6"/>
              </w:rPr>
              <w:t>Top-20</w:t>
            </w:r>
          </w:p>
        </w:tc>
        <w:tc>
          <w:tcPr>
            <w:tcW w:type="dxa" w:w="1610"/>
            <w:vAlign w:val="center"/>
            <w:shd w:fill="173F59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6"/>
              </w:rPr>
              <w:t>Top-34</w:t>
            </w:r>
          </w:p>
        </w:tc>
        <w:tc>
          <w:tcPr>
            <w:tcW w:type="dxa" w:w="1610"/>
            <w:vAlign w:val="center"/>
            <w:shd w:fill="173F59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6"/>
              </w:rPr>
              <w:t>失败ROC-AUC</w:t>
            </w:r>
          </w:p>
        </w:tc>
        <w:tc>
          <w:tcPr>
            <w:tcW w:type="dxa" w:w="1610"/>
            <w:vAlign w:val="center"/>
            <w:shd w:fill="173F59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6"/>
              </w:rPr>
              <w:t>失败PR-AUC</w:t>
            </w:r>
          </w:p>
        </w:tc>
      </w:tr>
      <w:tr>
        <w:trPr>
          <w:cantSplit/>
        </w:trPr>
        <w:tc>
          <w:tcPr>
            <w:tcW w:type="dxa" w:w="16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42424"/>
                <w:sz w:val="16"/>
              </w:rPr>
              <w:t>55维学习模型</w:t>
            </w:r>
          </w:p>
        </w:tc>
        <w:tc>
          <w:tcPr>
            <w:tcW w:type="dxa" w:w="16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42424"/>
                <w:sz w:val="16"/>
              </w:rPr>
              <w:t>8/39（20.5%）</w:t>
            </w:r>
          </w:p>
        </w:tc>
        <w:tc>
          <w:tcPr>
            <w:tcW w:type="dxa" w:w="16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42424"/>
                <w:sz w:val="16"/>
              </w:rPr>
              <w:t>17/39（43.6%）</w:t>
            </w:r>
          </w:p>
        </w:tc>
        <w:tc>
          <w:tcPr>
            <w:tcW w:type="dxa" w:w="16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42424"/>
                <w:sz w:val="16"/>
              </w:rPr>
              <w:t>24/39（61.5%）</w:t>
            </w:r>
          </w:p>
        </w:tc>
        <w:tc>
          <w:tcPr>
            <w:tcW w:type="dxa" w:w="16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42424"/>
                <w:sz w:val="16"/>
              </w:rPr>
              <w:t>0.6149</w:t>
            </w:r>
          </w:p>
        </w:tc>
        <w:tc>
          <w:tcPr>
            <w:tcW w:type="dxa" w:w="16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42424"/>
                <w:sz w:val="16"/>
              </w:rPr>
              <w:t>0.6994</w:t>
            </w:r>
          </w:p>
        </w:tc>
      </w:tr>
      <w:tr>
        <w:trPr>
          <w:cantSplit/>
        </w:trPr>
        <w:tc>
          <w:tcPr>
            <w:tcW w:type="dxa" w:w="16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9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42424"/>
                <w:sz w:val="16"/>
              </w:rPr>
              <w:t>冻结开发集几何规则</w:t>
            </w:r>
          </w:p>
        </w:tc>
        <w:tc>
          <w:tcPr>
            <w:tcW w:type="dxa" w:w="16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9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42424"/>
                <w:sz w:val="16"/>
              </w:rPr>
              <w:t>8/39（20.5%）</w:t>
            </w:r>
          </w:p>
        </w:tc>
        <w:tc>
          <w:tcPr>
            <w:tcW w:type="dxa" w:w="16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9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42424"/>
                <w:sz w:val="16"/>
              </w:rPr>
              <w:t>15/39（38.5%）</w:t>
            </w:r>
          </w:p>
        </w:tc>
        <w:tc>
          <w:tcPr>
            <w:tcW w:type="dxa" w:w="16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9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42424"/>
                <w:sz w:val="16"/>
              </w:rPr>
              <w:t>27/39（69.2%）</w:t>
            </w:r>
          </w:p>
        </w:tc>
        <w:tc>
          <w:tcPr>
            <w:tcW w:type="dxa" w:w="16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9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42424"/>
                <w:sz w:val="16"/>
              </w:rPr>
              <w:t>0.6534</w:t>
            </w:r>
          </w:p>
        </w:tc>
        <w:tc>
          <w:tcPr>
            <w:tcW w:type="dxa" w:w="16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9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42424"/>
                <w:sz w:val="16"/>
              </w:rPr>
              <w:t>0.7116</w:t>
            </w:r>
          </w:p>
        </w:tc>
      </w:tr>
      <w:tr>
        <w:trPr>
          <w:cantSplit/>
        </w:trPr>
        <w:tc>
          <w:tcPr>
            <w:tcW w:type="dxa" w:w="16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42424"/>
                <w:sz w:val="16"/>
              </w:rPr>
              <w:t>未校准50:50模型/规则混合</w:t>
            </w:r>
          </w:p>
        </w:tc>
        <w:tc>
          <w:tcPr>
            <w:tcW w:type="dxa" w:w="16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42424"/>
                <w:sz w:val="16"/>
              </w:rPr>
              <w:t>8/39（20.5%）</w:t>
            </w:r>
          </w:p>
        </w:tc>
        <w:tc>
          <w:tcPr>
            <w:tcW w:type="dxa" w:w="16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42424"/>
                <w:sz w:val="16"/>
              </w:rPr>
              <w:t>17/39（43.6%）</w:t>
            </w:r>
          </w:p>
        </w:tc>
        <w:tc>
          <w:tcPr>
            <w:tcW w:type="dxa" w:w="16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42424"/>
                <w:sz w:val="16"/>
              </w:rPr>
              <w:t>27/39（69.2%）</w:t>
            </w:r>
          </w:p>
        </w:tc>
        <w:tc>
          <w:tcPr>
            <w:tcW w:type="dxa" w:w="16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42424"/>
                <w:sz w:val="16"/>
              </w:rPr>
              <w:t>0.6496</w:t>
            </w:r>
          </w:p>
        </w:tc>
        <w:tc>
          <w:tcPr>
            <w:tcW w:type="dxa" w:w="16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42424"/>
                <w:sz w:val="16"/>
              </w:rPr>
              <w:t>0.7197</w:t>
            </w:r>
          </w:p>
        </w:tc>
      </w:tr>
      <w:tr>
        <w:trPr>
          <w:cantSplit/>
        </w:trPr>
        <w:tc>
          <w:tcPr>
            <w:tcW w:type="dxa" w:w="16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9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42424"/>
                <w:sz w:val="16"/>
              </w:rPr>
              <w:t>最小静态净空</w:t>
            </w:r>
          </w:p>
        </w:tc>
        <w:tc>
          <w:tcPr>
            <w:tcW w:type="dxa" w:w="16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9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42424"/>
                <w:sz w:val="16"/>
              </w:rPr>
              <w:t>8/39（20.5%）</w:t>
            </w:r>
          </w:p>
        </w:tc>
        <w:tc>
          <w:tcPr>
            <w:tcW w:type="dxa" w:w="16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9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42424"/>
                <w:sz w:val="16"/>
              </w:rPr>
              <w:t>10/39（25.6%）</w:t>
            </w:r>
          </w:p>
        </w:tc>
        <w:tc>
          <w:tcPr>
            <w:tcW w:type="dxa" w:w="16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9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42424"/>
                <w:sz w:val="16"/>
              </w:rPr>
              <w:t>22/39（56.4%）</w:t>
            </w:r>
          </w:p>
        </w:tc>
        <w:tc>
          <w:tcPr>
            <w:tcW w:type="dxa" w:w="16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9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42424"/>
                <w:sz w:val="16"/>
              </w:rPr>
              <w:t>0.5603</w:t>
            </w:r>
          </w:p>
        </w:tc>
        <w:tc>
          <w:tcPr>
            <w:tcW w:type="dxa" w:w="16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9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42424"/>
                <w:sz w:val="16"/>
              </w:rPr>
              <w:t>0.6471</w:t>
            </w:r>
          </w:p>
        </w:tc>
      </w:tr>
    </w:tbl>
    <w:p>
      <w:pPr>
        <w:spacing w:after="20"/>
      </w:pPr>
    </w:p>
    <w:p>
      <w:pPr>
        <w:keepLines/>
      </w:pPr>
      <w:r>
        <w:rPr>
          <w:rFonts w:ascii="宋体" w:hAnsi="宋体" w:eastAsia="宋体"/>
          <w:b w:val="0"/>
          <w:i w:val="0"/>
          <w:color w:val="242424"/>
          <w:sz w:val="21"/>
        </w:rPr>
        <w:t>随机全局选择的期望捕获数为Top-10 5.91、Top-20 11.82、Top-34 20.09。学习模型的Top-20高于单独固定规则，但与未校准混合相同；规则和混合在Top-34及失败PR-AUC上更高。Top-10中各方法相同。该混合分数是看过留出集后的未校准事后对照，未接入产品，也未用于阈值或模型选择；不得据此宣称混合模型有效。</w:t>
      </w:r>
    </w:p>
    <w:p>
      <w:pPr>
        <w:keepLines/>
      </w:pPr>
      <w:r>
        <w:rPr>
          <w:rFonts w:ascii="宋体" w:hAnsi="宋体" w:eastAsia="宋体"/>
          <w:b w:val="0"/>
          <w:i w:val="0"/>
          <w:color w:val="242424"/>
          <w:sz w:val="21"/>
        </w:rPr>
        <w:t>这66条样本用于地图分组离线比较，只有5张留出地图，结果的不确定性不可忽略。它们支持继续研究“模型排序+独立规则检查”的工作流，不支持模型普遍优于规则、实际漏检下降、现场安全改善或客户节约成本等结论。</w:t>
      </w:r>
    </w:p>
    <w:p>
      <w:pPr>
        <w:pStyle w:val="Heading2"/>
      </w:pPr>
      <w:r>
        <w:rPr>
          <w:rFonts w:ascii="宋体" w:hAnsi="宋体" w:eastAsia="宋体"/>
          <w:b w:val="0"/>
          <w:i w:val="0"/>
          <w:color w:val="000000"/>
          <w:sz w:val="26"/>
        </w:rPr>
        <w:t>2. 同地图同车型候选批次代理分析</w:t>
      </w:r>
    </w:p>
    <w:p>
      <w:pPr>
        <w:keepLines/>
      </w:pPr>
      <w:r>
        <w:rPr>
          <w:rFonts w:ascii="宋体" w:hAnsi="宋体" w:eastAsia="宋体"/>
          <w:b w:val="0"/>
          <w:i w:val="0"/>
          <w:color w:val="242424"/>
          <w:sz w:val="21"/>
        </w:rPr>
        <w:t xml:space="preserve">冻结留出文件没有 </w:t>
      </w:r>
      <w:r>
        <w:rPr>
          <w:rFonts w:ascii="Consolas" w:hAnsi="Consolas" w:eastAsia="宋体"/>
          <w:b w:val="0"/>
          <w:i w:val="0"/>
          <w:color w:val="242424"/>
          <w:sz w:val="21"/>
        </w:rPr>
        <w:t>planner_run_id</w:t>
      </w:r>
      <w:r>
        <w:rPr>
          <w:rFonts w:ascii="宋体" w:hAnsi="宋体" w:eastAsia="宋体"/>
          <w:b w:val="0"/>
          <w:i w:val="0"/>
          <w:color w:val="242424"/>
          <w:sz w:val="21"/>
        </w:rPr>
        <w:t xml:space="preserve"> 或 </w:t>
      </w:r>
      <w:r>
        <w:rPr>
          <w:rFonts w:ascii="Consolas" w:hAnsi="Consolas" w:eastAsia="宋体"/>
          <w:b w:val="0"/>
          <w:i w:val="0"/>
          <w:color w:val="242424"/>
          <w:sz w:val="21"/>
        </w:rPr>
        <w:t>candidate_batch_id</w:t>
      </w:r>
      <w:r>
        <w:rPr>
          <w:rFonts w:ascii="宋体" w:hAnsi="宋体" w:eastAsia="宋体"/>
          <w:b w:val="0"/>
          <w:i w:val="0"/>
          <w:color w:val="242424"/>
          <w:sz w:val="21"/>
        </w:rPr>
        <w:t xml:space="preserve">，无法还原一轮规划任务共同产生的路线。为贴近候选排序问题，分析对已确认结构使用 </w:t>
      </w:r>
      <w:r>
        <w:rPr>
          <w:rFonts w:ascii="Consolas" w:hAnsi="Consolas" w:eastAsia="宋体"/>
          <w:b w:val="0"/>
          <w:i w:val="0"/>
          <w:color w:val="242424"/>
          <w:sz w:val="21"/>
        </w:rPr>
        <w:t>map_id × vehicle_structure</w:t>
      </w:r>
      <w:r>
        <w:rPr>
          <w:rFonts w:ascii="宋体" w:hAnsi="宋体" w:eastAsia="宋体"/>
          <w:b w:val="0"/>
          <w:i w:val="0"/>
          <w:color w:val="242424"/>
          <w:sz w:val="21"/>
        </w:rPr>
        <w:t xml:space="preserve"> 作代理组，仅纳入至少2条候选的4组，共33条候选、27条失败；组内每组选择 </w:t>
      </w:r>
      <w:r>
        <w:rPr>
          <w:rFonts w:ascii="Consolas" w:hAnsi="Consolas" w:eastAsia="宋体"/>
          <w:b w:val="0"/>
          <w:i w:val="0"/>
          <w:color w:val="242424"/>
          <w:sz w:val="21"/>
        </w:rPr>
        <w:t>ceil(20%)</w:t>
      </w:r>
      <w:r>
        <w:rPr>
          <w:rFonts w:ascii="宋体" w:hAnsi="宋体" w:eastAsia="宋体"/>
          <w:b w:val="0"/>
          <w:i w:val="0"/>
          <w:color w:val="242424"/>
          <w:sz w:val="21"/>
        </w:rPr>
        <w:t>，截点同分按比例分配。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0E5"/>
          <w:left w:val="single" w:sz="4" w:space="0" w:color="D9E0E5"/>
          <w:bottom w:val="single" w:sz="4" w:space="0" w:color="D9E0E5"/>
          <w:right w:val="single" w:sz="4" w:space="0" w:color="D9E0E5"/>
          <w:insideH w:val="single" w:sz="4" w:space="0" w:color="D9E0E5"/>
          <w:insideV w:val="single" w:sz="4" w:space="0" w:color="D9E0E5"/>
        </w:tblBorders>
      </w:tblPr>
      <w:tblGrid>
        <w:gridCol w:w="2416"/>
        <w:gridCol w:w="2416"/>
        <w:gridCol w:w="2416"/>
        <w:gridCol w:w="2416"/>
      </w:tblGrid>
      <w:tr>
        <w:trPr>
          <w:tblHeader w:val="true"/>
        </w:trPr>
        <w:tc>
          <w:tcPr>
            <w:tcW w:type="dxa" w:w="2416"/>
            <w:vAlign w:val="center"/>
            <w:shd w:fill="173F59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6"/>
              </w:rPr>
              <w:t>排序方式</w:t>
            </w:r>
          </w:p>
        </w:tc>
        <w:tc>
          <w:tcPr>
            <w:tcW w:type="dxa" w:w="2416"/>
            <w:vAlign w:val="center"/>
            <w:shd w:fill="173F59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6"/>
              </w:rPr>
              <w:t>代理组失败捕获期望</w:t>
            </w:r>
          </w:p>
        </w:tc>
        <w:tc>
          <w:tcPr>
            <w:tcW w:type="dxa" w:w="2416"/>
            <w:vAlign w:val="center"/>
            <w:shd w:fill="173F59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6"/>
              </w:rPr>
              <w:t>失败覆盖率</w:t>
            </w:r>
          </w:p>
        </w:tc>
        <w:tc>
          <w:tcPr>
            <w:tcW w:type="dxa" w:w="2416"/>
            <w:vAlign w:val="center"/>
            <w:shd w:fill="173F59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6"/>
              </w:rPr>
              <w:t>同组同预算随机期望</w:t>
            </w:r>
          </w:p>
        </w:tc>
      </w:tr>
      <w:tr>
        <w:trPr>
          <w:cantSplit/>
        </w:trPr>
        <w:tc>
          <w:tcPr>
            <w:tcW w:type="dxa" w:w="24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42424"/>
                <w:sz w:val="16"/>
              </w:rPr>
              <w:t>学习模型</w:t>
            </w:r>
          </w:p>
        </w:tc>
        <w:tc>
          <w:tcPr>
            <w:tcW w:type="dxa" w:w="24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42424"/>
                <w:sz w:val="16"/>
              </w:rPr>
              <w:t>5.0</w:t>
            </w:r>
          </w:p>
        </w:tc>
        <w:tc>
          <w:tcPr>
            <w:tcW w:type="dxa" w:w="24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42424"/>
                <w:sz w:val="16"/>
              </w:rPr>
              <w:t>18.5%</w:t>
            </w:r>
          </w:p>
        </w:tc>
        <w:tc>
          <w:tcPr>
            <w:tcW w:type="dxa" w:w="24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42424"/>
                <w:sz w:val="16"/>
              </w:rPr>
              <w:t>6.625</w:t>
            </w:r>
          </w:p>
        </w:tc>
      </w:tr>
      <w:tr>
        <w:trPr>
          <w:cantSplit/>
        </w:trPr>
        <w:tc>
          <w:tcPr>
            <w:tcW w:type="dxa" w:w="24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9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42424"/>
                <w:sz w:val="16"/>
              </w:rPr>
              <w:t>冻结几何规则</w:t>
            </w:r>
          </w:p>
        </w:tc>
        <w:tc>
          <w:tcPr>
            <w:tcW w:type="dxa" w:w="24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9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42424"/>
                <w:sz w:val="16"/>
              </w:rPr>
              <w:t>6.0</w:t>
            </w:r>
          </w:p>
        </w:tc>
        <w:tc>
          <w:tcPr>
            <w:tcW w:type="dxa" w:w="24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9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42424"/>
                <w:sz w:val="16"/>
              </w:rPr>
              <w:t>22.2%</w:t>
            </w:r>
          </w:p>
        </w:tc>
        <w:tc>
          <w:tcPr>
            <w:tcW w:type="dxa" w:w="24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9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42424"/>
                <w:sz w:val="16"/>
              </w:rPr>
              <w:t>6.625</w:t>
            </w:r>
          </w:p>
        </w:tc>
      </w:tr>
      <w:tr>
        <w:trPr>
          <w:cantSplit/>
        </w:trPr>
        <w:tc>
          <w:tcPr>
            <w:tcW w:type="dxa" w:w="24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42424"/>
                <w:sz w:val="16"/>
              </w:rPr>
              <w:t>最小净空</w:t>
            </w:r>
          </w:p>
        </w:tc>
        <w:tc>
          <w:tcPr>
            <w:tcW w:type="dxa" w:w="24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42424"/>
                <w:sz w:val="16"/>
              </w:rPr>
              <w:t>5.0</w:t>
            </w:r>
          </w:p>
        </w:tc>
        <w:tc>
          <w:tcPr>
            <w:tcW w:type="dxa" w:w="24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42424"/>
                <w:sz w:val="16"/>
              </w:rPr>
              <w:t>18.5%</w:t>
            </w:r>
          </w:p>
        </w:tc>
        <w:tc>
          <w:tcPr>
            <w:tcW w:type="dxa" w:w="24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42424"/>
                <w:sz w:val="16"/>
              </w:rPr>
              <w:t>6.625</w:t>
            </w:r>
          </w:p>
        </w:tc>
      </w:tr>
    </w:tbl>
    <w:p>
      <w:pPr>
        <w:spacing w:after="20"/>
      </w:pPr>
    </w:p>
    <w:p>
      <w:pPr>
        <w:keepLines/>
      </w:pPr>
      <w:r>
        <w:rPr>
          <w:rFonts w:ascii="宋体" w:hAnsi="宋体" w:eastAsia="宋体"/>
          <w:b w:val="0"/>
          <w:i w:val="0"/>
          <w:color w:val="242424"/>
          <w:sz w:val="21"/>
        </w:rPr>
        <w:t>在这个小样本代理分析中，三种排序均未达到同预算随机期望；且地图和车型仍可能混合不同规划批次。这不证明方法无效，但更不能据全局Top-K结果推断真实批次收益。后续数据采集必须记录规划器调用ID、候选批次ID、生成版本、场景配置和同批标签，才能检验有限复核预算下的排序增益。</w:t>
      </w:r>
    </w:p>
    <w:p>
      <w:pPr>
        <w:pStyle w:val="Heading2"/>
      </w:pPr>
      <w:r>
        <w:rPr>
          <w:rFonts w:ascii="宋体" w:hAnsi="宋体" w:eastAsia="宋体"/>
          <w:b w:val="0"/>
          <w:i w:val="0"/>
          <w:color w:val="000000"/>
          <w:sz w:val="26"/>
        </w:rPr>
        <w:t>3. 空间特征实验结论</w:t>
      </w:r>
    </w:p>
    <w:p>
      <w:pPr>
        <w:keepLines/>
      </w:pPr>
      <w:r>
        <w:rPr>
          <w:rFonts w:ascii="宋体" w:hAnsi="宋体" w:eastAsia="宋体"/>
          <w:b w:val="0"/>
          <w:i w:val="0"/>
          <w:color w:val="242424"/>
          <w:sz w:val="21"/>
        </w:rPr>
        <w:t>340条冻结样本中有69条含完整左右边界；26条通过边界距离语义检查，全部为五轴；增强点列筛查后仅3条保留。此前空间实验文件中，55维基线和空间增广预测逐条相同且地图内预测恒定，因此旧输出无法回答空间特征是否带来收益。旧“空间特征无提升”结论撤回，几何特征不并入现有模型。</w:t>
      </w:r>
    </w:p>
    <w:p>
      <w:pPr>
        <w:keepLines/>
      </w:pPr>
      <w:r>
        <w:rPr>
          <w:rFonts w:ascii="宋体" w:hAnsi="宋体" w:eastAsia="宋体"/>
          <w:b w:val="0"/>
          <w:i w:val="0"/>
          <w:color w:val="242424"/>
          <w:sz w:val="21"/>
        </w:rPr>
        <w:t>后续模型消融需在数据充足、标签和车型配置完整的真实候选批次上，按地图及批次隔离并预先登记比较方法。至少比较55维基线、增广模型、固定规则和同预算随机策略；报告失败PR-AUC、Top-K失败捕获、批次级置信区间及严重失效捕获。建议进入产品候选的门槛为失败PR-AUC提升超过0.02且Top-10捕获不下降，但该门槛须在实验前锁定，不能针对结果事后调整。若未达到，继续保留模型与规则分层，不强行融合。</w:t>
      </w:r>
    </w:p>
    <w:p>
      <w:pPr>
        <w:pStyle w:val="Heading1"/>
      </w:pPr>
      <w:r>
        <w:rPr>
          <w:rFonts w:ascii="宋体" w:hAnsi="宋体" w:eastAsia="宋体"/>
          <w:b w:val="0"/>
          <w:i w:val="0"/>
          <w:color w:val="000000"/>
          <w:sz w:val="32"/>
        </w:rPr>
        <w:t>七、产品机制与可解释性</w:t>
      </w:r>
    </w:p>
    <w:p>
      <w:pPr>
        <w:keepLines/>
      </w:pPr>
      <w:r>
        <w:rPr>
          <w:rFonts w:ascii="宋体" w:hAnsi="宋体" w:eastAsia="宋体"/>
          <w:b w:val="0"/>
          <w:i w:val="0"/>
          <w:color w:val="242424"/>
          <w:sz w:val="21"/>
        </w:rPr>
        <w:t>PathGuard通过四种机制避免“只报一个分数”：</w:t>
      </w:r>
    </w:p>
    <w:p>
      <w:pPr>
        <w:spacing w:after="60"/>
        <w:ind w:left="346" w:hanging="230"/>
      </w:pPr>
      <w:r>
        <w:rPr>
          <w:rFonts w:ascii="宋体" w:hAnsi="宋体" w:eastAsia="宋体"/>
          <w:b w:val="0"/>
          <w:i w:val="0"/>
          <w:color w:val="242424"/>
          <w:sz w:val="20"/>
        </w:rPr>
        <w:t xml:space="preserve">1. </w:t>
      </w:r>
      <w:r>
        <w:rPr>
          <w:rFonts w:ascii="宋体" w:hAnsi="宋体" w:eastAsia="宋体"/>
          <w:b/>
          <w:i w:val="0"/>
          <w:color w:val="242424"/>
          <w:sz w:val="20"/>
        </w:rPr>
        <w:t>位置解释</w:t>
      </w:r>
      <w:r>
        <w:rPr>
          <w:rFonts w:ascii="宋体" w:hAnsi="宋体" w:eastAsia="宋体"/>
          <w:b w:val="0"/>
          <w:i w:val="0"/>
          <w:color w:val="242424"/>
          <w:sz w:val="20"/>
        </w:rPr>
        <w:t>：在原始坐标上定位工程指标极值；坐标或方向缺失时明确说明无法定位。</w:t>
      </w:r>
    </w:p>
    <w:p>
      <w:pPr>
        <w:spacing w:after="60"/>
        <w:ind w:left="346" w:hanging="230"/>
      </w:pPr>
      <w:r>
        <w:rPr>
          <w:rFonts w:ascii="宋体" w:hAnsi="宋体" w:eastAsia="宋体"/>
          <w:b w:val="0"/>
          <w:i w:val="0"/>
          <w:color w:val="242424"/>
          <w:sz w:val="20"/>
        </w:rPr>
        <w:t xml:space="preserve">2. </w:t>
      </w:r>
      <w:r>
        <w:rPr>
          <w:rFonts w:ascii="宋体" w:hAnsi="宋体" w:eastAsia="宋体"/>
          <w:b/>
          <w:i w:val="0"/>
          <w:color w:val="242424"/>
          <w:sz w:val="20"/>
        </w:rPr>
        <w:t>证据区分</w:t>
      </w:r>
      <w:r>
        <w:rPr>
          <w:rFonts w:ascii="宋体" w:hAnsi="宋体" w:eastAsia="宋体"/>
          <w:b w:val="0"/>
          <w:i w:val="0"/>
          <w:color w:val="242424"/>
          <w:sz w:val="20"/>
        </w:rPr>
        <w:t>：分开展示学习模型分数、固定工程规则、原始路线几何和车辆配置状态。</w:t>
      </w:r>
    </w:p>
    <w:p>
      <w:pPr>
        <w:spacing w:after="60"/>
        <w:ind w:left="346" w:hanging="230"/>
      </w:pPr>
      <w:r>
        <w:rPr>
          <w:rFonts w:ascii="宋体" w:hAnsi="宋体" w:eastAsia="宋体"/>
          <w:b w:val="0"/>
          <w:i w:val="0"/>
          <w:color w:val="242424"/>
          <w:sz w:val="20"/>
        </w:rPr>
        <w:t xml:space="preserve">3. </w:t>
      </w:r>
      <w:r>
        <w:rPr>
          <w:rFonts w:ascii="宋体" w:hAnsi="宋体" w:eastAsia="宋体"/>
          <w:b/>
          <w:i w:val="0"/>
          <w:color w:val="242424"/>
          <w:sz w:val="20"/>
        </w:rPr>
        <w:t>条件化几何</w:t>
      </w:r>
      <w:r>
        <w:rPr>
          <w:rFonts w:ascii="宋体" w:hAnsi="宋体" w:eastAsia="宋体"/>
          <w:b w:val="0"/>
          <w:i w:val="0"/>
          <w:color w:val="242424"/>
          <w:sz w:val="20"/>
        </w:rPr>
        <w:t>：显示用户输入尺寸如何改变车身外廓；只有边界筛查通过且操作者确认参数时才输出局部余量估算。</w:t>
      </w:r>
    </w:p>
    <w:p>
      <w:pPr>
        <w:spacing w:after="60"/>
        <w:ind w:left="346" w:hanging="230"/>
      </w:pPr>
      <w:r>
        <w:rPr>
          <w:rFonts w:ascii="宋体" w:hAnsi="宋体" w:eastAsia="宋体"/>
          <w:b w:val="0"/>
          <w:i w:val="0"/>
          <w:color w:val="242424"/>
          <w:sz w:val="20"/>
        </w:rPr>
        <w:t xml:space="preserve">4. </w:t>
      </w:r>
      <w:r>
        <w:rPr>
          <w:rFonts w:ascii="宋体" w:hAnsi="宋体" w:eastAsia="宋体"/>
          <w:b/>
          <w:i w:val="0"/>
          <w:color w:val="242424"/>
          <w:sz w:val="20"/>
        </w:rPr>
        <w:t>可信拒判与工作流回填</w:t>
      </w:r>
      <w:r>
        <w:rPr>
          <w:rFonts w:ascii="宋体" w:hAnsi="宋体" w:eastAsia="宋体"/>
          <w:b w:val="0"/>
          <w:i w:val="0"/>
          <w:color w:val="242424"/>
          <w:sz w:val="20"/>
        </w:rPr>
        <w:t>：结构未定、字段缺失、模型规则冲突等情况转人工复核；人工、仿真或实车结论记录在本机SQLite，不自动上传，也不自动变成训练标签。</w:t>
      </w:r>
    </w:p>
    <w:p>
      <w:pPr>
        <w:keepLines/>
      </w:pPr>
      <w:r>
        <w:rPr>
          <w:rFonts w:ascii="宋体" w:hAnsi="宋体" w:eastAsia="宋体"/>
          <w:b w:val="0"/>
          <w:i w:val="0"/>
          <w:color w:val="242424"/>
          <w:sz w:val="21"/>
        </w:rPr>
        <w:t>风险等级表示当前排序建议，不代表确定会失败或可以放行。模型规则差值0.25和几何复核余量0.5米均为当前演示工作流的可编辑策略值，不代表行业标准或法规阈值。</w:t>
      </w:r>
    </w:p>
    <w:p>
      <w:pPr>
        <w:pStyle w:val="Heading1"/>
      </w:pPr>
      <w:r>
        <w:rPr>
          <w:rFonts w:ascii="宋体" w:hAnsi="宋体" w:eastAsia="宋体"/>
          <w:b w:val="0"/>
          <w:i w:val="0"/>
          <w:color w:val="000000"/>
          <w:sz w:val="32"/>
        </w:rPr>
        <w:t>八、客户共创反馈与拟开展试点</w:t>
      </w:r>
    </w:p>
    <w:p>
      <w:pPr>
        <w:keepLines/>
      </w:pPr>
      <w:r>
        <w:rPr>
          <w:rFonts w:ascii="宋体" w:hAnsi="宋体" w:eastAsia="宋体"/>
          <w:b w:val="0"/>
          <w:i w:val="0"/>
          <w:color w:val="242424"/>
          <w:sz w:val="21"/>
        </w:rPr>
        <w:t>项目组已记录一例匿名工程人员的定性访谈，反馈主要支持三点需求：人工关注路线通常远少于规划器内部候选数；风险分数需要落实到位置、原因和动作；Top-10需要覆盖有价值的多类风险，不能被近似重复路线占满。该反馈用于设计产品流程和后续验收指标，不代表客户普遍意见，不构成付费意愿或实际节时的证据。</w:t>
      </w:r>
    </w:p>
    <w:p>
      <w:pPr>
        <w:keepLines/>
      </w:pPr>
      <w:r>
        <w:rPr>
          <w:rFonts w:ascii="宋体" w:hAnsi="宋体" w:eastAsia="宋体"/>
          <w:b w:val="0"/>
          <w:i w:val="0"/>
          <w:color w:val="242424"/>
          <w:sz w:val="21"/>
        </w:rPr>
        <w:t>拟开展试点聚焦一个可控闭环：选取若干已知规划任务，收集同批候选路线、地图版本、车辆配置与现有复核结论；在不替代既有安全流程的前提下，比较人工原流程和PathGuard辅助流程的复核时长、高风险漏检、Top-K人工关注比例、风险类型覆盖和相似路线重复率。试点开始前冻结任务清单、预算、判定方法与隐私边界；结束后由工程人员复核标签和结果。当前没有真实客户部署结果，方案仍属拟开展计划。</w:t>
      </w:r>
    </w:p>
    <w:p>
      <w:pPr>
        <w:pStyle w:val="Heading1"/>
      </w:pPr>
      <w:r>
        <w:rPr>
          <w:rFonts w:ascii="宋体" w:hAnsi="宋体" w:eastAsia="宋体"/>
          <w:b w:val="0"/>
          <w:i w:val="0"/>
          <w:color w:val="000000"/>
          <w:sz w:val="32"/>
        </w:rPr>
        <w:t>九、竞争定位与参赛适配</w:t>
      </w:r>
    </w:p>
    <w:p>
      <w:pPr>
        <w:keepLines/>
      </w:pPr>
      <w:r>
        <w:rPr>
          <w:rFonts w:ascii="宋体" w:hAnsi="宋体" w:eastAsia="宋体"/>
          <w:b w:val="0"/>
          <w:i w:val="0"/>
          <w:color w:val="242424"/>
          <w:sz w:val="21"/>
        </w:rPr>
        <w:t>本项目报名方向为“AI+产品”。赛事公开通知将该方向概括为整机创新构型、类人化智慧大小脑、新能源数智硬件生态；同时要求突出人工智能与工程机械交叉创新，并强调知识产权、脱敏及作品材料规范。PathGuard是软件型研发验证工具，服务于工程机械路线开发与验证流程，不应包装为整机产品、车载AI控制器或自主施工系统。其与赛道的连接点是：围绕工程车辆候选路线验证这一具体产品研发环节，为装备研发、测试和交付提供决策支持。</w:t>
      </w:r>
    </w:p>
    <w:p>
      <w:pPr>
        <w:keepLines/>
      </w:pPr>
      <w:r>
        <w:rPr>
          <w:rFonts w:ascii="宋体" w:hAnsi="宋体" w:eastAsia="宋体"/>
          <w:b w:val="0"/>
          <w:i w:val="0"/>
          <w:color w:val="242424"/>
          <w:sz w:val="21"/>
        </w:rPr>
        <w:t>赛道适配仍是项目的关键答辩风险：若评审把“AI+产品”严格理解为直接交付整机、车载智能脑或新能源硬件，软件工作台的产品归属会受到追问。答辩需清晰说明目标使用者、可对接的数据接口、在研发验证链中的位置以及如何服务工程机械产品迭代，同时坦诚尚未完成客户系统集成。不得借参赛方向名称推导已具备车载部署或产业应用。</w:t>
      </w:r>
    </w:p>
    <w:p>
      <w:pPr>
        <w:keepLines/>
      </w:pPr>
      <w:r>
        <w:rPr>
          <w:rFonts w:ascii="宋体" w:hAnsi="宋体" w:eastAsia="宋体"/>
          <w:b w:val="0"/>
          <w:i w:val="0"/>
          <w:color w:val="242424"/>
          <w:sz w:val="21"/>
        </w:rPr>
        <w:t>公开的上一届工业智能体专业赛获奖项目包括热轧排程、工业行为分析、注塑机工艺参数优化和排程决策等。它与本赛并非同一评审体系，不能作为本项目排名预测；但其公开项目名称和赛后案例呈现出一个可借鉴的叙事结构：针对明确工作任务，说明系统如何介入、输出何种可执行动作，并提供技术与业务验证。PathGuard应以“验证预算下如何更早发现需复核路线”为主线，围绕真实批次证据和工程闭环，而不是堆叠模型术语或虚构客户收益。</w:t>
      </w:r>
    </w:p>
    <w:p>
      <w:pPr>
        <w:pStyle w:val="Heading1"/>
      </w:pPr>
      <w:r>
        <w:rPr>
          <w:rFonts w:ascii="宋体" w:hAnsi="宋体" w:eastAsia="宋体"/>
          <w:b w:val="0"/>
          <w:i w:val="0"/>
          <w:color w:val="000000"/>
          <w:sz w:val="32"/>
        </w:rPr>
        <w:t>十、当前竞争力与主要差距</w:t>
      </w:r>
    </w:p>
    <w:p>
      <w:pPr>
        <w:pStyle w:val="Heading2"/>
      </w:pPr>
      <w:r>
        <w:rPr>
          <w:rFonts w:ascii="宋体" w:hAnsi="宋体" w:eastAsia="宋体"/>
          <w:b w:val="0"/>
          <w:i w:val="0"/>
          <w:color w:val="000000"/>
          <w:sz w:val="26"/>
        </w:rPr>
        <w:t>已形成的竞争力</w:t>
      </w:r>
    </w:p>
    <w:p>
      <w:pPr>
        <w:pStyle w:val="ListBullet"/>
        <w:spacing w:after="60"/>
        <w:ind w:left="346" w:hanging="230"/>
      </w:pPr>
      <w:r>
        <w:rPr>
          <w:rFonts w:ascii="宋体" w:hAnsi="宋体" w:eastAsia="宋体"/>
          <w:b/>
          <w:i w:val="0"/>
          <w:color w:val="242424"/>
          <w:sz w:val="20"/>
        </w:rPr>
        <w:t>问题切口清楚</w:t>
      </w:r>
      <w:r>
        <w:rPr>
          <w:rFonts w:ascii="宋体" w:hAnsi="宋体" w:eastAsia="宋体"/>
          <w:b w:val="0"/>
          <w:i w:val="0"/>
          <w:color w:val="242424"/>
          <w:sz w:val="20"/>
        </w:rPr>
        <w:t>：聚焦候选路线的验证排序，产品边界比“通用AI平台”更明确。</w:t>
      </w:r>
    </w:p>
    <w:p>
      <w:pPr>
        <w:pStyle w:val="ListBullet"/>
        <w:spacing w:after="60"/>
        <w:ind w:left="346" w:hanging="230"/>
      </w:pPr>
      <w:r>
        <w:rPr>
          <w:rFonts w:ascii="宋体" w:hAnsi="宋体" w:eastAsia="宋体"/>
          <w:b/>
          <w:i w:val="0"/>
          <w:color w:val="242424"/>
          <w:sz w:val="20"/>
        </w:rPr>
        <w:t>数据与模型可复核</w:t>
      </w:r>
      <w:r>
        <w:rPr>
          <w:rFonts w:ascii="宋体" w:hAnsi="宋体" w:eastAsia="宋体"/>
          <w:b w:val="0"/>
          <w:i w:val="0"/>
          <w:color w:val="242424"/>
          <w:sz w:val="20"/>
        </w:rPr>
        <w:t>：冻结340条监督样本，55维输入契约、地图留出指标和审计脚本可对应到仓库证据。</w:t>
      </w:r>
    </w:p>
    <w:p>
      <w:pPr>
        <w:pStyle w:val="ListBullet"/>
        <w:spacing w:after="60"/>
        <w:ind w:left="346" w:hanging="230"/>
      </w:pPr>
      <w:r>
        <w:rPr>
          <w:rFonts w:ascii="宋体" w:hAnsi="宋体" w:eastAsia="宋体"/>
          <w:b/>
          <w:i w:val="0"/>
          <w:color w:val="242424"/>
          <w:sz w:val="20"/>
        </w:rPr>
        <w:t>产品结果有动作</w:t>
      </w:r>
      <w:r>
        <w:rPr>
          <w:rFonts w:ascii="宋体" w:hAnsi="宋体" w:eastAsia="宋体"/>
          <w:b w:val="0"/>
          <w:i w:val="0"/>
          <w:color w:val="242424"/>
          <w:sz w:val="20"/>
        </w:rPr>
        <w:t>：模型、规则、真实边界估算、强制复核队列与本机验证记录串成工作流。</w:t>
      </w:r>
    </w:p>
    <w:p>
      <w:pPr>
        <w:pStyle w:val="ListBullet"/>
        <w:spacing w:after="60"/>
        <w:ind w:left="346" w:hanging="230"/>
      </w:pPr>
      <w:r>
        <w:rPr>
          <w:rFonts w:ascii="宋体" w:hAnsi="宋体" w:eastAsia="宋体"/>
          <w:b/>
          <w:i w:val="0"/>
          <w:color w:val="242424"/>
          <w:sz w:val="20"/>
        </w:rPr>
        <w:t>不确定性有处理机制</w:t>
      </w:r>
      <w:r>
        <w:rPr>
          <w:rFonts w:ascii="宋体" w:hAnsi="宋体" w:eastAsia="宋体"/>
          <w:b w:val="0"/>
          <w:i w:val="0"/>
          <w:color w:val="242424"/>
          <w:sz w:val="20"/>
        </w:rPr>
        <w:t>：结构未定和边界证据不足不会被界面包装成安全结果。</w:t>
      </w:r>
    </w:p>
    <w:p>
      <w:pPr>
        <w:pStyle w:val="Heading2"/>
      </w:pPr>
      <w:r>
        <w:rPr>
          <w:rFonts w:ascii="宋体" w:hAnsi="宋体" w:eastAsia="宋体"/>
          <w:b w:val="0"/>
          <w:i w:val="0"/>
          <w:color w:val="000000"/>
          <w:sz w:val="26"/>
        </w:rPr>
        <w:t>距离有说服力的产业级作品仍有差距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0E5"/>
          <w:left w:val="single" w:sz="4" w:space="0" w:color="D9E0E5"/>
          <w:bottom w:val="single" w:sz="4" w:space="0" w:color="D9E0E5"/>
          <w:right w:val="single" w:sz="4" w:space="0" w:color="D9E0E5"/>
          <w:insideH w:val="single" w:sz="4" w:space="0" w:color="D9E0E5"/>
          <w:insideV w:val="single" w:sz="4" w:space="0" w:color="D9E0E5"/>
        </w:tblBorders>
      </w:tblPr>
      <w:tblGrid>
        <w:gridCol w:w="3221"/>
        <w:gridCol w:w="3221"/>
        <w:gridCol w:w="3221"/>
      </w:tblGrid>
      <w:tr>
        <w:trPr>
          <w:tblHeader w:val="true"/>
        </w:trPr>
        <w:tc>
          <w:tcPr>
            <w:tcW w:type="dxa" w:w="3221"/>
            <w:vAlign w:val="center"/>
            <w:shd w:fill="173F59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6"/>
              </w:rPr>
              <w:t>评委可能追问</w:t>
            </w:r>
          </w:p>
        </w:tc>
        <w:tc>
          <w:tcPr>
            <w:tcW w:type="dxa" w:w="3221"/>
            <w:vAlign w:val="center"/>
            <w:shd w:fill="173F59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6"/>
              </w:rPr>
              <w:t>当前证据</w:t>
            </w:r>
          </w:p>
        </w:tc>
        <w:tc>
          <w:tcPr>
            <w:tcW w:type="dxa" w:w="3221"/>
            <w:vAlign w:val="center"/>
            <w:shd w:fill="173F59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6"/>
              </w:rPr>
              <w:t>下一步补强</w:t>
            </w:r>
          </w:p>
        </w:tc>
      </w:tr>
      <w:tr>
        <w:trPr>
          <w:cantSplit/>
        </w:trPr>
        <w:tc>
          <w:tcPr>
            <w:tcW w:type="dxa" w:w="32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42424"/>
                <w:sz w:val="16"/>
              </w:rPr>
              <w:t>排序是否帮助工程师挑对路线？</w:t>
            </w:r>
          </w:p>
        </w:tc>
        <w:tc>
          <w:tcPr>
            <w:tcW w:type="dxa" w:w="32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42424"/>
                <w:sz w:val="16"/>
              </w:rPr>
              <w:t>没有真实候选批次ID；代理组只有4组，模型未优于同预算随机期望</w:t>
            </w:r>
          </w:p>
        </w:tc>
        <w:tc>
          <w:tcPr>
            <w:tcW w:type="dxa" w:w="32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42424"/>
                <w:sz w:val="16"/>
              </w:rPr>
              <w:t>采集同批规划输出和后验标签，做按批次、地图隔离的前瞻评测</w:t>
            </w:r>
          </w:p>
        </w:tc>
      </w:tr>
      <w:tr>
        <w:trPr>
          <w:cantSplit/>
        </w:trPr>
        <w:tc>
          <w:tcPr>
            <w:tcW w:type="dxa" w:w="32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9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42424"/>
                <w:sz w:val="16"/>
              </w:rPr>
              <w:t>几何结果是否覆盖目标车型？</w:t>
            </w:r>
          </w:p>
        </w:tc>
        <w:tc>
          <w:tcPr>
            <w:tcW w:type="dxa" w:w="32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9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42424"/>
                <w:sz w:val="16"/>
              </w:rPr>
              <w:t>可信点列仅3条五轴；六轴和结构未定无合格边界联动样本</w:t>
            </w:r>
          </w:p>
        </w:tc>
        <w:tc>
          <w:tcPr>
            <w:tcW w:type="dxa" w:w="32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9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42424"/>
                <w:sz w:val="16"/>
              </w:rPr>
              <w:t>补充经来源确认的车型参数和双侧边界，扩大跨车型覆盖</w:t>
            </w:r>
          </w:p>
        </w:tc>
      </w:tr>
      <w:tr>
        <w:trPr>
          <w:cantSplit/>
        </w:trPr>
        <w:tc>
          <w:tcPr>
            <w:tcW w:type="dxa" w:w="32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42424"/>
                <w:sz w:val="16"/>
              </w:rPr>
              <w:t>是否能外推到新场景？</w:t>
            </w:r>
          </w:p>
        </w:tc>
        <w:tc>
          <w:tcPr>
            <w:tcW w:type="dxa" w:w="32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42424"/>
                <w:sz w:val="16"/>
              </w:rPr>
              <w:t>留出地图5张，数据跨地图但统计不确定性仍高</w:t>
            </w:r>
          </w:p>
        </w:tc>
        <w:tc>
          <w:tcPr>
            <w:tcW w:type="dxa" w:w="32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42424"/>
                <w:sz w:val="16"/>
              </w:rPr>
              <w:t>扩展未见地图、施工工况、载荷/路面变化，并按场景分层报告</w:t>
            </w:r>
          </w:p>
        </w:tc>
      </w:tr>
      <w:tr>
        <w:trPr>
          <w:cantSplit/>
        </w:trPr>
        <w:tc>
          <w:tcPr>
            <w:tcW w:type="dxa" w:w="32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9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42424"/>
                <w:sz w:val="16"/>
              </w:rPr>
              <w:t>工程价值是否量化？</w:t>
            </w:r>
          </w:p>
        </w:tc>
        <w:tc>
          <w:tcPr>
            <w:tcW w:type="dxa" w:w="32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9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42424"/>
                <w:sz w:val="16"/>
              </w:rPr>
              <w:t>一例定性访谈；没有客户试点、节时或资源节省测量</w:t>
            </w:r>
          </w:p>
        </w:tc>
        <w:tc>
          <w:tcPr>
            <w:tcW w:type="dxa" w:w="32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9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42424"/>
                <w:sz w:val="16"/>
              </w:rPr>
              <w:t>按预注册协议进行小规模对照试用，记录时长、漏检和重复复核</w:t>
            </w:r>
          </w:p>
        </w:tc>
      </w:tr>
      <w:tr>
        <w:trPr>
          <w:cantSplit/>
        </w:trPr>
        <w:tc>
          <w:tcPr>
            <w:tcW w:type="dxa" w:w="32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42424"/>
                <w:sz w:val="16"/>
              </w:rPr>
              <w:t>是否符合产品赛道？</w:t>
            </w:r>
          </w:p>
        </w:tc>
        <w:tc>
          <w:tcPr>
            <w:tcW w:type="dxa" w:w="32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42424"/>
                <w:sz w:val="16"/>
              </w:rPr>
              <w:t>软件型验证工具，未接入整机或客户系统</w:t>
            </w:r>
          </w:p>
        </w:tc>
        <w:tc>
          <w:tcPr>
            <w:tcW w:type="dxa" w:w="32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42424"/>
                <w:sz w:val="16"/>
              </w:rPr>
              <w:t>展示其如何进入工程机械产品研发链，明确集成边界和知识产权</w:t>
            </w:r>
          </w:p>
        </w:tc>
      </w:tr>
      <w:tr>
        <w:trPr>
          <w:cantSplit/>
        </w:trPr>
        <w:tc>
          <w:tcPr>
            <w:tcW w:type="dxa" w:w="32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9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42424"/>
                <w:sz w:val="16"/>
              </w:rPr>
              <w:t>结果是否可被独立复现？</w:t>
            </w:r>
          </w:p>
        </w:tc>
        <w:tc>
          <w:tcPr>
            <w:tcW w:type="dxa" w:w="32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9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42424"/>
                <w:sz w:val="16"/>
              </w:rPr>
              <w:t>有离线表和本机演示；还未形成面向客户的标准接口与部署包</w:t>
            </w:r>
          </w:p>
        </w:tc>
        <w:tc>
          <w:tcPr>
            <w:tcW w:type="dxa" w:w="32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9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42424"/>
                <w:sz w:val="16"/>
              </w:rPr>
              <w:t>固化输入规范、版本和追溯导出，完成干净环境演示与资料脱敏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宋体" w:hAnsi="宋体" w:eastAsia="宋体"/>
          <w:b w:val="0"/>
          <w:i w:val="0"/>
          <w:color w:val="000000"/>
          <w:sz w:val="32"/>
        </w:rPr>
        <w:t>十一、产品与研究推进路线</w:t>
      </w:r>
    </w:p>
    <w:p>
      <w:pPr>
        <w:pStyle w:val="Heading2"/>
      </w:pPr>
      <w:r>
        <w:rPr>
          <w:rFonts w:ascii="宋体" w:hAnsi="宋体" w:eastAsia="宋体"/>
          <w:b w:val="0"/>
          <w:i w:val="0"/>
          <w:color w:val="000000"/>
          <w:sz w:val="26"/>
        </w:rPr>
        <w:t>阶段A：完善当前比赛原型</w:t>
      </w:r>
    </w:p>
    <w:p>
      <w:pPr>
        <w:keepLines/>
      </w:pPr>
      <w:r>
        <w:rPr>
          <w:rFonts w:ascii="宋体" w:hAnsi="宋体" w:eastAsia="宋体"/>
          <w:b w:val="0"/>
          <w:i w:val="0"/>
          <w:color w:val="242424"/>
          <w:sz w:val="21"/>
        </w:rPr>
        <w:t>冻结数据和模型版本；统一所有对外数字；使用一条通过完整筛查的真实路线演示“尺寸变化—局部余量—动作建议”链；让评委能从风险队列追到证据页；确保演示数据明确标注假设尺寸和离线性质。退出条件：所有关键数值可回指仓库文件，页面无伪造道路、障碍物或客户效果。</w:t>
      </w:r>
    </w:p>
    <w:p>
      <w:pPr>
        <w:pStyle w:val="Heading2"/>
      </w:pPr>
      <w:r>
        <w:rPr>
          <w:rFonts w:ascii="宋体" w:hAnsi="宋体" w:eastAsia="宋体"/>
          <w:b w:val="0"/>
          <w:i w:val="0"/>
          <w:color w:val="000000"/>
          <w:sz w:val="26"/>
        </w:rPr>
        <w:t>阶段B：建立真实批次验证集</w:t>
      </w:r>
    </w:p>
    <w:p>
      <w:pPr>
        <w:keepLines/>
      </w:pPr>
      <w:r>
        <w:rPr>
          <w:rFonts w:ascii="宋体" w:hAnsi="宋体" w:eastAsia="宋体"/>
          <w:b w:val="0"/>
          <w:i w:val="0"/>
          <w:color w:val="242424"/>
          <w:sz w:val="21"/>
        </w:rPr>
        <w:t xml:space="preserve">在规划器导出中新增 </w:t>
      </w:r>
      <w:r>
        <w:rPr>
          <w:rFonts w:ascii="Consolas" w:hAnsi="Consolas" w:eastAsia="宋体"/>
          <w:b w:val="0"/>
          <w:i w:val="0"/>
          <w:color w:val="242424"/>
          <w:sz w:val="21"/>
        </w:rPr>
        <w:t>planner_run_id</w:t>
      </w:r>
      <w:r>
        <w:rPr>
          <w:rFonts w:ascii="宋体" w:hAnsi="宋体" w:eastAsia="宋体"/>
          <w:b w:val="0"/>
          <w:i w:val="0"/>
          <w:color w:val="242424"/>
          <w:sz w:val="21"/>
        </w:rPr>
        <w:t>、</w:t>
      </w:r>
      <w:r>
        <w:rPr>
          <w:rFonts w:ascii="Consolas" w:hAnsi="Consolas" w:eastAsia="宋体"/>
          <w:b w:val="0"/>
          <w:i w:val="0"/>
          <w:color w:val="242424"/>
          <w:sz w:val="21"/>
        </w:rPr>
        <w:t>candidate_batch_id</w:t>
      </w:r>
      <w:r>
        <w:rPr>
          <w:rFonts w:ascii="宋体" w:hAnsi="宋体" w:eastAsia="宋体"/>
          <w:b w:val="0"/>
          <w:i w:val="0"/>
          <w:color w:val="242424"/>
          <w:sz w:val="21"/>
        </w:rPr>
        <w:t>、地图版本、车辆配置哈希、规划器版本、硬约束状态、路线生成时间和最终复核标签。以批次和地图隔离构造评测；优先观察有限预算下的失败捕获、严重失效漏检、重复路线占比和置信区间。退出条件：实验前锁定指标及模型/规则/随机对照，样本覆盖足以估计区间。</w:t>
      </w:r>
    </w:p>
    <w:p>
      <w:pPr>
        <w:pStyle w:val="Heading2"/>
      </w:pPr>
      <w:r>
        <w:rPr>
          <w:rFonts w:ascii="宋体" w:hAnsi="宋体" w:eastAsia="宋体"/>
          <w:b w:val="0"/>
          <w:i w:val="0"/>
          <w:color w:val="000000"/>
          <w:sz w:val="26"/>
        </w:rPr>
        <w:t>阶段C：验证工程价值与共创</w:t>
      </w:r>
    </w:p>
    <w:p>
      <w:pPr>
        <w:keepLines/>
      </w:pPr>
      <w:r>
        <w:rPr>
          <w:rFonts w:ascii="宋体" w:hAnsi="宋体" w:eastAsia="宋体"/>
          <w:b w:val="0"/>
          <w:i w:val="0"/>
          <w:color w:val="242424"/>
          <w:sz w:val="21"/>
        </w:rPr>
        <w:t>在客户授权和脱敏条件下，以配对任务或历史回放先验证“节省多少人工查看/仿真预算，同时是否漏掉重要失败”；随后再进入闭环仿真辅助和小规模现场试点。记录用户确认、解释可用性、耗时、纠错和版本信息。试点结论由客户工程人员确认，不用演示视频或合成案例冒充实车结果。</w:t>
      </w:r>
    </w:p>
    <w:p>
      <w:pPr>
        <w:pStyle w:val="Heading2"/>
      </w:pPr>
      <w:r>
        <w:rPr>
          <w:rFonts w:ascii="宋体" w:hAnsi="宋体" w:eastAsia="宋体"/>
          <w:b w:val="0"/>
          <w:i w:val="0"/>
          <w:color w:val="000000"/>
          <w:sz w:val="26"/>
        </w:rPr>
        <w:t>阶段D：规模化集成前置条件</w:t>
      </w:r>
    </w:p>
    <w:p>
      <w:pPr>
        <w:keepLines/>
      </w:pPr>
      <w:r>
        <w:rPr>
          <w:rFonts w:ascii="宋体" w:hAnsi="宋体" w:eastAsia="宋体"/>
          <w:b w:val="0"/>
          <w:i w:val="0"/>
          <w:color w:val="242424"/>
          <w:sz w:val="21"/>
        </w:rPr>
        <w:t>只有在新地图与新车型上性能稳定、可解释性获得工程用户认可、数据权限和部署安全方案明确后，才考虑接入仿真管理或路线规划平台。再评估本地/内网部署、API服务、权限控制、日志审计和模型更新。当前单机离线演示不需要租用云服务器；真实客户集成是否需要服务器取决于客户架构与数据治理要求。</w:t>
      </w:r>
    </w:p>
    <w:p>
      <w:pPr>
        <w:pStyle w:val="Heading1"/>
      </w:pPr>
      <w:r>
        <w:rPr>
          <w:rFonts w:ascii="宋体" w:hAnsi="宋体" w:eastAsia="宋体"/>
          <w:b w:val="0"/>
          <w:i w:val="0"/>
          <w:color w:val="000000"/>
          <w:sz w:val="32"/>
        </w:rPr>
        <w:t>十二、项目结论</w:t>
      </w:r>
    </w:p>
    <w:p>
      <w:pPr>
        <w:keepLines/>
      </w:pPr>
      <w:r>
        <w:rPr>
          <w:rFonts w:ascii="宋体" w:hAnsi="宋体" w:eastAsia="宋体"/>
          <w:b w:val="0"/>
          <w:i w:val="0"/>
          <w:color w:val="242424"/>
          <w:sz w:val="21"/>
        </w:rPr>
        <w:t>PathGuard已从算法结果展示推进到可操作的验证工作台：用户可以导入路线、查看风险排序、理解模型与规则差异、检查米制车身扫掠，在极少数可信边界样本上观察局部余量，并把后续验证结果记录下来。它的核心竞争力是</w:t>
      </w:r>
      <w:r>
        <w:rPr>
          <w:rFonts w:ascii="宋体" w:hAnsi="宋体" w:eastAsia="宋体"/>
          <w:b/>
          <w:i w:val="0"/>
          <w:color w:val="242424"/>
          <w:sz w:val="21"/>
        </w:rPr>
        <w:t>把有限验证资源转成可追溯的工程复核顺序</w:t>
      </w:r>
      <w:r>
        <w:rPr>
          <w:rFonts w:ascii="宋体" w:hAnsi="宋体" w:eastAsia="宋体"/>
          <w:b w:val="0"/>
          <w:i w:val="0"/>
          <w:color w:val="242424"/>
          <w:sz w:val="21"/>
        </w:rPr>
        <w:t>，而不是宣称AI比工程师更懂安全。</w:t>
      </w:r>
    </w:p>
    <w:p>
      <w:pPr>
        <w:keepLines/>
      </w:pPr>
      <w:r>
        <w:rPr>
          <w:rFonts w:ascii="宋体" w:hAnsi="宋体" w:eastAsia="宋体"/>
          <w:b w:val="0"/>
          <w:i w:val="0"/>
          <w:color w:val="242424"/>
          <w:sz w:val="21"/>
        </w:rPr>
        <w:t>最重要的后续工作不是盲目扩大模型复杂度，而是获取能回答“同一任务的多条路线中，PathGuard是否把失败和高风险项排在前面”的真实批次数据；补全边界与车辆配置证据；用试点记录工程师是否更快、是否漏掉关键问题。只有这些条件成立，模型消融、产品集成和商业化收益才有可靠落点。</w:t>
      </w:r>
    </w:p>
    <w:p>
      <w:pPr>
        <w:pStyle w:val="Heading1"/>
      </w:pPr>
      <w:r>
        <w:rPr>
          <w:rFonts w:ascii="宋体" w:hAnsi="宋体" w:eastAsia="宋体"/>
          <w:b w:val="0"/>
          <w:i w:val="0"/>
          <w:color w:val="000000"/>
          <w:sz w:val="32"/>
        </w:rPr>
        <w:t>参考资料与可追溯文件</w:t>
      </w:r>
    </w:p>
    <w:p>
      <w:pPr>
        <w:spacing w:after="60"/>
        <w:ind w:left="346" w:hanging="230"/>
      </w:pPr>
      <w:r>
        <w:rPr>
          <w:rFonts w:ascii="宋体" w:hAnsi="宋体" w:eastAsia="宋体"/>
          <w:b w:val="0"/>
          <w:i w:val="0"/>
          <w:color w:val="242424"/>
          <w:sz w:val="20"/>
        </w:rPr>
        <w:t>1. 燕山大学转发第十五届中国创新创业大赛“AI+工程机械”专业赛通知，2026-09-02，https://notice.ysu.edu.cn/info/2080/25798.htm</w:t>
      </w:r>
    </w:p>
    <w:p>
      <w:pPr>
        <w:spacing w:after="60"/>
        <w:ind w:left="346" w:hanging="230"/>
      </w:pPr>
      <w:r>
        <w:rPr>
          <w:rFonts w:ascii="宋体" w:hAnsi="宋体" w:eastAsia="宋体"/>
          <w:b w:val="0"/>
          <w:i w:val="0"/>
          <w:color w:val="242424"/>
          <w:sz w:val="20"/>
        </w:rPr>
        <w:t>2. 北京市丰台区人民政府，第十四届中国创新创业大赛工业智能体专业赛获奖项目，2026-01-30，https://www.bjft.gov.cn/xwdt/jcdt/bmdt/202601/t20260130_203287.shtml</w:t>
      </w:r>
    </w:p>
    <w:p>
      <w:pPr>
        <w:spacing w:after="60"/>
        <w:ind w:left="346" w:hanging="230"/>
      </w:pPr>
      <w:r>
        <w:rPr>
          <w:rFonts w:ascii="宋体" w:hAnsi="宋体" w:eastAsia="宋体"/>
          <w:b w:val="0"/>
          <w:i w:val="0"/>
          <w:color w:val="242424"/>
          <w:sz w:val="20"/>
        </w:rPr>
        <w:t>3. 冻结统计：</w:t>
      </w:r>
      <w:r>
        <w:rPr>
          <w:rFonts w:ascii="Consolas" w:hAnsi="Consolas" w:eastAsia="宋体"/>
          <w:b w:val="0"/>
          <w:i w:val="0"/>
          <w:color w:val="242424"/>
          <w:sz w:val="20"/>
        </w:rPr>
        <w:t>demo/data/freeze_data_card.json</w:t>
      </w:r>
      <w:r>
        <w:rPr>
          <w:rFonts w:ascii="宋体" w:hAnsi="宋体" w:eastAsia="宋体"/>
          <w:b w:val="0"/>
          <w:i w:val="0"/>
          <w:color w:val="242424"/>
          <w:sz w:val="20"/>
        </w:rPr>
        <w:t>；特征契约：</w:t>
      </w:r>
      <w:r>
        <w:rPr>
          <w:rFonts w:ascii="Consolas" w:hAnsi="Consolas" w:eastAsia="宋体"/>
          <w:b w:val="0"/>
          <w:i w:val="0"/>
          <w:color w:val="242424"/>
          <w:sz w:val="20"/>
        </w:rPr>
        <w:t>demo/data/feature_contract_v2.json</w:t>
      </w:r>
      <w:r>
        <w:rPr>
          <w:rFonts w:ascii="宋体" w:hAnsi="宋体" w:eastAsia="宋体"/>
          <w:b w:val="0"/>
          <w:i w:val="0"/>
          <w:color w:val="242424"/>
          <w:sz w:val="20"/>
        </w:rPr>
        <w:t>。</w:t>
      </w:r>
    </w:p>
    <w:p>
      <w:pPr>
        <w:spacing w:after="60"/>
        <w:ind w:left="346" w:hanging="230"/>
      </w:pPr>
      <w:r>
        <w:rPr>
          <w:rFonts w:ascii="宋体" w:hAnsi="宋体" w:eastAsia="宋体"/>
          <w:b w:val="0"/>
          <w:i w:val="0"/>
          <w:color w:val="242424"/>
          <w:sz w:val="20"/>
        </w:rPr>
        <w:t>4. 留出指标：</w:t>
      </w:r>
      <w:r>
        <w:rPr>
          <w:rFonts w:ascii="Consolas" w:hAnsi="Consolas" w:eastAsia="宋体"/>
          <w:b w:val="0"/>
          <w:i w:val="0"/>
          <w:color w:val="242424"/>
          <w:sz w:val="20"/>
        </w:rPr>
        <w:t>reports/final/tables/heldout_methods_v3.csv</w:t>
      </w:r>
      <w:r>
        <w:rPr>
          <w:rFonts w:ascii="宋体" w:hAnsi="宋体" w:eastAsia="宋体"/>
          <w:b w:val="0"/>
          <w:i w:val="0"/>
          <w:color w:val="242424"/>
          <w:sz w:val="20"/>
        </w:rPr>
        <w:t>；候选批次代理：</w:t>
      </w:r>
      <w:r>
        <w:rPr>
          <w:rFonts w:ascii="Consolas" w:hAnsi="Consolas" w:eastAsia="宋体"/>
          <w:b w:val="0"/>
          <w:i w:val="0"/>
          <w:color w:val="242424"/>
          <w:sz w:val="20"/>
        </w:rPr>
        <w:t>reports/final/tables/candidate_batch_proxy_metrics.csv</w:t>
      </w:r>
      <w:r>
        <w:rPr>
          <w:rFonts w:ascii="宋体" w:hAnsi="宋体" w:eastAsia="宋体"/>
          <w:b w:val="0"/>
          <w:i w:val="0"/>
          <w:color w:val="242424"/>
          <w:sz w:val="20"/>
        </w:rPr>
        <w:t>。</w:t>
      </w:r>
    </w:p>
    <w:p>
      <w:pPr>
        <w:spacing w:after="60"/>
        <w:ind w:left="346" w:hanging="230"/>
      </w:pPr>
      <w:r>
        <w:rPr>
          <w:rFonts w:ascii="宋体" w:hAnsi="宋体" w:eastAsia="宋体"/>
          <w:b w:val="0"/>
          <w:i w:val="0"/>
          <w:color w:val="242424"/>
          <w:sz w:val="20"/>
        </w:rPr>
        <w:t>5. 边界审计：</w:t>
      </w:r>
      <w:r>
        <w:rPr>
          <w:rFonts w:ascii="Consolas" w:hAnsi="Consolas" w:eastAsia="宋体"/>
          <w:b w:val="0"/>
          <w:i w:val="0"/>
          <w:color w:val="242424"/>
          <w:sz w:val="20"/>
        </w:rPr>
        <w:t>reports/final/tables/boundary_integrity_reaudit.csv</w:t>
      </w:r>
      <w:r>
        <w:rPr>
          <w:rFonts w:ascii="宋体" w:hAnsi="宋体" w:eastAsia="宋体"/>
          <w:b w:val="0"/>
          <w:i w:val="0"/>
          <w:color w:val="242424"/>
          <w:sz w:val="20"/>
        </w:rPr>
        <w:t>；统一口径：</w:t>
      </w:r>
      <w:r>
        <w:rPr>
          <w:rFonts w:ascii="Consolas" w:hAnsi="Consolas" w:eastAsia="宋体"/>
          <w:b w:val="0"/>
          <w:i w:val="0"/>
          <w:color w:val="242424"/>
          <w:sz w:val="20"/>
        </w:rPr>
        <w:t>docs/final/PathGuard结果口径_v3.md</w:t>
      </w:r>
      <w:r>
        <w:rPr>
          <w:rFonts w:ascii="宋体" w:hAnsi="宋体" w:eastAsia="宋体"/>
          <w:b w:val="0"/>
          <w:i w:val="0"/>
          <w:color w:val="242424"/>
          <w:sz w:val="20"/>
        </w:rPr>
        <w:t>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123" w:right="1123" w:bottom="1037" w:left="1123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宋体" w:hAnsi="宋体" w:eastAsia="宋体"/>
        <w:color w:val="5A5A5A"/>
        <w:sz w:val="16"/>
      </w:rPr>
      <w:t xml:space="preserve">项目书正式版 v3  ·  2026.09     |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宋体" w:hAnsi="宋体" w:eastAsia="宋体"/>
        <w:color w:val="555555"/>
        <w:sz w:val="16"/>
      </w:rPr>
      <w:t>PathGuard  |  工程车辆候选轨迹验证优先级工作台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10" w:line="300" w:lineRule="auto"/>
    </w:pPr>
    <w:rPr>
      <w:rFonts w:ascii="宋体" w:hAnsi="宋体" w:eastAsia="宋体"/>
      <w:b w:val="0"/>
      <w:color w:val="2424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PathGuard 工程车辆候选轨迹验证优先级工作台 项目计划书</dc:title>
  <dc:subject>AI+工程机械专业赛 AI+产品方向项目计划书</dc:subject>
  <dc:creator>PathGuard 项目组</dc:creator>
  <cp:keywords>工程车辆;候选轨迹;风险排序;可信拒判;验证决策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