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Laudo Técnico Interno</w:t>
      </w:r>
    </w:p>
    <w:p>
      <w:pPr>
        <w:spacing w:after="200"/>
      </w:pPr>
      <w:r>
        <w:rPr>
          <w:i/>
          <w:iCs/>
          <w:color w:val="595959"/>
          <w:sz w:val="24"/>
          <w:szCs w:val="24"/>
        </w:rPr>
        <w:t xml:space="preserve">Falha recorrente em teclados sem fio recarregáveis via USB (defeito de lote)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Elaborado por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Matheus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Setor / TI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__________________________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25/06/2026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Destinatário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Gestão / Chefia interna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Equipamento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Kit teclado + mouse sem fio (teclado recarregável via USB)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Modelo / Marca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NeoSansung (marca/modelo conforme nota fiscal) – ________________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Unidades afetadas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Entre 6 e 15 unidades do mesmo modelo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 Objetivo</w:t>
      </w:r>
    </w:p>
    <w:p>
      <w:pPr>
        <w:spacing w:after="120"/>
      </w:pPr>
      <w:r>
        <w:t xml:space="preserve">Este laudo registra a falha recorrente identificada em teclados sem fio recarregáveis via USB, do mesmo modelo, em uso na empresa, e fundamenta a recomendação de substituição do modelo e o acionamento de garantia junto ao fornecedor.</w:t>
      </w:r>
    </w:p>
    <w:p>
      <w:pPr>
        <w:pStyle w:val="Heading2"/>
      </w:pPr>
      <w:r>
        <w:t xml:space="preserve">2. Descrição do problema</w:t>
      </w:r>
    </w:p>
    <w:p>
      <w:pPr>
        <w:spacing w:after="120"/>
      </w:pPr>
      <w:r>
        <w:t xml:space="preserve">Os teclados param de funcionar após a bateria interna descarregar completamente. Mesmo recolocados para carregar, não voltam a funcionar. O mouse do mesmo kit continua operando normalmente – apenas o teclado é afetado. O problema se repete em várias unidades do mesmo modelo.</w:t>
      </w:r>
    </w:p>
    <w:p>
      <w:pPr>
        <w:spacing w:after="120"/>
      </w:pPr>
      <w:r>
        <w:rPr>
          <w:b/>
          <w:bCs/>
        </w:rPr>
        <w:t xml:space="preserve">Importante: </w:t>
      </w:r>
      <w:r>
        <w:t xml:space="preserve">o teclado não usa pilhas substituíveis; possui bateria de lítio interna recarregada exclusivamente por cabo USB, o que impede a simples troca da fonte de energia.</w:t>
      </w:r>
    </w:p>
    <w:p>
      <w:pPr>
        <w:pStyle w:val="Heading2"/>
      </w:pPr>
      <w:r>
        <w:t xml:space="preserve">3. Procedimentos já executados</w:t>
      </w:r>
    </w:p>
    <w:p>
      <w:pPr>
        <w:spacing w:after="120"/>
      </w:pPr>
      <w:r>
        <w:t xml:space="preserve">Antes da emissão deste laudo, foram realizados os procedimentos padrão de recuperação, sem sucesso: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Carregamento do teclado por período prolongado via cabo USB.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Reconexão / re-pareamento do teclado ao receptor USB (dongle).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 em diferentes portas USB e computadores.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Desligar e religar o teclado pelo interruptor.</w:t>
      </w:r>
    </w:p>
    <w:p>
      <w:pPr>
        <w:spacing w:after="120"/>
      </w:pPr>
      <w:r>
        <w:t xml:space="preserve">Em todos os casos o teclado permaneceu inoperante, enquanto o mouse seguiu funcionando.</w:t>
      </w:r>
    </w:p>
    <w:p>
      <w:pPr>
        <w:pStyle w:val="Heading2"/>
      </w:pPr>
      <w:r>
        <w:t xml:space="preserve">4. Análise técnica</w:t>
      </w:r>
    </w:p>
    <w:p>
      <w:pPr>
        <w:spacing w:after="120"/>
      </w:pPr>
      <w:r>
        <w:t xml:space="preserve">O conjunto de evidências indica defeito de fabricação na bateria/circuito de carga do teclado, de natureza de lote (afeta múltiplas unidades do mesmo modelo).</w:t>
      </w:r>
    </w:p>
    <w:p>
      <w:pPr>
        <w:spacing w:after="120"/>
      </w:pPr>
      <w:r>
        <w:rPr>
          <w:b/>
          <w:bCs/>
        </w:rPr>
        <w:t xml:space="preserve">Causa provável: </w:t>
      </w:r>
      <w:r>
        <w:t xml:space="preserve">baterias de lítio internas possuem um circuito de proteção. Quando a célula descarrega abaixo do limite de segurança (descarga profunda), esse circuito trava e passa a recusar a recarga para proteger a bateria (“deep discharge lockout”). O carregador fornece energia, mas a placa não reativa a célula. O mouse não sofre o mesmo efeito porque consome muito menos energia e raramente atinge a descarga profunda.</w:t>
      </w:r>
    </w:p>
    <w:p>
      <w:pPr>
        <w:spacing w:after="120"/>
      </w:pPr>
      <w:r>
        <w:t xml:space="preserve">Fatores que confirmam tratar-se de defeito do modelo, e não de uso indevido: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falha ocorre em várias unidades idênticas – padrão típico de defeito de lote/projeto, não de mau uso individual.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mouse do mesmo kit não falha – indica problema específico do dimensionamento/proteção da bateria do teclado.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procedimentos de recarga, re-pareamento e troca de porta já foram esgotados sem resultado – descarta causas de software/configuração, restando falha de hardware.</w:t>
      </w:r>
    </w:p>
    <w:p>
      <w:pPr>
        <w:pStyle w:val="Heading2"/>
      </w:pPr>
      <w:r>
        <w:t xml:space="preserve">5. Conclusão</w:t>
      </w:r>
    </w:p>
    <w:p>
      <w:pPr>
        <w:spacing w:after="120"/>
      </w:pPr>
      <w:r>
        <w:t xml:space="preserve">Trata-se de defeito de fabricação de caráter de lote no teclado do modelo em questão. Não há correção viável no dia a dia: uma vez ocorrida a descarga profunda, o teclado torna-se inutilizável e, por não permitir troca de bateria nem haver peça de reposição, configura perda do equipamento.</w:t>
      </w:r>
    </w:p>
    <w:p>
      <w:pPr>
        <w:pStyle w:val="Heading2"/>
      </w:pPr>
      <w:r>
        <w:t xml:space="preserve">6. Recomendações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Acionar a garantia / o fornecedor pelas unidades já defeituosas, registrando o defeito de lote (vício do produto).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Descontinuar a compra deste modelo.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Padronizar a reposição por equipamentos de maior confiabilidade, priorizando: (a) teclados a pilha AA/AAA de marca conhecida – quando descarregam, basta trocar a pilha e não sofrem do travamento de lítio; ou (b) teclados recarregáveis USB de marcas confiáveis (ex.: Logitech, Microsoft, Multilaser), que possuem circuito de proteção mais robusto.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Manter o registro das unidades afetadas (ver planilha de rastreio anexa) para dimensionar o impacto e embasar a negociação com o fornecedor.</w:t>
      </w:r>
    </w:p>
    <w:p>
      <w:pPr>
        <w:pStyle w:val="Heading2"/>
      </w:pPr>
      <w:r>
        <w:t xml:space="preserve">7. Observação final</w:t>
      </w:r>
    </w:p>
    <w:p>
      <w:pPr>
        <w:spacing w:after="120"/>
      </w:pPr>
      <w:r>
        <w:t xml:space="preserve">A falha não decorre de uso incorreto pelos colaboradores nem de erro de configuração. É uma limitação de hardware do modelo. A medida mais econômica a médio prazo é interromper o uso deste modelo e padronizar a reposição conforme o item 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Laudo técnico interno – Teclados sem fio recarregáveis  | 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2026-06-25T18:23:59.660Z</dcterms:created>
  <dcterms:modified xsi:type="dcterms:W3CDTF">2026-06-25T18:23:59.662Z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