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Клиентская база и рост LTV</w:t>
      </w:r>
    </w:p>
    <w:p>
      <w:pPr>
        <w:pStyle w:val="Subtitle"/>
      </w:pPr>
      <w:r>
        <w:t>Бизнес-выводы и программа CRM-экспериментов</w:t>
      </w:r>
    </w:p>
    <w:p>
      <w:pPr>
        <w:pStyle w:val="Subtitle"/>
      </w:pPr>
      <w:r>
        <w:t>Артём Томай  •  Marketplace Sales Analytics  •  2023</w:t>
      </w:r>
    </w:p>
    <w:p>
      <w:r>
        <w:rPr>
          <w:b w:val="0"/>
        </w:rPr>
        <w:t>Приоритет развития существующей базы — экономически оправданная повторная активность. Около 62,8% клиентов покупали в один или два дня за 2023 год. Повтор за 30 дней наблюдается у 15,19% клиентов с полным окном, а за 90 дней — у 39,30%. Для фиксированных когорт января–июня месячный retention после M0 находится около 15–16%.</w:t>
      </w:r>
    </w:p>
    <w:p>
      <w:pPr>
        <w:pStyle w:val="Heading2"/>
      </w:pPr>
      <w:r>
        <w:t>Предлагаемые действия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5386"/>
      </w:tblGrid>
      <w:tr>
        <w:trPr>
          <w:cantSplit/>
          <w:cantSplit/>
          <w:cantSplit/>
          <w:tblHeader/>
        </w:trPr>
        <w:tc>
          <w:tcPr>
            <w:tcW w:type="dxa" w:w="230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Аудитория</w:t>
            </w:r>
          </w:p>
        </w:tc>
        <w:tc>
          <w:tcPr>
            <w:tcW w:type="dxa" w:w="230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Основная задача</w:t>
            </w:r>
          </w:p>
        </w:tc>
        <w:tc>
          <w:tcPr>
            <w:tcW w:type="dxa" w:w="5386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Проверяемое действие</w:t>
            </w:r>
          </w:p>
        </w:tc>
      </w:tr>
      <w:tr>
        <w:trPr>
          <w:cantSplit/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Новые и редкие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Второй активный день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Персональные рекомендации после первой покупки</w:t>
            </w:r>
          </w:p>
        </w:tc>
      </w:tr>
      <w:tr>
        <w:trPr>
          <w:cantSplit/>
          <w:cantSplit/>
          <w:cantSplit/>
        </w:trPr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Перспективные</w:t>
            </w:r>
          </w:p>
        </w:tc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Регулярность</w:t>
            </w:r>
          </w:p>
        </w:tc>
        <w:tc>
          <w:tcPr>
            <w:tcW w:type="dxa" w:w="538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Релевантный cross-sell и повторные контакты</w:t>
            </w:r>
          </w:p>
        </w:tc>
      </w:tr>
      <w:tr>
        <w:trPr>
          <w:cantSplit/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Лучшие и лояльные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Удержание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Сервис, удобство и привилегии</w:t>
            </w:r>
          </w:p>
        </w:tc>
      </w:tr>
      <w:tr>
        <w:trPr>
          <w:cantSplit/>
          <w:cantSplit/>
          <w:cantSplit/>
        </w:trPr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Ценные неактивные</w:t>
            </w:r>
          </w:p>
        </w:tc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Реактивация</w:t>
            </w:r>
          </w:p>
        </w:tc>
        <w:tc>
          <w:tcPr>
            <w:tcW w:type="dxa" w:w="538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Персональное предложение с контрольной группой</w:t>
            </w:r>
          </w:p>
        </w:tc>
      </w:tr>
      <w:tr>
        <w:trPr>
          <w:cantSplit/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Низкоценные спящие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Экономия бюджета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Дешёвые касания при положительном чистом эффекте</w:t>
            </w:r>
          </w:p>
        </w:tc>
      </w:tr>
    </w:tbl>
    <w:p>
      <w:pPr>
        <w:spacing w:after="0"/>
      </w:pPr>
    </w:p>
    <w:p>
      <w:r>
        <w:rPr>
          <w:b w:val="0"/>
        </w:rPr>
        <w:t>Историческая ценность позволяет выбрать аудиторию, но не гарантирует высокий отклик на кампанию. Для ценных неактивных доля базы составляет 10,18%, а доля исторической выручки — 17,68%. Этот разрыв обосновывает отдельную проверку реактивации, сохраняя контроль естественных возвратов.</w:t>
      </w:r>
    </w:p>
    <w:p>
      <w:pPr>
        <w:pStyle w:val="Heading2"/>
      </w:pPr>
      <w:r>
        <w:t>Что здесь означает LTV</w:t>
      </w:r>
    </w:p>
    <w:p>
      <w:r>
        <w:rPr>
          <w:b w:val="0"/>
        </w:rPr>
        <w:t>Наблюдаемый LTV — накопленная выручка на исходного клиента когорты за одинаковый горизонт M0–M6. Он растёт с 907 835 до 1 763 238 ₽, или на 94,22% к M0. Это описание накопления продаж, а не доказательство результата CRM или оценка полной прибыли за жизнь клиента.</w:t>
      </w:r>
    </w:p>
    <w:p>
      <w:r>
        <w:rPr>
          <w:b w:val="0"/>
        </w:rPr>
        <w:t>Отчёт сопровождают презентация 02_Clients_LTV.pptx, текст защиты и полный сохранённый SQL. Рекомендации рассчитаны на проверку в контролируемых экспериментах.</w:t>
      </w:r>
    </w:p>
    <w:p>
      <w:r>
        <w:br w:type="page"/>
      </w:r>
    </w:p>
    <w:p>
      <w:pPr>
        <w:pStyle w:val="Heading1"/>
      </w:pPr>
      <w:r>
        <w:t>Определения и профиль клиентской базы</w:t>
      </w:r>
    </w:p>
    <w:p>
      <w:r>
        <w:rPr>
          <w:b w:val="0"/>
        </w:rPr>
        <w:t>В анализ входят продажи 2023 года с quantity &gt; 0. База содержит 864 460 уникальных клиентов. Поскольку order_id отсутствует, Frequency измеряет уникальные дни покупки. Повторная покупка означает следующий день с продажей. Несколько покупок внутри дня не разделяются.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3946"/>
      </w:tblGrid>
      <w:tr>
        <w:trPr>
          <w:cantSplit/>
          <w:cantSplit/>
          <w:tblHeader/>
        </w:trPr>
        <w:tc>
          <w:tcPr>
            <w:tcW w:type="dxa" w:w="6048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946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Значение</w:t>
            </w:r>
          </w:p>
        </w:tc>
      </w:tr>
      <w:tr>
        <w:trPr>
          <w:cantSplit/>
          <w:cantSplit/>
        </w:trPr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Клиенты</w:t>
            </w:r>
          </w:p>
        </w:tc>
        <w:tc>
          <w:tcPr>
            <w:tcW w:type="dxa" w:w="39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864 460</w:t>
            </w:r>
          </w:p>
        </w:tc>
      </w:tr>
      <w:tr>
        <w:trPr>
          <w:cantSplit/>
          <w:cantSplit/>
        </w:trPr>
        <w:tc>
          <w:tcPr>
            <w:tcW w:type="dxa" w:w="604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Среднее число активных дней</w:t>
            </w:r>
          </w:p>
        </w:tc>
        <w:tc>
          <w:tcPr>
            <w:tcW w:type="dxa" w:w="394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2,31</w:t>
            </w:r>
          </w:p>
        </w:tc>
      </w:tr>
      <w:tr>
        <w:trPr>
          <w:cantSplit/>
          <w:cantSplit/>
        </w:trPr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Медиана активных дней</w:t>
            </w:r>
          </w:p>
        </w:tc>
        <w:tc>
          <w:tcPr>
            <w:tcW w:type="dxa" w:w="39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604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Средняя годовая выручка на клиента</w:t>
            </w:r>
          </w:p>
        </w:tc>
        <w:tc>
          <w:tcPr>
            <w:tcW w:type="dxa" w:w="394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1 937 290 ₽</w:t>
            </w:r>
          </w:p>
        </w:tc>
      </w:tr>
      <w:tr>
        <w:trPr>
          <w:cantSplit/>
          <w:cantSplit/>
        </w:trPr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Медиана годовой выручки</w:t>
            </w:r>
          </w:p>
        </w:tc>
        <w:tc>
          <w:tcPr>
            <w:tcW w:type="dxa" w:w="39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1 330 662 ₽</w:t>
            </w:r>
          </w:p>
        </w:tc>
      </w:tr>
    </w:tbl>
    <w:p>
      <w:pPr>
        <w:spacing w:after="0"/>
      </w:pPr>
    </w:p>
    <w:p>
      <w:r>
        <w:rPr>
          <w:b w:val="0"/>
        </w:rPr>
        <w:t>Средняя выручка выше медианной: часть покупателей создаёт существенно больше денежной ценности. Частота при этом низкая у значительной части базы. Такой срез описывает наблюдаемый год, но не позволяет сравнивать клиентов с разной датой появления без дополнительной поправки на срок наблюдения.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600"/>
        <w:gridCol w:w="3082"/>
      </w:tblGrid>
      <w:tr>
        <w:trPr>
          <w:cantSplit/>
          <w:cantSplit/>
          <w:cantSplit/>
          <w:tblHeader/>
        </w:trPr>
        <w:tc>
          <w:tcPr>
            <w:tcW w:type="dxa" w:w="3312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Активных дней</w:t>
            </w:r>
          </w:p>
        </w:tc>
        <w:tc>
          <w:tcPr>
            <w:tcW w:type="dxa" w:w="360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Клиентов</w:t>
            </w:r>
          </w:p>
        </w:tc>
        <w:tc>
          <w:tcPr>
            <w:tcW w:type="dxa" w:w="3082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Доля</w:t>
            </w:r>
          </w:p>
        </w:tc>
      </w:tr>
      <w:tr>
        <w:trPr>
          <w:cantSplit/>
          <w:cantSplit/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271 199</w:t>
            </w:r>
          </w:p>
        </w:tc>
        <w:tc>
          <w:tcPr>
            <w:tcW w:type="dxa" w:w="3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31,37%</w:t>
            </w:r>
          </w:p>
        </w:tc>
      </w:tr>
      <w:tr>
        <w:trPr>
          <w:cantSplit/>
          <w:cantSplit/>
          <w:cantSplit/>
        </w:trPr>
        <w:tc>
          <w:tcPr>
            <w:tcW w:type="dxa" w:w="331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6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271 605</w:t>
            </w:r>
          </w:p>
        </w:tc>
        <w:tc>
          <w:tcPr>
            <w:tcW w:type="dxa" w:w="308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31,42%</w:t>
            </w:r>
          </w:p>
        </w:tc>
      </w:tr>
      <w:tr>
        <w:trPr>
          <w:cantSplit/>
          <w:cantSplit/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180 480</w:t>
            </w:r>
          </w:p>
        </w:tc>
        <w:tc>
          <w:tcPr>
            <w:tcW w:type="dxa" w:w="3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20,88%</w:t>
            </w:r>
          </w:p>
        </w:tc>
      </w:tr>
      <w:tr>
        <w:trPr>
          <w:cantSplit/>
          <w:cantSplit/>
          <w:cantSplit/>
        </w:trPr>
        <w:tc>
          <w:tcPr>
            <w:tcW w:type="dxa" w:w="331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6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89 862</w:t>
            </w:r>
          </w:p>
        </w:tc>
        <w:tc>
          <w:tcPr>
            <w:tcW w:type="dxa" w:w="308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10,40%</w:t>
            </w:r>
          </w:p>
        </w:tc>
      </w:tr>
      <w:tr>
        <w:trPr>
          <w:cantSplit/>
          <w:cantSplit/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35 536</w:t>
            </w:r>
          </w:p>
        </w:tc>
        <w:tc>
          <w:tcPr>
            <w:tcW w:type="dxa" w:w="3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4,11%</w:t>
            </w:r>
          </w:p>
        </w:tc>
      </w:tr>
      <w:tr>
        <w:trPr>
          <w:cantSplit/>
          <w:cantSplit/>
          <w:cantSplit/>
        </w:trPr>
        <w:tc>
          <w:tcPr>
            <w:tcW w:type="dxa" w:w="331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6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11 548</w:t>
            </w:r>
          </w:p>
        </w:tc>
        <w:tc>
          <w:tcPr>
            <w:tcW w:type="dxa" w:w="308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1,34%</w:t>
            </w:r>
          </w:p>
        </w:tc>
      </w:tr>
      <w:tr>
        <w:trPr>
          <w:cantSplit/>
          <w:cantSplit/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3 244</w:t>
            </w:r>
          </w:p>
        </w:tc>
        <w:tc>
          <w:tcPr>
            <w:tcW w:type="dxa" w:w="3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0,38%</w:t>
            </w:r>
          </w:p>
        </w:tc>
      </w:tr>
      <w:tr>
        <w:trPr>
          <w:cantSplit/>
          <w:cantSplit/>
          <w:cantSplit/>
        </w:trPr>
        <w:tc>
          <w:tcPr>
            <w:tcW w:type="dxa" w:w="331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6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776</w:t>
            </w:r>
          </w:p>
        </w:tc>
        <w:tc>
          <w:tcPr>
            <w:tcW w:type="dxa" w:w="308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0,09%</w:t>
            </w:r>
          </w:p>
        </w:tc>
      </w:tr>
      <w:tr>
        <w:trPr>
          <w:cantSplit/>
          <w:cantSplit/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9+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210</w:t>
            </w:r>
          </w:p>
        </w:tc>
        <w:tc>
          <w:tcPr>
            <w:tcW w:type="dxa" w:w="3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0,02%</w:t>
            </w:r>
          </w:p>
        </w:tc>
      </w:tr>
    </w:tbl>
    <w:p>
      <w:pPr>
        <w:spacing w:after="0"/>
      </w:pPr>
    </w:p>
    <w:p>
      <w:r>
        <w:rPr>
          <w:b w:val="0"/>
        </w:rPr>
        <w:t>Recency рассчитывается как число дней от последней покупки до 1 января 2024 года. Monetary — сумма выручки клиента. Первая наблюдаемая покупка не обязательно является первой покупкой в жизни: история до 2023 года отсутствует.</w:t>
      </w:r>
    </w:p>
    <w:p>
      <w:r>
        <w:br w:type="page"/>
      </w:r>
    </w:p>
    <w:p>
      <w:pPr>
        <w:pStyle w:val="Heading1"/>
      </w:pPr>
      <w:r>
        <w:t>RFM и приоритеты работы с сегментами</w:t>
      </w:r>
    </w:p>
    <w:p>
      <w:r>
        <w:rPr>
          <w:b w:val="0"/>
        </w:rPr>
        <w:t>Для Recency и Monetary используются эмпирические квинтили. У Frequency значения дискретны, поэтому выбраны категории 1, 2, 3, 4 и 5+ дней. Такой подход не разносит одинаковую активность по разным квантильным группам искусственно.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82"/>
      </w:tblGrid>
      <w:tr>
        <w:trPr>
          <w:cantSplit/>
          <w:cantSplit/>
          <w:tblHeader/>
        </w:trPr>
        <w:tc>
          <w:tcPr>
            <w:tcW w:type="dxa" w:w="1512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8482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Границы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R</w:t>
            </w:r>
          </w:p>
        </w:tc>
        <w:tc>
          <w:tcPr>
            <w:tcW w:type="dxa" w:w="84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R5 ≤ 33, R4 ≤ 81, R3 ≤ 135, R2 ≤ 214 дней, иначе R1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F</w:t>
            </w:r>
          </w:p>
        </w:tc>
        <w:tc>
          <w:tcPr>
            <w:tcW w:type="dxa" w:w="848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F1 = 1 день, F2 = 2, F3 = 3, F4 = 4, F5 = 5+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M</w:t>
            </w:r>
          </w:p>
        </w:tc>
        <w:tc>
          <w:tcPr>
            <w:tcW w:type="dxa" w:w="84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341 150, 937 152, 1 812 834 и 3 267 837 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728"/>
        <w:gridCol w:w="2016"/>
        <w:gridCol w:w="3010"/>
      </w:tblGrid>
      <w:tr>
        <w:trPr>
          <w:cantSplit/>
          <w:cantSplit/>
          <w:cantSplit/>
          <w:cantSplit/>
          <w:tblHeader/>
        </w:trPr>
        <w:tc>
          <w:tcPr>
            <w:tcW w:type="dxa" w:w="324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9"/>
              </w:rPr>
              <w:t>Сегмент</w:t>
            </w:r>
          </w:p>
        </w:tc>
        <w:tc>
          <w:tcPr>
            <w:tcW w:type="dxa" w:w="1728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9"/>
              </w:rPr>
              <w:t>Доля базы</w:t>
            </w:r>
          </w:p>
        </w:tc>
        <w:tc>
          <w:tcPr>
            <w:tcW w:type="dxa" w:w="2016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9"/>
              </w:rPr>
              <w:t>Доля выручки</w:t>
            </w:r>
          </w:p>
        </w:tc>
        <w:tc>
          <w:tcPr>
            <w:tcW w:type="dxa" w:w="301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9"/>
              </w:rPr>
              <w:t>Приоритет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Перспективные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≈20,4%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≈24,1%</w:t>
            </w:r>
          </w:p>
        </w:tc>
        <w:tc>
          <w:tcPr>
            <w:tcW w:type="dxa" w:w="30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Регулярность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4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Лучшие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≈8,5%</w:t>
            </w:r>
          </w:p>
        </w:tc>
        <w:tc>
          <w:tcPr>
            <w:tcW w:type="dxa" w:w="201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≈20,0%</w:t>
            </w:r>
          </w:p>
        </w:tc>
        <w:tc>
          <w:tcPr>
            <w:tcW w:type="dxa" w:w="301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Удержание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Ценные неактивные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10,18%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17,68%</w:t>
            </w:r>
          </w:p>
        </w:tc>
        <w:tc>
          <w:tcPr>
            <w:tcW w:type="dxa" w:w="30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Реактивация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4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Лояльные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≈4,8%</w:t>
            </w:r>
          </w:p>
        </w:tc>
        <w:tc>
          <w:tcPr>
            <w:tcW w:type="dxa" w:w="201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≈7,6%</w:t>
            </w:r>
          </w:p>
        </w:tc>
        <w:tc>
          <w:tcPr>
            <w:tcW w:type="dxa" w:w="301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Удержание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Спящие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≈19,1%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≈3,3%</w:t>
            </w:r>
          </w:p>
        </w:tc>
        <w:tc>
          <w:tcPr>
            <w:tcW w:type="dxa" w:w="30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Контроль затрат</w:t>
            </w:r>
          </w:p>
        </w:tc>
      </w:tr>
    </w:tbl>
    <w:p>
      <w:pPr>
        <w:spacing w:after="0"/>
      </w:pPr>
    </w:p>
    <w:p>
      <w:r>
        <w:rPr>
          <w:b w:val="0"/>
        </w:rPr>
        <w:t>Показаны ключевые сегменты, а не полное распределение. Полные правила SQL также выделяют новых, активных низкой частоты, требующих внимания, клиентов под риском, уходящих и остальных. Условия пересекаются, поэтому порядок CASE влияет на отнесение к сегменту.</w:t>
      </w:r>
    </w:p>
    <w:p>
      <w:pPr>
        <w:pStyle w:val="Heading2"/>
      </w:pPr>
      <w:r>
        <w:t>Почему нельзя максимизировать все компоненты</w:t>
      </w:r>
    </w:p>
    <w:p>
      <w:r>
        <w:rPr>
          <w:b w:val="0"/>
        </w:rPr>
        <w:t>Лучшим клиентам не обязательно увеличивать Frequency скидками: они могут купить и без стимулирования. Для новых важен переход ко второму дню покупки. Для ценных неактивных важен дополнительный возврат. Для низкоценной спящей базы дорогое стимулирование может не окупиться.</w:t>
      </w:r>
    </w:p>
    <w:p>
      <w:r>
        <w:rPr>
          <w:b w:val="0"/>
        </w:rPr>
        <w:t>При мониторинге переходов между RFM-сегментами следует сохранять версию правил и одинаковые окна расчёта. Изменение квинтильных границ или длины окна само по себе способно переместить клиента без реального изменения поведения.</w:t>
      </w:r>
    </w:p>
    <w:p>
      <w:r>
        <w:br w:type="page"/>
      </w:r>
    </w:p>
    <w:p>
      <w:pPr>
        <w:pStyle w:val="Heading1"/>
      </w:pPr>
      <w:r>
        <w:t>Повторная покупка и время возврата</w:t>
      </w:r>
    </w:p>
    <w:p>
      <w:r>
        <w:drawing>
          <wp:inline xmlns:a="http://schemas.openxmlformats.org/drawingml/2006/main" xmlns:pic="http://schemas.openxmlformats.org/drawingml/2006/picture">
            <wp:extent cx="6126480" cy="2461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e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61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18"/>
        </w:rPr>
        <w:t>Рисунок 1. Повторный активный день в пределах фиксированного окна.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952"/>
        <w:gridCol w:w="2520"/>
        <w:gridCol w:w="2866"/>
      </w:tblGrid>
      <w:tr>
        <w:trPr>
          <w:cantSplit/>
          <w:cantSplit/>
          <w:cantSplit/>
          <w:cantSplit/>
          <w:tblHeader/>
        </w:trPr>
        <w:tc>
          <w:tcPr>
            <w:tcW w:type="dxa" w:w="1656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Окно</w:t>
            </w:r>
          </w:p>
        </w:tc>
        <w:tc>
          <w:tcPr>
            <w:tcW w:type="dxa" w:w="2952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Полное наблюдение</w:t>
            </w:r>
          </w:p>
        </w:tc>
        <w:tc>
          <w:tcPr>
            <w:tcW w:type="dxa" w:w="252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Повторили</w:t>
            </w:r>
          </w:p>
        </w:tc>
        <w:tc>
          <w:tcPr>
            <w:tcW w:type="dxa" w:w="2866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Repeat rate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30 дней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838 623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127 345</w:t>
            </w:r>
          </w:p>
        </w:tc>
        <w:tc>
          <w:tcPr>
            <w:tcW w:type="dxa" w:w="2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15,19%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65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60 дней</w:t>
            </w:r>
          </w:p>
        </w:tc>
        <w:tc>
          <w:tcPr>
            <w:tcW w:type="dxa" w:w="295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814 733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230 952</w:t>
            </w:r>
          </w:p>
        </w:tc>
        <w:tc>
          <w:tcPr>
            <w:tcW w:type="dxa" w:w="286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28,35%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90 дней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781 906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307 285</w:t>
            </w:r>
          </w:p>
        </w:tc>
        <w:tc>
          <w:tcPr>
            <w:tcW w:type="dxa" w:w="2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39,30%</w:t>
            </w:r>
          </w:p>
        </w:tc>
      </w:tr>
    </w:tbl>
    <w:p>
      <w:pPr>
        <w:spacing w:after="0"/>
      </w:pPr>
    </w:p>
    <w:p>
      <w:r>
        <w:rPr>
          <w:b w:val="0"/>
        </w:rPr>
        <w:t>Для каждого горизонта используются только клиенты, у которых он полностью наблюдается до конца 2023 года. Выборки для 30, 60 и 90 дней различаются. Поэтому разницу 28,35% − 15,19% нельзя трактовать как точную долю возвратов одной фиксированной когорты между 31-м и 60-м днями.</w:t>
      </w:r>
    </w:p>
    <w:p>
      <w:pPr>
        <w:pStyle w:val="Heading2"/>
      </w:pPr>
      <w:r>
        <w:t>Распределение времени до второго дня покупки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1440"/>
        <w:gridCol w:w="1800"/>
        <w:gridCol w:w="1512"/>
        <w:gridCol w:w="1570"/>
      </w:tblGrid>
      <w:tr>
        <w:trPr>
          <w:cantSplit/>
          <w:cantSplit/>
          <w:cantSplit/>
          <w:cantSplit/>
          <w:cantSplit/>
          <w:cantSplit/>
          <w:tblHeader/>
        </w:trPr>
        <w:tc>
          <w:tcPr>
            <w:tcW w:type="dxa" w:w="194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Вернувшихся</w:t>
            </w:r>
          </w:p>
        </w:tc>
        <w:tc>
          <w:tcPr>
            <w:tcW w:type="dxa" w:w="1728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Среднее</w:t>
            </w:r>
          </w:p>
        </w:tc>
        <w:tc>
          <w:tcPr>
            <w:tcW w:type="dxa" w:w="144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p25</w:t>
            </w:r>
          </w:p>
        </w:tc>
        <w:tc>
          <w:tcPr>
            <w:tcW w:type="dxa" w:w="180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Медиана</w:t>
            </w:r>
          </w:p>
        </w:tc>
        <w:tc>
          <w:tcPr>
            <w:tcW w:type="dxa" w:w="1512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p75</w:t>
            </w:r>
          </w:p>
        </w:tc>
        <w:tc>
          <w:tcPr>
            <w:tcW w:type="dxa" w:w="157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p90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593 261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98,7 дня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35 дней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80 дней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147 дней</w:t>
            </w:r>
          </w:p>
        </w:tc>
        <w:tc>
          <w:tcPr>
            <w:tcW w:type="dxa" w:w="15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215 дней</w:t>
            </w:r>
          </w:p>
        </w:tc>
      </w:tr>
    </w:tbl>
    <w:p>
      <w:pPr>
        <w:spacing w:after="0"/>
      </w:pPr>
    </w:p>
    <w:p>
      <w:r>
        <w:rPr>
          <w:b w:val="0"/>
        </w:rPr>
        <w:t>Медиана 80 дней относится только к клиентам, у которых второй день покупки наблюдался. Она не определяет медианное время возврата всей базы и зависит от правого цензурирования. Данные поддерживают проверку CRM на горизонте до 90 дней, но не доказывают оптимальность конкретного дня отправки сообщения.</w:t>
      </w:r>
    </w:p>
    <w:p>
      <w:r>
        <w:br w:type="page"/>
      </w:r>
    </w:p>
    <w:p>
      <w:pPr>
        <w:pStyle w:val="Heading1"/>
      </w:pPr>
      <w:r>
        <w:t>Когортный retention и наблюдаемый LTV</w:t>
      </w:r>
    </w:p>
    <w:p>
      <w:r>
        <w:drawing>
          <wp:inline xmlns:a="http://schemas.openxmlformats.org/drawingml/2006/main" xmlns:pic="http://schemas.openxmlformats.org/drawingml/2006/picture">
            <wp:extent cx="6126480" cy="2465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n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6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18"/>
        </w:rPr>
        <w:t>Рисунок 2. Retention для одних и тех же когорт января–июня. 630 187 клиентов.</w:t>
      </w:r>
    </w:p>
    <w:p>
      <w:r>
        <w:rPr>
          <w:b w:val="0"/>
        </w:rPr>
        <w:t>Retention M1 = 15,53% означает долю клиентов, активных в следующем календарном месяце после месяца первой наблюдаемой покупки. Это не вероятность повторить покупку ровно за 30 дней и не доля непрерывно активных клиентов. Покупатель может пропустить M1 и вернуться в M2.</w:t>
      </w:r>
    </w:p>
    <w:p>
      <w:r>
        <w:drawing>
          <wp:inline xmlns:a="http://schemas.openxmlformats.org/drawingml/2006/main" xmlns:pic="http://schemas.openxmlformats.org/drawingml/2006/picture">
            <wp:extent cx="6126480" cy="2463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6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18"/>
        </w:rPr>
        <w:t>Рисунок 3. Накопленная выручка на исходного клиента. Фиксированный состав когорт.</w:t>
      </w:r>
    </w:p>
    <w:p>
      <w:r>
        <w:rPr>
          <w:b w:val="0"/>
        </w:rPr>
        <w:t>Для M0–M6 используется один знаменатель. Рост с 907 835 до 1 763 238 ₽ составляет 94,22%. Выручка на активного клиента в M1–M6 меняется в пределах примерно 0,91–0,92 млн ₽. Это обосновывает проверку возврата как рычага роста, но не позволяет сравнить его отдачу со всеми альтернативами без стоимости воздействия.</w:t>
      </w:r>
    </w:p>
    <w:p>
      <w:r>
        <w:br w:type="page"/>
      </w:r>
    </w:p>
    <w:p>
      <w:pPr>
        <w:pStyle w:val="Heading1"/>
      </w:pPr>
      <w:r>
        <w:t>Сценарий роста удержания и экономика</w:t>
      </w:r>
    </w:p>
    <w:p>
      <w:r>
        <w:rPr>
          <w:b w:val="0"/>
        </w:rPr>
        <w:t>Для когорт января–июня N = 630 187. Текущий M1 retention равен примерно 15,53%, а выручка на активного M1-клиента — 911 965 ₽. Сценарий предполагает, что дополнительные активные клиенты имеют такую же выручку.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2448"/>
        <w:gridCol w:w="3658"/>
      </w:tblGrid>
      <w:tr>
        <w:trPr>
          <w:cantSplit/>
          <w:cantSplit/>
          <w:cantSplit/>
          <w:cantSplit/>
          <w:tblHeader/>
        </w:trPr>
        <w:tc>
          <w:tcPr>
            <w:tcW w:type="dxa" w:w="194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Прирост M1</w:t>
            </w:r>
          </w:p>
        </w:tc>
        <w:tc>
          <w:tcPr>
            <w:tcW w:type="dxa" w:w="194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Новый M1</w:t>
            </w:r>
          </w:p>
        </w:tc>
        <w:tc>
          <w:tcPr>
            <w:tcW w:type="dxa" w:w="2448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Доп. активных</w:t>
            </w:r>
          </w:p>
        </w:tc>
        <w:tc>
          <w:tcPr>
            <w:tcW w:type="dxa" w:w="3658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Доп. выручка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+1 п. п.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16,53%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≈6 302</w:t>
            </w:r>
          </w:p>
        </w:tc>
        <w:tc>
          <w:tcPr>
            <w:tcW w:type="dxa" w:w="36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≈5,75 млрд ₽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+3 п. п.</w:t>
            </w:r>
          </w:p>
        </w:tc>
        <w:tc>
          <w:tcPr>
            <w:tcW w:type="dxa" w:w="19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18,53%</w:t>
            </w:r>
          </w:p>
        </w:tc>
        <w:tc>
          <w:tcPr>
            <w:tcW w:type="dxa" w:w="244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≈18 906</w:t>
            </w:r>
          </w:p>
        </w:tc>
        <w:tc>
          <w:tcPr>
            <w:tcW w:type="dxa" w:w="365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≈17,24 млрд ₽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+5 п. п.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20,53%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≈31 509</w:t>
            </w:r>
          </w:p>
        </w:tc>
        <w:tc>
          <w:tcPr>
            <w:tcW w:type="dxa" w:w="36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≈28,74 млрд ₽</w:t>
            </w:r>
          </w:p>
        </w:tc>
      </w:tr>
    </w:tbl>
    <w:p>
      <w:pPr>
        <w:spacing w:after="0"/>
      </w:pPr>
    </w:p>
    <w:p>
      <w:r>
        <w:rPr>
          <w:b w:val="0"/>
        </w:rPr>
        <w:t>Формула: дополнительная M1-выручка = размер исходной когорты × прирост retention в долях × выручка на активного M1-клиента. Число активных клиентов округляется только для показа. Денежный результат считается до округления промежуточных величин.</w:t>
      </w:r>
    </w:p>
    <w:p>
      <w:pPr>
        <w:pStyle w:val="Heading2"/>
      </w:pPr>
      <w:r>
        <w:t>Допущения сценария</w:t>
      </w:r>
    </w:p>
    <w:p>
      <w:r>
        <w:rPr>
          <w:b w:val="0"/>
        </w:rPr>
        <w:t>Предполагается, что рост удержания достижим причинно, новые вернувшиеся клиенты обладают сопоставимой ценностью, а покупки не перенесены из будущих периодов и не замещают другие продажи. Сценарий не учитывает себестоимость, CRM, промо и изменение скидки. Поэтому 5,75 млрд ₽ не являются прогнозом или ожидаемой прибылью.</w:t>
      </w:r>
    </w:p>
    <w:p>
      <w:pPr>
        <w:pStyle w:val="Heading2"/>
      </w:pPr>
      <w:r>
        <w:t>Как оценивать фактический тест</w:t>
      </w:r>
    </w:p>
    <w:p>
      <w:r>
        <w:rPr>
          <w:b w:val="0"/>
        </w:rPr>
        <w:t>Сначала рассчитывается разница средней net revenue между тестом и контролем на всех рандомизированных клиентах, включая некупивших. Затем при наличии затрат оценивается разница вклада в прибыль. Дополнительная выручка тестовой группы равна разнице на клиента, умноженной на размер тестовой группы. Выручка на вернувшегося клиента является вспомогательным показателем, потому что отбор по возврату может сместить оценку.</w:t>
      </w:r>
    </w:p>
    <w:p>
      <w:r>
        <w:rPr>
          <w:b w:val="0"/>
        </w:rPr>
        <w:t>Скидка уже отражена в total_price. Её нельзя второй раз вычитать из этой выручки. В финансовой модели отдельно учитываются себестоимость и расходы, не включённые в используемый показатель. Стоимость контакта и жалобы или отписки контролируются даже для кампаний без промо.</w:t>
      </w:r>
    </w:p>
    <w:p>
      <w:pPr>
        <w:pStyle w:val="Heading2"/>
      </w:pPr>
      <w:r>
        <w:t>Проверка устойчивости</w:t>
      </w:r>
    </w:p>
    <w:p>
      <w:r>
        <w:rPr>
          <w:b w:val="0"/>
        </w:rPr>
        <w:t>После раннего результата необходимо дождаться полного 60- или 90-дневного окна и проверить перенос спроса. Более быстрый возврат при неизменной суммарной выручке за длительный горизонт означает ускорение покупок, а не обязательно рост ценности.</w:t>
      </w:r>
    </w:p>
    <w:p>
      <w:r>
        <w:br w:type="page"/>
      </w:r>
    </w:p>
    <w:p>
      <w:pPr>
        <w:pStyle w:val="Heading1"/>
      </w:pPr>
      <w:r>
        <w:t>Программа CRM и эксперимент</w:t>
      </w:r>
    </w:p>
    <w:p>
      <w:pPr>
        <w:pStyle w:val="Heading2"/>
      </w:pPr>
      <w:r>
        <w:t>Первый пилот второй покупки</w:t>
      </w:r>
    </w:p>
    <w:p>
      <w:r>
        <w:rPr>
          <w:b w:val="0"/>
        </w:rPr>
        <w:t>Аудитория: клиенты с первым наблюдаемым днём покупки и без второго дня к моменту назначения воздействия. Предлагаемая механика: персональная подборка на седьмой день. Контроль получает обычную коммуникацию. Седьмой день — проверяемая гипотеза, а не вывод из медианы 80 дней.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546"/>
      </w:tblGrid>
      <w:tr>
        <w:trPr>
          <w:cantSplit/>
          <w:cantSplit/>
          <w:tblHeader/>
        </w:trPr>
        <w:tc>
          <w:tcPr>
            <w:tcW w:type="dxa" w:w="2448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9"/>
              </w:rPr>
              <w:t>Элемент</w:t>
            </w:r>
          </w:p>
        </w:tc>
        <w:tc>
          <w:tcPr>
            <w:tcW w:type="dxa" w:w="7546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9"/>
              </w:rPr>
              <w:t>Решение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Рандомизация</w:t>
            </w:r>
          </w:p>
        </w:tc>
        <w:tc>
          <w:tcPr>
            <w:tcW w:type="dxa" w:w="75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По клиенту, до воздействия, с сохранением группы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Основная метрика</w:t>
            </w:r>
          </w:p>
        </w:tc>
        <w:tc>
          <w:tcPr>
            <w:tcW w:type="dxa" w:w="754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Повторный активный день до дня 30 от первой покупки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Дополнительные</w:t>
            </w:r>
          </w:p>
        </w:tc>
        <w:tc>
          <w:tcPr>
            <w:tcW w:type="dxa" w:w="75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Net revenue на назначенного клиента, возврат за 60 и 90 дней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Защитные</w:t>
            </w:r>
          </w:p>
        </w:tc>
        <w:tc>
          <w:tcPr>
            <w:tcW w:type="dxa" w:w="754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Стоимость контакта, отписки, жалобы, прибыль при наличии затрат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Анализ</w:t>
            </w:r>
          </w:p>
        </w:tc>
        <w:tc>
          <w:tcPr>
            <w:tcW w:type="dxa" w:w="75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Все назначенные клиенты, одинаковое полное окно, доверительный интервал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Масштабирование</w:t>
            </w:r>
          </w:p>
        </w:tc>
        <w:tc>
          <w:tcPr>
            <w:tcW w:type="dxa" w:w="754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9"/>
              </w:rPr>
              <w:t>Практически значимый эффект и приемлемые затраты</w:t>
            </w:r>
          </w:p>
        </w:tc>
      </w:tr>
    </w:tbl>
    <w:p>
      <w:pPr>
        <w:spacing w:after="0"/>
      </w:pPr>
    </w:p>
    <w:p>
      <w:pPr>
        <w:pStyle w:val="Heading2"/>
      </w:pPr>
      <w:r>
        <w:t>Следующие пилоты</w:t>
      </w:r>
    </w:p>
    <w:p>
      <w:r>
        <w:rPr>
          <w:b w:val="0"/>
        </w:rPr>
        <w:t>Реактивация ценных неактивных: персональное предложение на основе истории интересов, ограниченное окно оценки 30 дней после назначения и контроль без новой механики. Сначала тестируется дополнительный отклик и денежный эффект, затем возможный размер стимула.</w:t>
      </w:r>
    </w:p>
    <w:p>
      <w:r>
        <w:rPr>
          <w:b w:val="0"/>
        </w:rPr>
        <w:t>Удержание лучших и лояльных: сервисные привилегии и удобство без общей скидки. Предлагаемое окно оценки — 90 дней. Для перспективных — рекомендации, допродажа и активные дни за одинаковый срок. Для спящих — дешёвый канал с постоянным контролем чистого эффекта.</w:t>
      </w:r>
    </w:p>
    <w:p>
      <w:pPr>
        <w:pStyle w:val="Heading2"/>
      </w:pPr>
      <w:r>
        <w:t>Организация работы</w:t>
      </w:r>
    </w:p>
    <w:p>
      <w:r>
        <w:rPr>
          <w:b w:val="0"/>
        </w:rPr>
        <w:t>Аналитик фиксирует аудитории, определения метрик и MDE до запуска. CRM-команда готовит сообщения и ограничение частоты контактов. Финансы добавляют себестоимость и стоимость кампании. После полного окна команда принимает решение по размеру эффекта, его неопределённости и экономике. Ежемесячный мониторинг отслеживает когорты и переходы между сегментами.</w:t>
      </w:r>
    </w:p>
    <w:p>
      <w:r>
        <w:br w:type="page"/>
      </w:r>
    </w:p>
    <w:p>
      <w:pPr>
        <w:pStyle w:val="Heading1"/>
      </w:pPr>
      <w:r>
        <w:t>Методика SQL и ограничения</w:t>
      </w:r>
    </w:p>
    <w:p>
      <w:r>
        <w:rPr>
          <w:b w:val="0"/>
        </w:rPr>
        <w:t>Файл 02_clients_original.sql содержит исходные запросы клиентских метрик, RFM, месячного retention, LTV M0–M6, сценариев +1/+3/+5 п. п., repeat rate и времени до второго дня покупки. В аналитических запросах следует сохранять общий фильтр 2023 года и quantity &gt; 0.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>SELECT client_id,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DATE '2024-01-01' - MAX(purchase_datetime::date)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   AS recency_days,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COUNT(DISTINCT purchase_datetime::date) AS frequency,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SUM(total_price) AS monetary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>FROM sales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>WHERE quantity &gt; 0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AND purchase_datetime &gt;= DATE '2023-01-01'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AND purchase_datetime &lt; DATE '2024-01-01'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>GROUP BY client_id;</w:t>
      </w:r>
    </w:p>
    <w:p/>
    <w:p>
      <w:pPr>
        <w:pStyle w:val="Heading2"/>
      </w:pPr>
      <w:r>
        <w:t>Правила знаменателя</w:t>
      </w:r>
    </w:p>
    <w:p>
      <w:r>
        <w:rPr>
          <w:b w:val="0"/>
        </w:rPr>
        <w:t>Для repeat rate окно включается, если дата первой покупки + D дней раньше 01.01.2024. Повторный день должен быть строго позже первого и не позже первого + D. Для LTV берутся когорты января–июня и полная сетка M0–M6 с нулями при отсутствии продаж. Суммарная накопленная выручка делится на суммарную исходную численность этих когорт.</w:t>
      </w:r>
    </w:p>
    <w:p>
      <w:pPr>
        <w:pStyle w:val="Heading2"/>
      </w:pPr>
      <w:r>
        <w:t>Ограничения</w:t>
      </w:r>
    </w:p>
    <w:p>
      <w:r>
        <w:rPr>
          <w:b w:val="0"/>
        </w:rPr>
        <w:t>Нет order_id: частота измеряет дни. Нет истории до 2023 года: первая покупка только наблюдаемая. Нет себестоимости: LTV основан на выручке. Поздние клиенты имеют меньший срок наблюдения. Медиана возврата рассчитана условно на вернувшихся. Рост накопленной выручки не является эффектом вмешательства. Размер сценария не определяет достижимость прироста.</w:t>
      </w:r>
    </w:p>
    <w:p>
      <w:pPr>
        <w:pStyle w:val="Heading2"/>
      </w:pPr>
      <w:r>
        <w:t>Источники</w:t>
      </w:r>
    </w:p>
    <w:p>
      <w:r>
        <w:rPr>
          <w:b w:val="0"/>
        </w:rPr>
        <w:t>Глава_9_Анализ_клиентской_базы_RFM_retention_LTV(1).docx, разделы 9.1–9.24; Анализ клиентской базы.sql; уточнения финального обсуждения проекта от 26.09.2026. Все эмпирические цифры относятся к данным 2023 года. Предлагаемые CRM-механики и критерии тестов являются рекомендациями по дальнейшей работе.</w:t>
      </w:r>
    </w:p>
    <w:p>
      <w:r>
        <w:rPr>
          <w:b w:val="0"/>
        </w:rPr>
        <w:t>Итоговая стратегия: помогать новым клиентам совершить вторую покупку, развивать регулярность перспективных, удерживать лучших и адресно возвращать ценных неактивных. Величина бюджета и масштаб механики определяются дополнительной ценностью после затрат.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Клиентская база и рост LTV</dc:title>
  <dc:subject/>
  <dc:creator>Артём Томай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