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30- and 90-Day Readmissions Among Heart Failure Patients With Stimulant (Predominantly Methamphetamine) Use Disorder</w:t>
      </w:r>
    </w:p>
    <w:p>
      <w:pPr>
        <w:pStyle w:val="Subtitle"/>
      </w:pPr>
      <w:r>
        <w:t xml:space="preserve">Analysis for RCOP NRD C10 - Nationwide Readmissions Database, 2016–2022</w:t>
      </w:r>
    </w:p>
    <w:p>
      <w:pPr>
        <w:pStyle w:val="Author"/>
      </w:pPr>
      <w:r>
        <w:t xml:space="preserve">Hibah Siddiqui</w:t>
      </w:r>
    </w:p>
    <w:bookmarkStart w:id="23" w:name="preamble"/>
    <w:p>
      <w:pPr>
        <w:pStyle w:val="Heading2"/>
      </w:pPr>
      <w:r>
        <w:t xml:space="preserve">Preamble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Thyagaturu et al., 2023</w:t>
        </w:r>
      </w:hyperlink>
      <w:r>
        <w:t xml:space="preserve"> </w:t>
      </w:r>
      <w:r>
        <w:t xml:space="preserve">(Curr Probl Cardiol; NRD 2016–2018)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HF definition sources: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AHRQ Prevention Quality Indicator 08, Heart Failure Admission Rate</w:t>
        </w:r>
      </w:hyperlink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Canonico et al., 2025</w:t>
        </w:r>
      </w:hyperlink>
      <w:r>
        <w:t xml:space="preserve"> </w:t>
      </w:r>
      <w:r>
        <w:t xml:space="preserve">(Am J Manag Care; shift of HF principal diagnoses to I11.0/I13.x)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To compare unplanned all-cause readmission within 30 days of</w:t>
      </w:r>
      <w:r>
        <w:t xml:space="preserve"> </w:t>
      </w:r>
      <w:r>
        <w:t xml:space="preserve">discharge between heart failure (HF) patients with stimulant (predominantly</w:t>
      </w:r>
      <w:r>
        <w:t xml:space="preserve"> </w:t>
      </w:r>
      <w:r>
        <w:t xml:space="preserve">methamphetamine) use disorder and HF patients with no stimulant, cocaine or</w:t>
      </w:r>
      <w:r>
        <w:t xml:space="preserve"> </w:t>
      </w:r>
      <w:r>
        <w:t xml:space="preserve">cannabis use disorder. Secondary objectives were to compare 90-day all-cause</w:t>
      </w:r>
      <w:r>
        <w:t xml:space="preserve"> </w:t>
      </w:r>
      <w:r>
        <w:t xml:space="preserve">readmission and 30- and 90-day HF-specific readmission; to describe the ten</w:t>
      </w:r>
      <w:r>
        <w:t xml:space="preserve"> </w:t>
      </w:r>
      <w:r>
        <w:t xml:space="preserve">most common causes of readmission in each group; to compare length of stay,</w:t>
      </w:r>
      <w:r>
        <w:t xml:space="preserve"> </w:t>
      </w:r>
      <w:r>
        <w:t xml:space="preserve">inflation-adjusted cost and in-hospital mortality at the index admission and</w:t>
      </w:r>
      <w:r>
        <w:t xml:space="preserve"> </w:t>
      </w:r>
      <w:r>
        <w:t xml:space="preserve">at readmission; to identify predictors of readmission within the stimulant</w:t>
      </w:r>
      <w:r>
        <w:t xml:space="preserve"> </w:t>
      </w:r>
      <w:r>
        <w:t xml:space="preserve">group; and to test whether the association differed by sex.</w:t>
      </w:r>
    </w:p>
    <w:p>
      <w:pPr>
        <w:pStyle w:val="BodyText"/>
      </w:pPr>
      <w:r>
        <w:rPr>
          <w:b/>
          <w:bCs/>
        </w:rPr>
        <w:t xml:space="preserve">Study design and data source:</w:t>
      </w:r>
      <w:r>
        <w:t xml:space="preserve"> </w:t>
      </w:r>
      <w:r>
        <w:t xml:space="preserve">Retrospective cohort study using the</w:t>
      </w:r>
      <w:r>
        <w:t xml:space="preserve"> </w:t>
      </w:r>
      <w:r>
        <w:t xml:space="preserve">2016–2022 Nationwide Readmissions Database (NRD), sponsored by the Agency for</w:t>
      </w:r>
      <w:r>
        <w:t xml:space="preserve"> </w:t>
      </w:r>
      <w:r>
        <w:t xml:space="preserve">Healthcare Research and Quality’s Healthcare Cost and Utilization Project</w:t>
      </w:r>
      <w:r>
        <w:t xml:space="preserve"> </w:t>
      </w:r>
      <w:r>
        <w:t xml:space="preserve">(HCUP). The NRD is a nationally representative, all-payer database of U.S.</w:t>
      </w:r>
      <w:r>
        <w:t xml:space="preserve"> </w:t>
      </w:r>
      <w:r>
        <w:t xml:space="preserve">hospital discharges that links a patient’s admissions across hospitals within</w:t>
      </w:r>
      <w:r>
        <w:t xml:space="preserve"> </w:t>
      </w:r>
      <w:r>
        <w:t xml:space="preserve">the same state and calendar year through a de-identified patient linkage</w:t>
      </w:r>
      <w:r>
        <w:t xml:space="preserve"> </w:t>
      </w:r>
      <w:r>
        <w:t xml:space="preserve">number (NRD_VisitLink) and a timing variable (NRD_DaysToEvent). All years are</w:t>
      </w:r>
      <w:r>
        <w:t xml:space="preserve"> </w:t>
      </w:r>
      <w:r>
        <w:t xml:space="preserve">coded in ICD-10-CM. Because linkage does not cross calendar years, every</w:t>
      </w:r>
      <w:r>
        <w:t xml:space="preserve"> </w:t>
      </w:r>
      <w:r>
        <w:t xml:space="preserve">patient needs a full follow-up window inside the year of the index</w:t>
      </w:r>
      <w:r>
        <w:t xml:space="preserve"> </w:t>
      </w:r>
      <w:r>
        <w:t xml:space="preserve">discharge, so two cohorts were built: a 30-day cohort (index discharges</w:t>
      </w:r>
      <w:r>
        <w:t xml:space="preserve"> </w:t>
      </w:r>
      <w:r>
        <w:t xml:space="preserve">January–November) and a 90-day cohort (index discharges January–September).</w:t>
      </w:r>
    </w:p>
    <w:p>
      <w:pPr>
        <w:pStyle w:val="BodyText"/>
      </w:pPr>
      <w:r>
        <w:rPr>
          <w:b/>
          <w:bCs/>
        </w:rPr>
        <w:t xml:space="preserve">Study population:</w:t>
      </w:r>
      <w:r>
        <w:t xml:space="preserve"> </w:t>
      </w:r>
      <w:r>
        <w:t xml:space="preserve">Adults (age ≥ 18 years) with a non-elective</w:t>
      </w:r>
      <w:r>
        <w:t xml:space="preserve"> </w:t>
      </w:r>
      <w:r>
        <w:t xml:space="preserve">hospitalization and a principal diagnosis of HF who were discharged alive. HF</w:t>
      </w:r>
      <w:r>
        <w:t xml:space="preserve"> </w:t>
      </w:r>
      <w:r>
        <w:t xml:space="preserve">was defined as a principal ICD-10-CM diagnosis of I50.x (heart failure),</w:t>
      </w:r>
      <w:r>
        <w:t xml:space="preserve"> </w:t>
      </w:r>
      <w:r>
        <w:t xml:space="preserve">I11.0 (hypertensive heart disease with HF), I13.0 or I13.2 (hypertensive</w:t>
      </w:r>
      <w:r>
        <w:t xml:space="preserve"> </w:t>
      </w:r>
      <w:r>
        <w:t xml:space="preserve">heart and chronic kidney disease with HF), following the AHRQ Prevention</w:t>
      </w:r>
      <w:r>
        <w:t xml:space="preserve"> </w:t>
      </w:r>
      <w:r>
        <w:t xml:space="preserve">Quality Indicator 08 definition of an HF hospitalization. Under ICD-10-CM</w:t>
      </w:r>
      <w:r>
        <w:t xml:space="preserve"> </w:t>
      </w:r>
      <w:r>
        <w:t xml:space="preserve">coding guidelines, hypertension and heart failure are presumed to be linked,</w:t>
      </w:r>
      <w:r>
        <w:t xml:space="preserve"> </w:t>
      </w:r>
      <w:r>
        <w:t xml:space="preserve">so patients with both conditions are coded with I11.0 or I13.x as the</w:t>
      </w:r>
      <w:r>
        <w:t xml:space="preserve"> </w:t>
      </w:r>
      <w:r>
        <w:t xml:space="preserve">principal diagnosis and I50.x as a secondary code; in this cohort,</w:t>
      </w:r>
      <w:r>
        <w:t xml:space="preserve"> </w:t>
      </w:r>
      <w:r>
        <w:t xml:space="preserve">approximately 80% of HF index admissions carried I11.0 or I13.x as the</w:t>
      </w:r>
      <w:r>
        <w:t xml:space="preserve"> </w:t>
      </w:r>
      <w:r>
        <w:t xml:space="preserve">principal diagnosis, so an I50-only definition would have excluded most HF</w:t>
      </w:r>
      <w:r>
        <w:t xml:space="preserve"> </w:t>
      </w:r>
      <w:r>
        <w:t xml:space="preserve">hospitalizations. Rheumatic heart failure (I09.81, also in the AHRQ</w:t>
      </w:r>
      <w:r>
        <w:t xml:space="preserve"> </w:t>
      </w:r>
      <w:r>
        <w:t xml:space="preserve">definition) was not included. Every eligible HF admission was treated as an index</w:t>
      </w:r>
      <w:r>
        <w:t xml:space="preserve"> </w:t>
      </w:r>
      <w:r>
        <w:t xml:space="preserve">admission, so a patient could contribute more than one index admission.</w:t>
      </w:r>
      <w:r>
        <w:t xml:space="preserve"> </w:t>
      </w:r>
      <w:r>
        <w:t xml:space="preserve">Exclusions were applied in this order: age &lt; 18 years; elective admission;</w:t>
      </w:r>
      <w:r>
        <w:t xml:space="preserve"> </w:t>
      </w:r>
      <w:r>
        <w:t xml:space="preserve">December discharge (30-day cohort) or October–December discharge (90-day</w:t>
      </w:r>
      <w:r>
        <w:t xml:space="preserve"> </w:t>
      </w:r>
      <w:r>
        <w:t xml:space="preserve">cohort); in-hospital death at the index admission; missing NRD_VisitLink,</w:t>
      </w:r>
      <w:r>
        <w:t xml:space="preserve"> </w:t>
      </w:r>
      <w:r>
        <w:t xml:space="preserve">length of stay, age, sex or discharge disposition; any cocaine (F14.x) or</w:t>
      </w:r>
      <w:r>
        <w:t xml:space="preserve"> </w:t>
      </w:r>
      <w:r>
        <w:t xml:space="preserve">cannabis (F12.x) use disorder code; and unspecified stimulant use (F15.9x)</w:t>
      </w:r>
      <w:r>
        <w:t xml:space="preserve"> </w:t>
      </w:r>
      <w:r>
        <w:t xml:space="preserve">without an F15.1x or F15.2x code. Unweighted and weighted counts after each</w:t>
      </w:r>
      <w:r>
        <w:t xml:space="preserve"> </w:t>
      </w:r>
      <w:r>
        <w:t xml:space="preserve">step are reported in the cohort flow tables below (Figure 1).</w:t>
      </w:r>
    </w:p>
    <w:p>
      <w:pPr>
        <w:pStyle w:val="BodyText"/>
      </w:pPr>
      <w:r>
        <w:rPr>
          <w:b/>
          <w:bCs/>
        </w:rPr>
        <w:t xml:space="preserve">Exposure:</w:t>
      </w:r>
      <w:r>
        <w:t xml:space="preserve"> </w:t>
      </w:r>
      <w:r>
        <w:t xml:space="preserve">Stimulant use disorder, defined as at least one ICD-10-CM</w:t>
      </w:r>
      <w:r>
        <w:t xml:space="preserve"> </w:t>
      </w:r>
      <w:r>
        <w:t xml:space="preserve">F15.1x (other stimulant abuse) or F15.2x (other stimulant dependence) code in</w:t>
      </w:r>
      <w:r>
        <w:t xml:space="preserve"> </w:t>
      </w:r>
      <w:r>
        <w:t xml:space="preserve">any of the diagnosis positions of the index admission, with no cocaine (F14.x)</w:t>
      </w:r>
      <w:r>
        <w:t xml:space="preserve"> </w:t>
      </w:r>
      <w:r>
        <w:t xml:space="preserve">or cannabis (F12.x) use disorder code, so that the exposed group is</w:t>
      </w:r>
      <w:r>
        <w:t xml:space="preserve"> </w:t>
      </w:r>
      <w:r>
        <w:t xml:space="preserve">stimulant-only. The comparator group had no F15, F14 or F12 code of any kind.</w:t>
      </w:r>
      <w:r>
        <w:t xml:space="preserve"> </w:t>
      </w:r>
      <w:r>
        <w:t xml:space="preserve">Codes were matched on their first four characters so that sub-codes added</w:t>
      </w:r>
      <w:r>
        <w:t xml:space="preserve"> </w:t>
      </w:r>
      <w:r>
        <w:t xml:space="preserve">between fiscal years were captured automatically. F15 codes do not separate</w:t>
      </w:r>
      <w:r>
        <w:t xml:space="preserve"> </w:t>
      </w:r>
      <w:r>
        <w:t xml:space="preserve">methamphetamine from other amphetamine-type stimulants (or, rarely,</w:t>
      </w:r>
      <w:r>
        <w:t xml:space="preserve"> </w:t>
      </w:r>
      <w:r>
        <w:t xml:space="preserve">caffeine), so the exposure is described as stimulant (predominantly</w:t>
      </w:r>
      <w:r>
        <w:t xml:space="preserve"> </w:t>
      </w:r>
      <w:r>
        <w:t xml:space="preserve">methamphetamine) use disorder. The NRD has no present-on-admission</w:t>
      </w:r>
      <w:r>
        <w:t xml:space="preserve"> </w:t>
      </w:r>
      <w:r>
        <w:t xml:space="preserve">indicator, so exposure and covariates mean</w:t>
      </w:r>
      <w:r>
        <w:t xml:space="preserve"> </w:t>
      </w:r>
      <w:r>
        <w:t xml:space="preserve">“coded at the index admission”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Primary outcome:</w:t>
      </w:r>
      <w:r>
        <w:t xml:space="preserve"> </w:t>
      </w:r>
      <w:r>
        <w:t xml:space="preserve">Unplanned all-cause readmission within 30 days of index</w:t>
      </w:r>
      <w:r>
        <w:t xml:space="preserve"> </w:t>
      </w:r>
      <w:r>
        <w:t xml:space="preserve">discharge, defined as the first non-elective admission for any principal</w:t>
      </w:r>
      <w:r>
        <w:t xml:space="preserve"> </w:t>
      </w:r>
      <w:r>
        <w:t xml:space="preserve">diagnosis within the window. Readmissions were identified with the NRD</w:t>
      </w:r>
      <w:r>
        <w:t xml:space="preserve"> </w:t>
      </w:r>
      <w:r>
        <w:t xml:space="preserve">linkage variables; only the first readmission in the window was counted.</w:t>
      </w:r>
    </w:p>
    <w:p>
      <w:pPr>
        <w:pStyle w:val="BodyText"/>
      </w:pPr>
      <w:r>
        <w:rPr>
          <w:b/>
          <w:bCs/>
        </w:rPr>
        <w:t xml:space="preserve">Secondary outcomes:</w:t>
      </w:r>
      <w:r>
        <w:t xml:space="preserve"> </w:t>
      </w:r>
      <w:r>
        <w:t xml:space="preserve">90-day all-cause readmission (90-day cohort, same</w:t>
      </w:r>
      <w:r>
        <w:t xml:space="preserve"> </w:t>
      </w:r>
      <w:r>
        <w:t xml:space="preserve">definition); 30- and 90-day HF-specific readmission (a first readmission with</w:t>
      </w:r>
      <w:r>
        <w:t xml:space="preserve"> </w:t>
      </w:r>
      <w:r>
        <w:t xml:space="preserve">a principal diagnosis of I50.x, I11.0, I13.0 or I13.2); the ten most common principal diagnoses at</w:t>
      </w:r>
      <w:r>
        <w:t xml:space="preserve"> </w:t>
      </w:r>
      <w:r>
        <w:t xml:space="preserve">readmission (ranked overall, with the within-group weighted percentage for each</w:t>
      </w:r>
      <w:r>
        <w:t xml:space="preserve"> </w:t>
      </w:r>
      <w:r>
        <w:t xml:space="preserve">group); length of stay and inflation-adjusted cost at the index</w:t>
      </w:r>
      <w:r>
        <w:t xml:space="preserve"> </w:t>
      </w:r>
      <w:r>
        <w:t xml:space="preserve">admission and at readmission; in-hospital mortality at readmission; and days</w:t>
      </w:r>
      <w:r>
        <w:t xml:space="preserve"> </w:t>
      </w:r>
      <w:r>
        <w:t xml:space="preserve">from index discharge to readmission. Index in-hospital deaths are reported as</w:t>
      </w:r>
      <w:r>
        <w:t xml:space="preserve"> </w:t>
      </w:r>
      <w:r>
        <w:t xml:space="preserve">a count in the cohort flow only, because they are excluded from the cohort.</w:t>
      </w:r>
    </w:p>
    <w:p>
      <w:pPr>
        <w:pStyle w:val="BodyText"/>
      </w:pPr>
      <w:r>
        <w:rPr>
          <w:b/>
          <w:bCs/>
        </w:rPr>
        <w:t xml:space="preserve">Covariates:</w:t>
      </w:r>
      <w:r>
        <w:t xml:space="preserve"> </w:t>
      </w:r>
      <w:r>
        <w:t xml:space="preserve">Age (continuous, modelled per 10 years; age group shown descriptively), sex,</w:t>
      </w:r>
      <w:r>
        <w:t xml:space="preserve"> </w:t>
      </w:r>
      <w:r>
        <w:t xml:space="preserve">admission day (weekday vs. weekend), primary expected payer, median household</w:t>
      </w:r>
      <w:r>
        <w:t xml:space="preserve"> </w:t>
      </w:r>
      <w:r>
        <w:t xml:space="preserve">income quartile by ZIP code, hospital bed size, hospital location/teaching</w:t>
      </w:r>
      <w:r>
        <w:t xml:space="preserve"> </w:t>
      </w:r>
      <w:r>
        <w:t xml:space="preserve">status, index discharge disposition (routine home/self-care, home health care,</w:t>
      </w:r>
      <w:r>
        <w:t xml:space="preserve"> </w:t>
      </w:r>
      <w:r>
        <w:t xml:space="preserve">skilled nursing or other facility, short-term hospital, against medical</w:t>
      </w:r>
      <w:r>
        <w:t xml:space="preserve"> </w:t>
      </w:r>
      <w:r>
        <w:t xml:space="preserve">advice; the rare</w:t>
      </w:r>
      <w:r>
        <w:t xml:space="preserve"> </w:t>
      </w:r>
      <w:r>
        <w:t xml:space="preserve">“alive, destination unknown”</w:t>
      </w:r>
      <w:r>
        <w:t xml:space="preserve"> </w:t>
      </w:r>
      <w:r>
        <w:t xml:space="preserve">category, &lt;0.1% of</w:t>
      </w:r>
      <w:r>
        <w:t xml:space="preserve"> </w:t>
      </w:r>
      <w:r>
        <w:t xml:space="preserve">admissions, was set to missing), HF type, discharge year (categorical),</w:t>
      </w:r>
      <w:r>
        <w:t xml:space="preserve"> </w:t>
      </w:r>
      <w:r>
        <w:t xml:space="preserve">and 19 comorbidities identified from any diagnosis position at the index</w:t>
      </w:r>
      <w:r>
        <w:t xml:space="preserve"> </w:t>
      </w:r>
      <w:r>
        <w:t xml:space="preserve">admission: hypertension (I10–I13, I15, I16, I1A), diabetes (E08–E11, E13),</w:t>
      </w:r>
      <w:r>
        <w:t xml:space="preserve"> </w:t>
      </w:r>
      <w:r>
        <w:t xml:space="preserve">obesity (E66 excluding E66.3; Z68.3x–Z68.4x), coronary artery disease (I20,</w:t>
      </w:r>
      <w:r>
        <w:t xml:space="preserve"> </w:t>
      </w:r>
      <w:r>
        <w:t xml:space="preserve">I25, Z95.1, Z95.5, Z98.61), obstructive sleep apnea (G47.33), atrial</w:t>
      </w:r>
      <w:r>
        <w:t xml:space="preserve"> </w:t>
      </w:r>
      <w:r>
        <w:t xml:space="preserve">fibrillation/flutter (I48), COPD (J41–J44), prior stroke/TIA (Z86.73, I69),</w:t>
      </w:r>
      <w:r>
        <w:t xml:space="preserve"> </w:t>
      </w:r>
      <w:r>
        <w:t xml:space="preserve">chronic kidney disease stage 3–5 without ESRD (N18.3–N18.5), end-stage renal</w:t>
      </w:r>
      <w:r>
        <w:t xml:space="preserve"> </w:t>
      </w:r>
      <w:r>
        <w:t xml:space="preserve">disease (N18.6, Z99.2), peripheral vascular disease (I70, I73.1, I73.8,</w:t>
      </w:r>
      <w:r>
        <w:t xml:space="preserve"> </w:t>
      </w:r>
      <w:r>
        <w:t xml:space="preserve">I73.9), anemia (D50–D64), depression (F32 excluding F32.81, F33), anxiety</w:t>
      </w:r>
      <w:r>
        <w:t xml:space="preserve"> </w:t>
      </w:r>
      <w:r>
        <w:t xml:space="preserve">disorder (F41), stress-related disorder (F43), nicotine dependence (F17.2),</w:t>
      </w:r>
      <w:r>
        <w:t xml:space="preserve"> </w:t>
      </w:r>
      <w:r>
        <w:t xml:space="preserve">alcohol use disorder (F10.1, F10.2), opioid use disorder (F11.1, F11.2) and</w:t>
      </w:r>
      <w:r>
        <w:t xml:space="preserve"> </w:t>
      </w:r>
      <w:r>
        <w:t xml:space="preserve">chronic hepatitis B or C (B18.0–B18.2, B19.20, B19.21). HF type was</w:t>
      </w:r>
      <w:r>
        <w:t xml:space="preserve"> </w:t>
      </w:r>
      <w:r>
        <w:t xml:space="preserve">classified from I50 codes in any diagnosis position (for I11.0/I13.x index</w:t>
      </w:r>
      <w:r>
        <w:t xml:space="preserve"> </w:t>
      </w:r>
      <w:r>
        <w:t xml:space="preserve">admissions, from the secondary I50 code) as combined (I50.4x, or both I50.2x and I50.3x),</w:t>
      </w:r>
      <w:r>
        <w:t xml:space="preserve"> </w:t>
      </w:r>
      <w:r>
        <w:t xml:space="preserve">systolic (I50.2x), diastolic (I50.3x) or other/unspecified. Because</w:t>
      </w:r>
      <w:r>
        <w:t xml:space="preserve"> </w:t>
      </w:r>
      <w:r>
        <w:t xml:space="preserve">I11.0 and I13.x are themselves hypertension codes, all patients with a</w:t>
      </w:r>
      <w:r>
        <w:t xml:space="preserve"> </w:t>
      </w:r>
      <w:r>
        <w:t xml:space="preserve">hypertensive HF principal diagnosis are flagged as having hypertension. The Charlson</w:t>
      </w:r>
      <w:r>
        <w:t xml:space="preserve"> </w:t>
      </w:r>
      <w:r>
        <w:t xml:space="preserve">Comorbidity Index is reported in Table 1 only and was not included in the</w:t>
      </w:r>
      <w:r>
        <w:t xml:space="preserve"> </w:t>
      </w:r>
      <w:r>
        <w:t xml:space="preserve">models, because its components overlap with the individual comorbidity</w:t>
      </w:r>
      <w:r>
        <w:t xml:space="preserve"> </w:t>
      </w:r>
      <w:r>
        <w:t xml:space="preserve">flags.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Hospital costs were estimated by applying HCUP hospital-specific</w:t>
      </w:r>
      <w:r>
        <w:t xml:space="preserve"> </w:t>
      </w:r>
      <w:r>
        <w:t xml:space="preserve">cost-to-charge ratios to reported total charges, then adjusting to 2022</w:t>
      </w:r>
      <w:r>
        <w:t xml:space="preserve"> </w:t>
      </w:r>
      <w:r>
        <w:t xml:space="preserve">dollars using the Consumer Price Index for medical care. All reported dollar</w:t>
      </w:r>
      <w:r>
        <w:t xml:space="preserve"> </w:t>
      </w:r>
      <w:r>
        <w:t xml:space="preserve">figures represent estimated hospital costs, not billed charges.</w:t>
      </w:r>
    </w:p>
    <w:p>
      <w:pPr>
        <w:pStyle w:val="BodyText"/>
      </w:pPr>
      <w:r>
        <w:rPr>
          <w:b/>
          <w:bCs/>
        </w:rPr>
        <w:t xml:space="preserve">Statistical analysis:</w:t>
      </w:r>
      <w:r>
        <w:t xml:space="preserve"> </w:t>
      </w:r>
      <w:r>
        <w:t xml:space="preserve">All estimates accounted for the NRD’s complex</w:t>
      </w:r>
      <w:r>
        <w:t xml:space="preserve"> </w:t>
      </w:r>
      <w:r>
        <w:t xml:space="preserve">survey design (discharge weights, hospital-level clustering and</w:t>
      </w:r>
      <w:r>
        <w:t xml:space="preserve"> </w:t>
      </w:r>
      <w:r>
        <w:t xml:space="preserve">stratification, with year-qualified strata and clusters for the pooled</w:t>
      </w:r>
      <w:r>
        <w:t xml:space="preserve"> </w:t>
      </w:r>
      <w:r>
        <w:t xml:space="preserve">2016–2022 data), so that results are nationally representative. Baseline</w:t>
      </w:r>
      <w:r>
        <w:t xml:space="preserve"> </w:t>
      </w:r>
      <w:r>
        <w:t xml:space="preserve">characteristics were compared between groups as weighted medians</w:t>
      </w:r>
      <w:r>
        <w:t xml:space="preserve"> </w:t>
      </w:r>
      <w:r>
        <w:t xml:space="preserve">(interquartile range) for continuous variables and weighted percentages for</w:t>
      </w:r>
      <w:r>
        <w:t xml:space="preserve"> </w:t>
      </w:r>
      <w:r>
        <w:t xml:space="preserve">categorical variables, using the design-based Wilcoxon rank-sum test and the Rao-Scott</w:t>
      </w:r>
      <w:r>
        <w:t xml:space="preserve"> </w:t>
      </w:r>
      <w:r>
        <w:t xml:space="preserve">chi-square test. Readmission was compared using survey-weighted logistic</w:t>
      </w:r>
      <w:r>
        <w:t xml:space="preserve"> </w:t>
      </w:r>
      <w:r>
        <w:t xml:space="preserve">regression (quasibinomial): an unadjusted model and a model adjusted for all</w:t>
      </w:r>
      <w:r>
        <w:t xml:space="preserve"> </w:t>
      </w:r>
      <w:r>
        <w:t xml:space="preserve">covariates, reported as odds ratios with 95% confidence intervals for</w:t>
      </w:r>
      <w:r>
        <w:t xml:space="preserve"> </w:t>
      </w:r>
      <w:r>
        <w:t xml:space="preserve">stimulant use disorder vs. the comparator. The same models were fitted for</w:t>
      </w:r>
      <w:r>
        <w:t xml:space="preserve"> </w:t>
      </w:r>
      <w:r>
        <w:t xml:space="preserve">90-day all-cause and 30- and 90-day HF-specific readmission. Predictors of</w:t>
      </w:r>
      <w:r>
        <w:t xml:space="preserve"> </w:t>
      </w:r>
      <w:r>
        <w:t xml:space="preserve">30-day readmission within the stimulant group were assessed with the same</w:t>
      </w:r>
      <w:r>
        <w:t xml:space="preserve"> </w:t>
      </w:r>
      <w:r>
        <w:t xml:space="preserve">covariates. Effect modification by sex was tested with an exposure-by-sex</w:t>
      </w:r>
      <w:r>
        <w:t xml:space="preserve"> </w:t>
      </w:r>
      <w:r>
        <w:t xml:space="preserve">interaction term in the adjusted 30-day model, and sex-stratified adjusted</w:t>
      </w:r>
      <w:r>
        <w:t xml:space="preserve"> </w:t>
      </w:r>
      <w:r>
        <w:t xml:space="preserve">odds ratios are reported. The distribution of readmission diagnoses was</w:t>
      </w:r>
      <w:r>
        <w:t xml:space="preserve"> </w:t>
      </w:r>
      <w:r>
        <w:t xml:space="preserve">compared between groups with a Rao-Scott test (top 10 diagnoses plus all</w:t>
      </w:r>
      <w:r>
        <w:t xml:space="preserve"> </w:t>
      </w:r>
      <w:r>
        <w:t xml:space="preserve">others). Length of stay, cost and days to readmission were compared as</w:t>
      </w:r>
      <w:r>
        <w:t xml:space="preserve"> </w:t>
      </w:r>
      <w:r>
        <w:t xml:space="preserve">weighted medians with a design-based Wilcoxon rank-sum test. Analyses were</w:t>
      </w:r>
      <w:r>
        <w:t xml:space="preserve"> </w:t>
      </w:r>
      <w:r>
        <w:t xml:space="preserve">complete-case; median household income missingness is shown as its own</w:t>
      </w:r>
      <w:r>
        <w:t xml:space="preserve"> </w:t>
      </w:r>
      <w:r>
        <w:t xml:space="preserve">category. Tests were two-sided with alpha = 0.05. Consistent with HCUP</w:t>
      </w:r>
      <w:r>
        <w:t xml:space="preserve"> </w:t>
      </w:r>
      <w:r>
        <w:t xml:space="preserve">data-use guidance, estimates based on fewer than 11 unweighted discharges are</w:t>
      </w:r>
      <w:r>
        <w:t xml:space="preserve"> </w:t>
      </w:r>
      <w:r>
        <w:t xml:space="preserve">not reported.</w:t>
      </w:r>
    </w:p>
    <w:p>
      <w:pPr>
        <w:pStyle w:val="BodyText"/>
      </w:pPr>
      <w:r>
        <w:rPr>
          <w:b/>
          <w:bCs/>
        </w:rPr>
        <w:t xml:space="preserve">Sensitivity analyses (30-day all-cause readmission):</w:t>
      </w:r>
      <w:r>
        <w:t xml:space="preserve"> </w:t>
      </w:r>
      <w:r>
        <w:t xml:space="preserve">(1) strict exposure</w:t>
      </w:r>
      <w:r>
        <w:t xml:space="preserve"> </w:t>
      </w:r>
      <w:r>
        <w:t xml:space="preserve">definition (F15.10, F15.11, F15.20, F15.21 only); (2) restricted index</w:t>
      </w:r>
      <w:r>
        <w:t xml:space="preserve"> </w:t>
      </w:r>
      <w:r>
        <w:t xml:space="preserve">definition limited to a principal diagnosis of I50.x (the definition in the</w:t>
      </w:r>
      <w:r>
        <w:t xml:space="preserve"> </w:t>
      </w:r>
      <w:r>
        <w:t xml:space="preserve">original analysis plan); (3) reference-study exposure definition (any</w:t>
      </w:r>
      <w:r>
        <w:t xml:space="preserve"> </w:t>
      </w:r>
      <w:r>
        <w:t xml:space="preserve">F15.1x or F15.2x code regardless of co-occurring cocaine, cannabis or opioid</w:t>
      </w:r>
      <w:r>
        <w:t xml:space="preserve"> </w:t>
      </w:r>
      <w:r>
        <w:t xml:space="preserve">use disorder), with the same comparator; (4) excluding discharges against</w:t>
      </w:r>
      <w:r>
        <w:t xml:space="preserve"> </w:t>
      </w:r>
      <w:r>
        <w:t xml:space="preserve">medical advice; and (5) restricting to 2019–2022, the years after the</w:t>
      </w:r>
      <w:r>
        <w:t xml:space="preserve"> </w:t>
      </w:r>
      <w:r>
        <w:t xml:space="preserve">reference study.</w:t>
      </w:r>
    </w:p>
    <w:p>
      <w:pPr>
        <w:pStyle w:val="BodyText"/>
      </w:pPr>
      <w:r>
        <w:rPr>
          <w:b/>
          <w:bCs/>
          <w:i/>
          <w:iCs/>
        </w:rPr>
        <w:t xml:space="preserve">Note for Tables 5b and 5d:</w:t>
      </w:r>
      <w:r>
        <w:t xml:space="preserve"> </w:t>
      </w:r>
      <w:r>
        <w:t xml:space="preserve">P-values are from a design-based Wilcoxon</w:t>
      </w:r>
      <w:r>
        <w:t xml:space="preserve"> </w:t>
      </w:r>
      <w:r>
        <w:t xml:space="preserve">rank-sum test, which compares full distributions rather than medians; given</w:t>
      </w:r>
      <w:r>
        <w:t xml:space="preserve"> </w:t>
      </w:r>
      <w:r>
        <w:t xml:space="preserve">the large sample size, a significant p-value can occur even when medians and</w:t>
      </w:r>
      <w:r>
        <w:t xml:space="preserve"> </w:t>
      </w:r>
      <w:r>
        <w:t xml:space="preserve">IQRs are nearly identical and should be interpreted alongside the reported</w:t>
      </w:r>
      <w:r>
        <w:t xml:space="preserve"> </w:t>
      </w:r>
      <w:r>
        <w:t xml:space="preserve">effect size rather than as a standalone indicator of clinical relevance.</w:t>
      </w:r>
    </w:p>
    <w:p>
      <w:pPr>
        <w:pStyle w:val="BodyText"/>
      </w:pPr>
      <w:r>
        <w:rPr>
          <w:b/>
          <w:bCs/>
          <w:i/>
          <w:iCs/>
        </w:rPr>
        <w:t xml:space="preserve">Note on effect size:</w:t>
      </w:r>
      <w:r>
        <w:t xml:space="preserve"> </w:t>
      </w:r>
      <w:r>
        <w:t xml:space="preserve">The reference study reported hazard ratios from</w:t>
      </w:r>
      <w:r>
        <w:t xml:space="preserve"> </w:t>
      </w:r>
      <w:r>
        <w:t xml:space="preserve">Cox models; this analysis reports odds ratios, so the two should be compared</w:t>
      </w:r>
      <w:r>
        <w:t xml:space="preserve"> </w:t>
      </w:r>
      <w:r>
        <w:t xml:space="preserve">for direction and magnitude only and not treated as equivalent.</w:t>
      </w:r>
    </w:p>
    <w:bookmarkEnd w:id="23"/>
    <w:bookmarkStart w:id="24" w:name="figure-1-cohort-flow"/>
    <w:p>
      <w:pPr>
        <w:pStyle w:val="Heading2"/>
      </w:pPr>
      <w:r>
        <w:t xml:space="preserve">Figure 1 — Cohort Flow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Excluded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Weighted 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Primary Cohort (Principal Diagnosis I50.x, I11.0, I13.0 or I13.2)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Principal diagnosis of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4,631,390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8,474,907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age &lt;18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4,628,427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8,464,875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elective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4,479,689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8,160,630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ineligible discharge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407,136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4,072,553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7,420,140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in-hospital death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122,387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3,950,166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7,199,731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missing VisitLink, LOS, age, sex or 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3,950,098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7,199,611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cocaine or 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3,834,568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6,989,297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unspecified stimulant use only (F15.9x)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3,824,254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6,972,820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3,760,525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6,873,447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63,729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99,373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Sensitivity Cohort (Principal Diagnosis I50.x Only)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Principal diagnosis of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842,909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1,570,753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age &lt;18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1,561,782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elective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1,473,807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ineligible discharge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751,305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1,386,536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in-hospital death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726,026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1,340,214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missing VisitLink, LOS, age, sex or 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1,340,179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cocaine or 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703,727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1,299,983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unspecified stimulant use only (F15.9x)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700,963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1,295,592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683,488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1,268,471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27,121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N = nationally representative estimate using NRD discharge weights (DISCWT). Exclusions applied sequentially; Excluded (Unweighted n) = discharges removed at that step.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Excluded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Weighted 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Primary Cohort (Principal Diagnosis I50.x, I11.0, I13.0 or I13.2)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Principal diagnosis of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4,631,390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8,474,907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age &lt;18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4,628,427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8,464,875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elective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148,738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4,479,689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8,160,630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ineligible discharge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1,145,799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3,333,890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6,074,005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in-hospital death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3,233,566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5,893,274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missing VisitLink, LOS, age, sex or 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3,233,512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5,893,180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cocaine or 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93,982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3,139,530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5,722,030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unspecified stimulant use only (F15.9x)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3,131,243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5,708,795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3,079,627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5,628,327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80,467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Sensitivity Cohort (Principal Diagnosis I50.x Only)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Principal diagnosis of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842,909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1,570,753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age &lt;18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1,561,782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elective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1,473,807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ineligible discharge 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141,256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657,943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1,215,337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in-hospital death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1,175,355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missing VisitLink, LOS, age, sex or 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636,127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1,175,329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cocaine or 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1,141,072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excluding unspecified stimulant use only (F15.9x)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614,925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1,137,476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600,391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1,114,934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analytic group: 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22,542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N = nationally representative estimate using NRD discharge weights (DISCWT). Exclusions applied sequentially; Excluded (Unweighted n) = discharges removed at that step.</w:t>
            </w:r>
          </w:p>
        </w:tc>
      </w:tr>
    </w:tbl>
    <w:bookmarkEnd w:id="24"/>
    <w:bookmarkStart w:id="25" w:name="X2858203a880c301a9a6c3abff20e432a656f0cb"/>
    <w:p>
      <w:pPr>
        <w:pStyle w:val="Heading2"/>
      </w:pPr>
      <w:r>
        <w:t xml:space="preserve">Table 1 — Baseline Characteristics by Stimulant Use Disorder Status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Stimulant/Cocaine/Cannabis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6,873,447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3,760,525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Stimulant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99,373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63,729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(63,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(44, 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489,757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40,936 (41.2%)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1,464,627 (21.3%)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50,681 (51.0%)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1,606,778 (23.4%)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7,285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3,312,285 (48.2%)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3,530,587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75,981 (76.5%)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3,342,860 (48.6%)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23,392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701,220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6,422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660,733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64,495 (65.0%)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5,201,076 (75.8%)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18,942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155,791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2,655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146,566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6,736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2,255,533 (32.8%)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41,074 (41.3%)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1,872,227 (27.2%)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24,565 (24.7%)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1,548,810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20,863 (21.0%)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1,118,640 (16.3%)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11,213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78,236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1,657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5,245,829 (76.3%)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73,002 (73.5%)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1,627,618 (23.7%)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26,371 (26.5%)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1,350,708 (19.7%)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15,727 (15.8%)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1,923,724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23,117 (23.3%)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3,599,016 (52.4%)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60,529 (60.9%)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1,470,607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24,692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4,693,305 (68.3%)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67,426 (67.9%)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709,535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7,255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878,571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7,305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980,393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8,904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1,033,595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11,709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1,069,064 (15.6%)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14,070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919,236 (13.4%)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16,162 (16.3%)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992,654 (14.4%)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20,270 (20.4%)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999,933 (14.5%)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20,954 (21.1%)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Routine discharge to home/self-care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3,452,547 (50.2%)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74,016 (74.5%)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1,972,349 (28.7%)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8,043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SNF/intermediate/other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1,266,108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4,112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another 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66,667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113,493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12,587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2,296,288 (33.4%)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60,663 (61.0%)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2,888,957 (42.0%)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8,918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1,267,185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25,172 (25.3%)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421,017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4,620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(3,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6,375,695 (92.8%)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80,116 (80.6%)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3,451,363 (50.2%)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30,197 (30.4%)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1,984,498 (28.9%)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24,714 (24.9%)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3,640,740 (53.0%)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31,082 (31.3%)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1,181,942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10,807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/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3,262,362 (47.5%)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20,038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2,377,974 (34.6%)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32,013 (32.2%)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938,448 (13.7%)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8,629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Stage 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2,410,054 (35.1%)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16,621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576,781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546,549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2,589,311 (37.7%)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18,704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852,298 (12.4%)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10,795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843,806 (12.3%)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16,058 (16.2%)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Stress-Related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65,855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Nicotine 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874,852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56,404 (56.8%)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202,255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14,773 (14.9%)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Opioid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62,708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Hepatitis B /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97,349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10,162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Weighted N = nationally representative estimate (DISCWT survey weights), pooled 2016-2022. Unweighted n = actual NRD sample size. Categorical: n (weighted %); continuous: median (IQR). P-values: design-based Rao-Scott chi-square (categorical) or design-based Wilcoxon rank-sum test (continuous). Stimulant use disorder = F15.1x/F15.2x with no cocaine (F14) or cannabis (F12) use disorder code; comparator = no F15, F14 or F12 code. The Charlson Comorbidity Index is descriptive only and is not included in the regression models. Missing: weighted count. – denotes suppressed cells (n &lt; 11 unweighted, plus one complementary cell where needed to prevent back-calculation) per HCUP guidelines.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Wilcoxon rank-sum test (continuous); Rao-Scott chi-square test (categorical)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Stimulant/Cocaine/Cannabis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5,628,327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3,079,627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Stimulant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80,467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51,616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(63,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(44, 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399,865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33,270 (41.3%)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1,198,206 (21.3%)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40,930 (50.9%)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1,313,668 (23.3%)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5,895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2,716,588 (48.3%)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2,890,701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61,399 (76.3%)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2,737,626 (48.6%)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19,068 (23.7%)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572,931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5,250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540,222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52,361 (65.1%)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4,263,029 (75.8%)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15,211 (18.9%)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127,208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2,143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118,630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5,413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1,846,281 (32.8%)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33,236 (41.3%)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1,534,470 (27.3%)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19,865 (24.7%)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1,267,659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16,902 (21.0%)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915,492 (16.3%)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9,135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64,425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1,330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4,298,611 (76.4%)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59,249 (73.6%)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1,329,716 (23.6%)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21,218 (26.4%)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1,105,725 (19.6%)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12,565 (15.6%)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1,575,370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18,827 (23.4%)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2,947,232 (52.4%)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49,076 (61.0%)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1,204,087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19,920 (24.8%)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3,841,719 (68.3%)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54,709 (68.0%)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582,522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5,839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717,286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5,871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803,408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7,166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848,222 (15.1%)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9,435 (11.7%)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876,878 (15.6%)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11,364 (14.1%)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754,618 (13.4%)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12,985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814,428 (14.5%)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16,592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813,487 (14.5%)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17,056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Routine discharge to home/self-care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2,818,383 (50.1%)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59,877 (74.4%)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1,617,644 (28.8%)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6,522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SNF/intermediate/other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1,044,601 (18.6%)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another 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53,999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91,796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10,253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1,882,162 (33.4%)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49,191 (61.1%)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2,362,300 (42.0%)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7,169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1,035,776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20,309 (25.2%)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348,089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3,798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(3,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5,213,454 (92.6%)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64,768 (80.5%)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2,823,579 (50.2%)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24,422 (30.4%)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1,621,840 (28.8%)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20,091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2,981,789 (53.0%)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24,895 (30.9%)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966,258 (17.2%)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8,692 (10.8%)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/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2,671,987 (47.5%)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16,233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1,950,036 (34.6%)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25,945 (32.2%)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767,806 (13.6%)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6,989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Stage 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1,972,284 (35.0%)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13,540 (16.8%)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469,703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450,955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2,236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2,116,456 (37.6%)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15,114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696,344 (12.4%)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8,834 (11.0%)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689,148 (12.2%)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12,969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Stress-Related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53,457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2,146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Nicotine 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712,653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45,515 (56.6%)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165,747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11,997 (14.9%)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Opioid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51,022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Hepatitis B /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79,715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8,299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Weighted N = nationally representative estimate (DISCWT survey weights), pooled 2016-2022. Unweighted n = actual NRD sample size. Categorical: n (weighted %); continuous: median (IQR). P-values: design-based Rao-Scott chi-square (categorical) or design-based Wilcoxon rank-sum test (continuous). Stimulant use disorder = F15.1x/F15.2x with no cocaine (F14) or cannabis (F12) use disorder code; comparator = no F15, F14 or F12 code. The Charlson Comorbidity Index is descriptive only and is not included in the regression models. Missing: weighted count. – denotes suppressed cells (n &lt; 11 unweighted, plus one complementary cell where needed to prevent back-calculation) per HCUP guidelines.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Wilcoxon rank-sum test (continuous); Rao-Scott chi-square test (categorical)</w:t>
            </w:r>
          </w:p>
        </w:tc>
      </w:tr>
    </w:tbl>
    <w:bookmarkEnd w:id="25"/>
    <w:bookmarkStart w:id="26" w:name="X06eb996b551b61f6a33c135e2c7ae00b413daba"/>
    <w:p>
      <w:pPr>
        <w:pStyle w:val="Heading2"/>
      </w:pPr>
      <w:r>
        <w:t xml:space="preserve">Table 2 — 30- and 90-Day Readmission by Stimulant Use Disorder Status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Readmission, Weighted %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Unadjusted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Stimulant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Stimulant/Cocaine/Cannabis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OR 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30-Day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All-cause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31.2% (20,080)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(831,394)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 (1.57–1.64)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 (1.35–1.41)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HF-specific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 (11,784)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9.1% (345,888)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 (2.17–2.28)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 (1.51–1.60)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90-Day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All-cause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50.9% (26,494)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38.8% (1,199,789)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 (1.60–1.67)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 (1.40–1.46)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HF-specific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29.6% (15,396)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(497,693)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 (2.14–2.24)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 (1.54–1.62)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Rates are survey-weighted percentages with unweighted readmission counts in parentheses. Odds ratios from survey-weighted logistic regression (quasibinomial); reference group: no stimulant, cocaine or cannabis use disorder. Adjusted models include all covariates listed in the Methods and discharge year. HF-specific readmission = first readmission with principal diagnosis I50.x, I11.0, I13.0 or I13.2. – denotes suppressed cells (&lt; 11 unweighted events) per HCUP guidelines.</w:t>
            </w:r>
          </w:p>
        </w:tc>
      </w:tr>
    </w:tbl>
    <w:bookmarkEnd w:id="26"/>
    <w:bookmarkStart w:id="27" w:name="Xc55c10f1a73ed4ab9cf2fd2eb5008ee7b531944"/>
    <w:p>
      <w:pPr>
        <w:pStyle w:val="Heading2"/>
      </w:pPr>
      <w:r>
        <w:t xml:space="preserve">Table 3 — Causes of Readmission (Top 10 Principal Diagnoses)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ICD-10-CM 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 Stimulant/Cocaine/Cannabis Use Disorder,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Stimulant Use Disorder, Weighted 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stage 1 through stage 4 chronic kidney disease, or unspecified 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disease 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88,718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Sepsis, unspecified 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45,539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with stage 5 chronic kidney disease, or end 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failure, 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34,007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systolic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diastolic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 with (acute) exacerbation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J96.21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and chronic respiratory failure with hypoxia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Pneumonia, unspecified 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Principal ICD-10-CM diagnosis at first readmission; weighted % within each group. Rao-Scott test of the overall distribution (top 10 + all other diagnoses): p &lt; 0.001. Top 10 diagnoses ranked by overall weighted frequency; group columns give the within-group weighted % for the same diagnoses. – denotes suppressed cells (&lt; 11 unweighted readmissions) per HCUP guidelines.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ICD-10-CM 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 Stimulant/Cocaine/Cannabis Use Disorder,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Stimulant Use Disorder, Weighted 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stage 1 through stage 4 chronic kidney disease, or unspecified 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243,157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disease 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Sepsis, unspecified 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64,413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with stage 5 chronic kidney disease, or end 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49,612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failure, 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45,874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systolic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diastolic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 with (acute) exacerbation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 elevation (NSTEMI)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Pneumonia, unspecified 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19,687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Principal ICD-10-CM diagnosis at first readmission; weighted % within each group. Rao-Scott test of the overall distribution (top 10 + all other diagnoses): p &lt; 0.001. Top 10 diagnoses ranked by overall weighted frequency; group columns give the within-group weighted % for the same diagnoses. – denotes suppressed cells (&lt; 11 unweighted readmissions) per HCUP guidelines.</w:t>
            </w:r>
          </w:p>
        </w:tc>
      </w:tr>
    </w:tbl>
    <w:bookmarkEnd w:id="27"/>
    <w:bookmarkStart w:id="28" w:name="X204dd4fc7ede33f92c9d729cc8854c4499b7795"/>
    <w:p>
      <w:pPr>
        <w:pStyle w:val="Heading2"/>
      </w:pPr>
      <w:r>
        <w:t xml:space="preserve">Table 4 — Predictors of 30-Day Readmission Within the Stimulant Use Disorder Group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(per 10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0.85–0.90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0.80–0.89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1.35–1.62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1.34–1.64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1.03–1.41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0.75–0.83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0.74–0.82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0.70–0.81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0.67–0.92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0.99–1.13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1.01–1.14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0.64–0.77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Routine discharge to home/self-care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SNF/intermediate/other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0.81–0.99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another 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0.83–1.34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2.40–2.67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0.93–1.02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0.81–0.96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0.80–0.89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1.12–1.22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0.79–0.87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1.10–1.20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0.94–1.06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/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1.29–1.43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1.26–1.38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1.05–1.20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Stage 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1.25–1.38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1.47–1.87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1.05–1.33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1.23–1.36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1.03–1.18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1.09–1.21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Stress-Related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0.95–1.21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Nicotine 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0.86–0.93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Opioid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0.94–1.12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Hepatitis B /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1.12–1.27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0.99–1.22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1.04–1.27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0.95–1.15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0.94–1.14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Survey-weighted logistic regression (quasibinomial; NRD complex design, year-qualified strata/PSUs). Odds ratios adjusted for all listed covariates, entered simultaneously (no stepwise selection). Age entered per 10 years; discharge year entered as a categorical term. Hypertension is coded present for all index admissions with an I11.0/I13.x principal diagnosis, so its odds ratio largely reflects the index HF code group rather than an independent effect of hypertension.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Xb71d0d96c654fb0f77990a61bdbe3c5be278162"/>
    <w:p>
      <w:pPr>
        <w:pStyle w:val="Heading2"/>
      </w:pPr>
      <w:r>
        <w:t xml:space="preserve">Table 5 — Readmission Outcomes, Length of Stay and Cost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1,542,119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851,474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Stimulant/Cocaine/Cannabis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1,511,150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831,394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Stimulant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30,969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20,080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 at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Survived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1,437,274 (93.2%)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1,407,284 (93.2%)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29,989 (96.9%)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104,399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103,436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vs. Non-Heart Failure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HF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647,040 (42.0%)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628,858 (41.6%)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18,182 (58.7%)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Non-HF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895,080 (58.0%)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882,292 (58.4%)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12,787 (41.3%)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Weighted % with design-based Rao-Scott chi-square. – denotes suppressed cells (n &lt; 11 unweighted) per HCUP guidelines.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Stimulant/Cocaine/Cannabis Use Disorder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Stimulant Use Disorder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(2–5)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cost, 2022 US$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$9,819 ($6,276–$16,279)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$9,804 ($6,266–$16,260)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$10,885 ($7,038–$17,554)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Readmission 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(3–8)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(3–8)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Readmission cost, 2022 US$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$11,121 ($6,621–$20,418)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$11,117 ($6,616–$20,428)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$11,336 ($6,898–$20,031)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discharge to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(6–20)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(6–20)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(6–19)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Survey-weighted median (interquartile range) at the index admission and at the first 30-day readmission, by stimulant use disorder status. Costs estimated from charges using HCUP cost-to-charge ratios, in 2022 US dollars. P-values from design-based Wilcoxon rank-sum tests; with this sample size, small differences in distribution reach statistical significance even when medians are equal, so p-values should be read alongside the medians.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2,224,857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1,226,283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Stimulant/Cocaine/Cannabis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2,183,898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1,199,789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Stimulant Use Disorder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Weighted N = 40,958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Unweighted n = 26,494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 at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Survived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2,089,281 (93.9%)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2,049,641 (93.9%)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39,640 (96.8%)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134,961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133,671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1,290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vs. Non-Heart Failure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HF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929,565 (41.8%)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905,782 (41.5%)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23,783 (58.1%)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Non-HF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1,295,292 (58.2%)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1,278,117 (58.5%)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17,175 (41.9%)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Weighted % with design-based Rao-Scott chi-square. – denotes suppressed cells (n &lt; 11 unweighted) per HCUP guidelines.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Stimulant/Cocaine/Cannabis Use Disorder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Stimulant Use Disorder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(2–5)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Index cost, 2022 US$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$9,790 ($6,254–$16,238)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$9,775 ($6,244–$16,220)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$10,840 ($7,009–$17,481)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Readmission 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(3–8)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(2–6)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Readmission cost, 2022 US$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$10,905 ($6,530–$19,916)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$10,897 ($6,523–$19,911)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$11,289 ($6,882–$20,118)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from discharge to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(11–49)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(11–49)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(9–46)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Survey-weighted median (interquartile range) at the index admission and at the first 90-day readmission, by stimulant use disorder status. Costs estimated from charges using HCUP cost-to-charge ratios, in 2022 US dollars. P-values from design-based Wilcoxon rank-sum tests; with this sample size, small differences in distribution reach statistical significance even when medians are equal, so p-values should be read alongside the medians.</w:t>
            </w:r>
          </w:p>
        </w:tc>
      </w:tr>
    </w:tbl>
    <w:bookmarkEnd w:id="29"/>
    <w:bookmarkStart w:id="30" w:name="table-6-effect-modification-by-sex"/>
    <w:p>
      <w:pPr>
        <w:pStyle w:val="Heading2"/>
      </w:pPr>
      <w:r>
        <w:t xml:space="preserve">Table 6 — Effect Modification by Sex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Readmission, Weighted %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Stimulant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Stimulant/Cocaine/Cannabis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31.9% (15,642)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 (433,523)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(1.36–1.43)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28.8% (4,438)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(397,871)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 (1.20–1.30)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Sex-stratified adjusted odds ratios for stimulant use disorder vs. comparator (all covariates except sex). Exposure-by-sex interaction: p &lt; 0.001.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ICD-10-CM Code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Overall, 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Male, Weighted 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Female, Weighted 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disease with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stage 1 through stage 4 chronic kidney disease, or unspecified 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systolic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A41.9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Sepsis, unspecified organism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I50.43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on chronic combined systolic (congestive) and diastolic (congestive)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T43.621A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Poisoning by amphetamines, accidental (unintentional), initial encounter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Non-ST elevation (NSTEMI)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Hypertensive heart and chronic kidney disease with heart failure and with stage 5 chronic kidney disease, or end 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failure, 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J44.1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 with (acute) exacerbation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Principal ICD-10-CM diagnosis at first readmission; weighted % within each group. Rao-Scott test of the overall distribution (top 10 + all other diagnoses): p &lt; 0.001. Top 10 diagnoses ranked by overall weighted frequency; group columns give the within-group weighted % for the same diagnoses. – denotes suppressed cells (&lt; 11 unweighted readmissions) per HCUP guidelines.</w:t>
            </w:r>
          </w:p>
        </w:tc>
      </w:tr>
    </w:tbl>
    <w:bookmarkEnd w:id="30"/>
    <w:bookmarkStart w:id="31" w:name="supplement"/>
    <w:p>
      <w:pPr>
        <w:pStyle w:val="Heading2"/>
      </w:pPr>
      <w:r>
        <w:t xml:space="preserve">Supplement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1.35–1.41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(per 10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1.03–1.04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1.48–1.53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1.37–1.41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1.18–1.24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0.93–0.95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0.90–0.91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0.89–0.91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1.01–1.03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1.01–1.03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0.88–0.91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Routine discharge to home/self-care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1.28–1.30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SNF/intermediate/other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1.29–1.32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another 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1.38–1.48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2.33–2.42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0.95–0.97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1.12–1.13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0.86–0.87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1.10–1.11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0.95–0.97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/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1.17–1.18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1.31–1.32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1.04–1.05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Stage 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1.25–1.27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1.51–1.54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1.06–1.08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1.22–1.23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1.02–1.04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1.09–1.11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Stress-Related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1.08–1.14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Nicotine 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Opioid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1.24–1.31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Hepatitis B /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1.22–1.28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0.93–0.97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0.92–0.96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0.93–0.97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Survey-weighted logistic regression (quasibinomial; NRD complex design, year-qualified strata/PSUs). Odds ratios adjusted for all listed covariates, entered simultaneously (no stepwise selection). Age entered per 10 years; discharge year entered as a categorical term. Hypertension is coded present for all index admissions with an I11.0/I13.x principal diagnosis, so its odds ratio largely reflects the index HF code group rather than an independent effect of hypertension.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Stimulant/Cocaine/Cannabis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Stimulant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1.40–1.46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(per 10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0.86–0.87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1.03–1.05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Weekday (Mon-Fri)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Weekend (Sat-Sun)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1.02–1.04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1.60–1.65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1.46–1.50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Other/no 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1.18–1.24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Self-pay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 (ZIP)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0.90–0.92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0.90–0.95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1.00–1.03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1.02–1.04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/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0.99–1.01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Disposition at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Routine discharge to home/self-care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health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1.23–1.25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SNF/intermediate/other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1.26–1.28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Transfer to another 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1.01–1.09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2.03–2.11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Combined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1.02–1.03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Other/Unspecified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0.94–0.97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1.00–1.02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1.16–1.18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0.87–0.88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1.12–1.14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Obstructive Sleep Apnea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Atrial Fibrillation /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1.18–1.19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Obstructive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1.35–1.37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Stroke / TIA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1.08–1.09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 Stage 3-5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1.29–1.31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End-Stage Renal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1.54–1.57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1.06–1.08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1.23–1.24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1.05–1.06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1.07–1.09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Stress-Related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1.08–1.14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Nicotine 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Opioid Use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1.29–1.35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Hepatitis B /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1.30–1.36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0.96–0.99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0.88–0.92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0.90–0.94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0.91–0.95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Survey-weighted logistic regression (quasibinomial; NRD complex design, year-qualified strata/PSUs). Odds ratios adjusted for all listed covariates, entered simultaneously (no stepwise selection). Age entered per 10 years; discharge year entered as a categorical term. Hypertension is coded present for all index admissions with an I11.0/I13.x principal diagnosis, so its odds ratio largely reflects the index HF code group rather than an independent effect of hypertension.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Readmission, Weighted %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Stimulant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Stimulant/Cocaine/Cannabis Use Disorder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OR 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31.2% (20,080)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(831,394)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 (1.35–1.41)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 Strict exposure (F15.10/F15.11/F15.20/F15.21)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31.0% (18,419)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(831,394)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 (1.33–1.39)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 Restricted index definition (I50.x principal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31.3% (5,510)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 (146,226)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(1.33–1.44)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 Reference-study exposure (any F15.1x/F15.2x)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31.3% (25,448)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(831,394)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 (1.35–1.41)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 Excluding discharges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28.5% (16,052)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(806,030)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 (1.33–1.40)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 Restricted to 2019-2022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31.4% (14,574)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(478,120)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 (1.37–1.45)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odds ratios for stimulant use disorder vs. comparator under each alternative definition or restriction; all models include the full covariate set.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dn.sanity.io/files/0vv8moc6/ajmc/4877170548e7b149a93008957a73a3b1fab4006d.pdf/AJMC_08_2025_Canonico_final.pdf" TargetMode="External" /><Relationship Type="http://schemas.openxmlformats.org/officeDocument/2006/relationships/hyperlink" Id="rId20" Target="https://doi.org/10.1016/j.cpcardiol.2022.101189" TargetMode="External" /><Relationship Type="http://schemas.openxmlformats.org/officeDocument/2006/relationships/hyperlink" Id="rId21" Target="https://qualityindicators.ahrq.gov/Downloads/Modules/PQI/V2022/TechSpecs/PQI_08_Heart_Failure_Admission_Rat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dn.sanity.io/files/0vv8moc6/ajmc/4877170548e7b149a93008957a73a3b1fab4006d.pdf/AJMC_08_2025_Canonico_final.pdf" TargetMode="External" /><Relationship Type="http://schemas.openxmlformats.org/officeDocument/2006/relationships/hyperlink" Id="rId20" Target="https://doi.org/10.1016/j.cpcardiol.2022.101189" TargetMode="External" /><Relationship Type="http://schemas.openxmlformats.org/officeDocument/2006/relationships/hyperlink" Id="rId21" Target="https://qualityindicators.ahrq.gov/Downloads/Modules/PQI/V2022/TechSpecs/PQI_08_Heart_Failure_Admission_Rat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 and 90-Day Readmissions Among Heart Failure Patients With Stimulant (Predominantly Methamphetamine) Use Disorder</dc:title>
  <dc:creator>Hibah Siddiqui</dc:creator>
  <cp:keywords/>
  <dcterms:created xsi:type="dcterms:W3CDTF">2026-10-30T11:38:35Z</dcterms:created>
  <dcterms:modified xsi:type="dcterms:W3CDTF">2026-10-30T11:38:35Z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Analysis for RCOP NRD C10 - Nationwide Readmissions Database, 2016–2022</vt:lpwstr>
  </property>
  <property fmtid="{D5CDD505-2E9C-101B-9397-08002B2CF9AE}" pid="12" name="toc-title">
    <vt:lpwstr>Table of contents</vt:lpwstr>
  </property>
</Properties>
</file>