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3E831" w14:textId="28A453D0" w:rsidR="00D10229" w:rsidRPr="00D10229" w:rsidRDefault="00D10229" w:rsidP="00D10229">
      <w:pPr>
        <w:jc w:val="center"/>
        <w:rPr>
          <w:b/>
          <w:bCs/>
          <w:sz w:val="36"/>
          <w:szCs w:val="36"/>
        </w:rPr>
      </w:pPr>
      <w:r w:rsidRPr="00D10229">
        <w:rPr>
          <w:b/>
          <w:bCs/>
          <w:sz w:val="36"/>
          <w:szCs w:val="36"/>
        </w:rPr>
        <w:t>Executive Summary</w:t>
      </w:r>
      <w:r w:rsidRPr="00D10229">
        <w:rPr>
          <w:b/>
          <w:bCs/>
          <w:sz w:val="36"/>
          <w:szCs w:val="36"/>
          <w:lang w:val="en-US"/>
        </w:rPr>
        <w:br/>
      </w:r>
      <w:r w:rsidRPr="00D10229">
        <w:rPr>
          <w:sz w:val="36"/>
          <w:szCs w:val="36"/>
          <w:lang w:val="en-US"/>
        </w:rPr>
        <w:t xml:space="preserve"> Electric Vehicle Support Infrastructure</w:t>
      </w:r>
    </w:p>
    <w:p w14:paraId="2CB1C2EF" w14:textId="4981AE79" w:rsidR="001B1169" w:rsidRDefault="00D10229" w:rsidP="001B1169">
      <w:pPr>
        <w:jc w:val="center"/>
        <w:rPr>
          <w:sz w:val="28"/>
          <w:szCs w:val="28"/>
          <w:lang w:val="en-US"/>
        </w:rPr>
      </w:pPr>
      <w:r w:rsidRPr="00D10229">
        <w:rPr>
          <w:sz w:val="28"/>
          <w:szCs w:val="28"/>
          <w:lang w:val="en-US"/>
        </w:rPr>
        <w:t xml:space="preserve">Case study 2 </w:t>
      </w:r>
    </w:p>
    <w:p w14:paraId="28AE8DE7" w14:textId="4D38DC06" w:rsidR="00D10229" w:rsidRDefault="00D10229" w:rsidP="00D10229">
      <w:pPr>
        <w:rPr>
          <w:b/>
          <w:bCs/>
          <w:sz w:val="28"/>
          <w:szCs w:val="28"/>
          <w:lang w:val="en-US"/>
        </w:rPr>
      </w:pPr>
      <w:r w:rsidRPr="00D10229">
        <w:rPr>
          <w:b/>
          <w:bCs/>
          <w:sz w:val="28"/>
          <w:szCs w:val="28"/>
          <w:lang w:val="en-US"/>
        </w:rPr>
        <w:t>Basic Analysis</w:t>
      </w:r>
    </w:p>
    <w:p w14:paraId="2251D95C" w14:textId="289B6629" w:rsidR="001B1169" w:rsidRDefault="00104D1B" w:rsidP="000515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dataset provided by the UK government</w:t>
      </w:r>
      <w:r w:rsidR="0055784B">
        <w:rPr>
          <w:sz w:val="28"/>
          <w:szCs w:val="28"/>
          <w:lang w:val="en-US"/>
        </w:rPr>
        <w:t xml:space="preserve"> </w:t>
      </w:r>
      <w:r w:rsidR="008D0A17">
        <w:rPr>
          <w:sz w:val="28"/>
          <w:szCs w:val="28"/>
          <w:lang w:val="en-US"/>
        </w:rPr>
        <w:t xml:space="preserve">shows traffic of different </w:t>
      </w:r>
      <w:r w:rsidR="00075BA9">
        <w:rPr>
          <w:sz w:val="28"/>
          <w:szCs w:val="28"/>
          <w:lang w:val="en-US"/>
        </w:rPr>
        <w:t>vehicle</w:t>
      </w:r>
      <w:r w:rsidR="008D0A17">
        <w:rPr>
          <w:sz w:val="28"/>
          <w:szCs w:val="28"/>
          <w:lang w:val="en-US"/>
        </w:rPr>
        <w:t xml:space="preserve"> types across different regions from 2000 till 2020. </w:t>
      </w:r>
      <w:r w:rsidR="00ED36BA">
        <w:rPr>
          <w:sz w:val="28"/>
          <w:szCs w:val="28"/>
          <w:lang w:val="en-US"/>
        </w:rPr>
        <w:t>[1]</w:t>
      </w:r>
      <w:r w:rsidR="009C43BF">
        <w:rPr>
          <w:sz w:val="28"/>
          <w:szCs w:val="28"/>
          <w:lang w:val="en-US"/>
        </w:rPr>
        <w:t xml:space="preserve"> </w:t>
      </w:r>
      <w:r w:rsidR="00075BA9">
        <w:rPr>
          <w:sz w:val="28"/>
          <w:szCs w:val="28"/>
          <w:lang w:val="en-US"/>
        </w:rPr>
        <w:t xml:space="preserve">After observing the data, the minor </w:t>
      </w:r>
      <w:r w:rsidR="00510FB3">
        <w:rPr>
          <w:sz w:val="28"/>
          <w:szCs w:val="28"/>
          <w:lang w:val="en-US"/>
        </w:rPr>
        <w:t>roads</w:t>
      </w:r>
      <w:r w:rsidR="00075BA9">
        <w:rPr>
          <w:sz w:val="28"/>
          <w:szCs w:val="28"/>
          <w:lang w:val="en-US"/>
        </w:rPr>
        <w:t xml:space="preserve"> data was missing and was </w:t>
      </w:r>
      <w:r w:rsidR="00510FB3">
        <w:rPr>
          <w:sz w:val="28"/>
          <w:szCs w:val="28"/>
          <w:lang w:val="en-US"/>
        </w:rPr>
        <w:t>entirely</w:t>
      </w:r>
      <w:r w:rsidR="00075BA9">
        <w:rPr>
          <w:sz w:val="28"/>
          <w:szCs w:val="28"/>
          <w:lang w:val="en-US"/>
        </w:rPr>
        <w:t xml:space="preserve"> dropped. Moreover, after summarizing the data the total mileage was shown to be mostly consumed by cars and taxis 77.3% and followed by lgvs at 13.1%. </w:t>
      </w:r>
      <w:r w:rsidR="00510FB3">
        <w:rPr>
          <w:sz w:val="28"/>
          <w:szCs w:val="28"/>
          <w:lang w:val="en-US"/>
        </w:rPr>
        <w:t xml:space="preserve">For the </w:t>
      </w:r>
      <w:r w:rsidR="00510FB3" w:rsidRPr="00510FB3">
        <w:rPr>
          <w:sz w:val="28"/>
          <w:szCs w:val="28"/>
          <w:lang w:val="en-US"/>
        </w:rPr>
        <w:t>Annual millage for all motor vehicles</w:t>
      </w:r>
      <w:r w:rsidR="00510FB3" w:rsidRPr="00510FB3">
        <w:rPr>
          <w:sz w:val="28"/>
          <w:szCs w:val="28"/>
          <w:lang w:val="en-US"/>
        </w:rPr>
        <w:t xml:space="preserve"> there was a 19% increase in overall </w:t>
      </w:r>
      <w:r w:rsidR="00510FB3" w:rsidRPr="00510FB3">
        <w:rPr>
          <w:sz w:val="28"/>
          <w:szCs w:val="28"/>
          <w:lang w:val="en-US"/>
        </w:rPr>
        <w:t>UK millage through years 2000 to 2019.</w:t>
      </w:r>
      <w:r w:rsidR="00510FB3">
        <w:rPr>
          <w:sz w:val="28"/>
          <w:szCs w:val="28"/>
          <w:lang w:val="en-US"/>
        </w:rPr>
        <w:t xml:space="preserve"> </w:t>
      </w:r>
      <w:r w:rsidR="00DD00AB">
        <w:rPr>
          <w:sz w:val="28"/>
          <w:szCs w:val="28"/>
          <w:lang w:val="en-US"/>
        </w:rPr>
        <w:t>However,</w:t>
      </w:r>
      <w:r w:rsidR="00510FB3">
        <w:rPr>
          <w:sz w:val="28"/>
          <w:szCs w:val="28"/>
          <w:lang w:val="en-US"/>
        </w:rPr>
        <w:t xml:space="preserve"> in the year 2020, </w:t>
      </w:r>
      <w:r w:rsidR="00DD00AB">
        <w:rPr>
          <w:sz w:val="28"/>
          <w:szCs w:val="28"/>
          <w:lang w:val="en-US"/>
        </w:rPr>
        <w:t>UK</w:t>
      </w:r>
      <w:r w:rsidR="00607EDE">
        <w:rPr>
          <w:sz w:val="28"/>
          <w:szCs w:val="28"/>
          <w:lang w:val="en-US"/>
        </w:rPr>
        <w:t xml:space="preserve"> experiences a sharp</w:t>
      </w:r>
      <w:r w:rsidR="00510FB3" w:rsidRPr="00510FB3">
        <w:rPr>
          <w:sz w:val="28"/>
          <w:szCs w:val="28"/>
          <w:lang w:val="en-US"/>
        </w:rPr>
        <w:t xml:space="preserve"> decrease of 24% between the </w:t>
      </w:r>
      <w:r w:rsidR="00607EDE">
        <w:rPr>
          <w:sz w:val="28"/>
          <w:szCs w:val="28"/>
          <w:lang w:val="en-US"/>
        </w:rPr>
        <w:t>t</w:t>
      </w:r>
      <w:r w:rsidR="00510FB3" w:rsidRPr="00510FB3">
        <w:rPr>
          <w:sz w:val="28"/>
          <w:szCs w:val="28"/>
          <w:lang w:val="en-US"/>
        </w:rPr>
        <w:t>hat could be largely attributed to lockdown during COVID-19</w:t>
      </w:r>
      <w:r w:rsidR="00607EDE">
        <w:rPr>
          <w:sz w:val="28"/>
          <w:szCs w:val="28"/>
          <w:lang w:val="en-US"/>
        </w:rPr>
        <w:t xml:space="preserve">. </w:t>
      </w:r>
      <w:r w:rsidR="00510FB3" w:rsidRPr="00510FB3">
        <w:rPr>
          <w:sz w:val="28"/>
          <w:szCs w:val="28"/>
        </w:rPr>
        <w:t xml:space="preserve">Most regions follow similar trend and a </w:t>
      </w:r>
      <w:r w:rsidR="00510FB3" w:rsidRPr="00510FB3">
        <w:rPr>
          <w:b/>
          <w:bCs/>
          <w:sz w:val="28"/>
          <w:szCs w:val="28"/>
        </w:rPr>
        <w:t>sharp</w:t>
      </w:r>
      <w:r w:rsidR="00510FB3" w:rsidRPr="00510FB3">
        <w:rPr>
          <w:sz w:val="28"/>
          <w:szCs w:val="28"/>
        </w:rPr>
        <w:t xml:space="preserve"> </w:t>
      </w:r>
      <w:r w:rsidR="00510FB3" w:rsidRPr="00510FB3">
        <w:rPr>
          <w:b/>
          <w:bCs/>
          <w:sz w:val="28"/>
          <w:szCs w:val="28"/>
        </w:rPr>
        <w:t>drop</w:t>
      </w:r>
      <w:r w:rsidR="00510FB3" w:rsidRPr="00510FB3">
        <w:rPr>
          <w:sz w:val="28"/>
          <w:szCs w:val="28"/>
        </w:rPr>
        <w:t xml:space="preserve"> in mileage in 2019 is experienced among the UK. </w:t>
      </w:r>
      <w:r w:rsidR="00510FB3" w:rsidRPr="00510FB3">
        <w:rPr>
          <w:sz w:val="28"/>
          <w:szCs w:val="28"/>
          <w:lang w:val="en-US"/>
        </w:rPr>
        <w:t>Cars and LGVs most responsible for trend changes</w:t>
      </w:r>
      <w:r w:rsidR="00510FB3">
        <w:rPr>
          <w:sz w:val="28"/>
          <w:szCs w:val="28"/>
          <w:lang w:val="en-US"/>
        </w:rPr>
        <w:t xml:space="preserve"> while </w:t>
      </w:r>
      <w:r w:rsidR="00607EDE" w:rsidRPr="00510FB3">
        <w:rPr>
          <w:sz w:val="28"/>
          <w:szCs w:val="28"/>
          <w:lang w:val="en-US"/>
        </w:rPr>
        <w:t>other</w:t>
      </w:r>
      <w:r w:rsidR="00510FB3" w:rsidRPr="00510FB3">
        <w:rPr>
          <w:sz w:val="28"/>
          <w:szCs w:val="28"/>
          <w:lang w:val="en-US"/>
        </w:rPr>
        <w:t xml:space="preserve"> vehicle type display constant millage with slightly notable decrease around 2019</w:t>
      </w:r>
      <w:r w:rsidR="00607EDE">
        <w:rPr>
          <w:sz w:val="28"/>
          <w:szCs w:val="28"/>
          <w:lang w:val="en-US"/>
        </w:rPr>
        <w:t xml:space="preserve">. </w:t>
      </w:r>
      <w:r w:rsidR="00607EDE" w:rsidRPr="00607EDE">
        <w:rPr>
          <w:sz w:val="28"/>
          <w:szCs w:val="28"/>
          <w:lang w:val="en-US"/>
        </w:rPr>
        <w:t>The dips and rises can be due to changes in fuel prices and economic downturns</w:t>
      </w:r>
      <w:r w:rsidR="00DD00AB">
        <w:rPr>
          <w:sz w:val="28"/>
          <w:szCs w:val="28"/>
          <w:lang w:val="en-US"/>
        </w:rPr>
        <w:t>.</w:t>
      </w:r>
      <w:r w:rsidR="00CB48A3">
        <w:rPr>
          <w:sz w:val="28"/>
          <w:szCs w:val="28"/>
          <w:lang w:val="en-US"/>
        </w:rPr>
        <w:t xml:space="preserve"> </w:t>
      </w:r>
      <w:r w:rsidR="00607EDE" w:rsidRPr="00607EDE">
        <w:rPr>
          <w:sz w:val="28"/>
          <w:szCs w:val="28"/>
          <w:lang w:val="en-US"/>
        </w:rPr>
        <w:t xml:space="preserve"> </w:t>
      </w:r>
    </w:p>
    <w:p w14:paraId="6CAB064A" w14:textId="77777777" w:rsidR="00051554" w:rsidRPr="00051554" w:rsidRDefault="00051554" w:rsidP="00051554">
      <w:pPr>
        <w:rPr>
          <w:sz w:val="28"/>
          <w:szCs w:val="28"/>
          <w:lang w:val="en-US"/>
        </w:rPr>
      </w:pPr>
    </w:p>
    <w:p w14:paraId="560D452E" w14:textId="13FE6ABF" w:rsidR="00510FB3" w:rsidRPr="00CB48A3" w:rsidRDefault="00510FB3" w:rsidP="00510FB3">
      <w:pPr>
        <w:rPr>
          <w:b/>
          <w:bCs/>
          <w:sz w:val="28"/>
          <w:szCs w:val="28"/>
          <w:lang w:val="en-US"/>
        </w:rPr>
      </w:pPr>
      <w:r w:rsidRPr="00CB48A3">
        <w:rPr>
          <w:b/>
          <w:bCs/>
          <w:sz w:val="28"/>
          <w:szCs w:val="28"/>
          <w:lang w:val="en-US"/>
        </w:rPr>
        <w:t xml:space="preserve">Regression </w:t>
      </w:r>
    </w:p>
    <w:p w14:paraId="3DE85A20" w14:textId="6C443A37" w:rsidR="00A42686" w:rsidRDefault="00510FB3" w:rsidP="001B1169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 have decided to choose the Prophet model as </w:t>
      </w:r>
      <w:r w:rsidR="00607EDE">
        <w:rPr>
          <w:sz w:val="28"/>
          <w:szCs w:val="28"/>
          <w:lang w:val="en-US"/>
        </w:rPr>
        <w:t>it is one</w:t>
      </w:r>
      <w:r w:rsidR="00607EDE" w:rsidRPr="00607EDE">
        <w:rPr>
          <w:sz w:val="28"/>
          <w:szCs w:val="28"/>
          <w:lang w:val="en-US"/>
        </w:rPr>
        <w:t xml:space="preserve"> of most widely used approaches to time series forecasting</w:t>
      </w:r>
      <w:r w:rsidR="00607EDE">
        <w:rPr>
          <w:sz w:val="28"/>
          <w:szCs w:val="28"/>
        </w:rPr>
        <w:t xml:space="preserve"> and has proven to be</w:t>
      </w:r>
      <w:r w:rsidR="00607EDE" w:rsidRPr="00607EDE">
        <w:rPr>
          <w:sz w:val="28"/>
          <w:szCs w:val="28"/>
        </w:rPr>
        <w:t xml:space="preserve"> robust to missing data and shifts in the trend, and typically handles outliers well</w:t>
      </w:r>
      <w:r w:rsidR="00CB48A3">
        <w:rPr>
          <w:sz w:val="28"/>
          <w:szCs w:val="28"/>
        </w:rPr>
        <w:t xml:space="preserve"> </w:t>
      </w:r>
      <w:r w:rsidR="00ED36BA">
        <w:rPr>
          <w:sz w:val="28"/>
          <w:szCs w:val="28"/>
        </w:rPr>
        <w:t>[3]</w:t>
      </w:r>
      <w:r w:rsidR="00CB48A3">
        <w:rPr>
          <w:sz w:val="28"/>
          <w:szCs w:val="28"/>
        </w:rPr>
        <w:t xml:space="preserve">. </w:t>
      </w:r>
      <w:r w:rsidR="00D508FF">
        <w:rPr>
          <w:sz w:val="28"/>
          <w:szCs w:val="28"/>
        </w:rPr>
        <w:t xml:space="preserve">Using the Prophet </w:t>
      </w:r>
      <w:r w:rsidR="00A42686">
        <w:rPr>
          <w:sz w:val="28"/>
          <w:szCs w:val="28"/>
        </w:rPr>
        <w:t>model,</w:t>
      </w:r>
      <w:r w:rsidR="00D508FF">
        <w:rPr>
          <w:sz w:val="28"/>
          <w:szCs w:val="28"/>
        </w:rPr>
        <w:t xml:space="preserve"> I was able to </w:t>
      </w:r>
      <w:r w:rsidR="00A42686">
        <w:rPr>
          <w:sz w:val="28"/>
          <w:szCs w:val="28"/>
        </w:rPr>
        <w:t xml:space="preserve">forecast UK </w:t>
      </w:r>
      <w:r w:rsidR="00BF4796">
        <w:rPr>
          <w:sz w:val="28"/>
          <w:szCs w:val="28"/>
        </w:rPr>
        <w:t>vehicle</w:t>
      </w:r>
      <w:r w:rsidR="00A42686">
        <w:rPr>
          <w:sz w:val="28"/>
          <w:szCs w:val="28"/>
        </w:rPr>
        <w:t xml:space="preserve"> mileage for the next 30 years</w:t>
      </w:r>
      <w:r w:rsidR="00BF4796">
        <w:rPr>
          <w:sz w:val="28"/>
          <w:szCs w:val="28"/>
        </w:rPr>
        <w:t xml:space="preserve">. However, I decided to exclude the data point 2020 from my analysis as </w:t>
      </w:r>
      <w:r w:rsidR="004E14DA">
        <w:rPr>
          <w:sz w:val="28"/>
          <w:szCs w:val="28"/>
        </w:rPr>
        <w:t xml:space="preserve">it effects the model’s prediction. </w:t>
      </w:r>
      <w:r w:rsidR="001F63C6">
        <w:rPr>
          <w:sz w:val="28"/>
          <w:szCs w:val="28"/>
        </w:rPr>
        <w:t>Therefore, one can reflect on the limitations from this regression analysis as it</w:t>
      </w:r>
      <w:r w:rsidR="00FF205D">
        <w:rPr>
          <w:sz w:val="28"/>
          <w:szCs w:val="28"/>
        </w:rPr>
        <w:t xml:space="preserve"> does not consider external factors and unexpected events such as the COVID-19 drop in 2020. </w:t>
      </w:r>
    </w:p>
    <w:p w14:paraId="3FFE25D6" w14:textId="77777777" w:rsidR="001B1169" w:rsidRDefault="001B1169" w:rsidP="00607EDE">
      <w:pPr>
        <w:rPr>
          <w:b/>
          <w:bCs/>
          <w:sz w:val="28"/>
          <w:szCs w:val="28"/>
          <w:lang w:val="en-US"/>
        </w:rPr>
      </w:pPr>
    </w:p>
    <w:p w14:paraId="68077EC1" w14:textId="3F8255EB" w:rsidR="00607EDE" w:rsidRDefault="00607EDE" w:rsidP="00607EDE">
      <w:pPr>
        <w:rPr>
          <w:b/>
          <w:bCs/>
          <w:sz w:val="28"/>
          <w:szCs w:val="28"/>
          <w:lang w:val="en-US"/>
        </w:rPr>
      </w:pPr>
      <w:r w:rsidRPr="00607EDE">
        <w:rPr>
          <w:b/>
          <w:bCs/>
          <w:sz w:val="28"/>
          <w:szCs w:val="28"/>
          <w:lang w:val="en-US"/>
        </w:rPr>
        <w:t>Research</w:t>
      </w:r>
    </w:p>
    <w:p w14:paraId="5642FCCF" w14:textId="29B1E5F6" w:rsidR="00051554" w:rsidRPr="00D46F38" w:rsidRDefault="000A7F31" w:rsidP="00D46F38">
      <w:pPr>
        <w:rPr>
          <w:sz w:val="28"/>
          <w:szCs w:val="28"/>
          <w:lang w:val="en-US"/>
        </w:rPr>
      </w:pPr>
      <w:r w:rsidRPr="005C4BC6">
        <w:rPr>
          <w:sz w:val="28"/>
          <w:szCs w:val="28"/>
          <w:lang w:val="en-US"/>
        </w:rPr>
        <w:t xml:space="preserve">After looking at historical data of EV percentage growth in the UK, I used the prophet model to predict percentage of EV’s in the next 30 years and it has shown to grow towards </w:t>
      </w:r>
      <w:r w:rsidR="007C2FA0" w:rsidRPr="005C4BC6">
        <w:rPr>
          <w:sz w:val="28"/>
          <w:szCs w:val="28"/>
          <w:lang w:val="en-US"/>
        </w:rPr>
        <w:t>a 100% percentage. This is due to the UK’s shift towards Zero emission vehicles</w:t>
      </w:r>
      <w:r w:rsidR="005C4BC6" w:rsidRPr="005C4BC6">
        <w:rPr>
          <w:sz w:val="28"/>
          <w:szCs w:val="28"/>
          <w:lang w:val="en-US"/>
        </w:rPr>
        <w:t xml:space="preserve"> [4]. </w:t>
      </w:r>
      <w:r w:rsidR="00910E84">
        <w:rPr>
          <w:sz w:val="28"/>
          <w:szCs w:val="28"/>
          <w:lang w:val="en-US"/>
        </w:rPr>
        <w:t xml:space="preserve">Using these percentage </w:t>
      </w:r>
      <w:r w:rsidR="0028562A">
        <w:rPr>
          <w:sz w:val="28"/>
          <w:szCs w:val="28"/>
          <w:lang w:val="en-US"/>
        </w:rPr>
        <w:t>estimates,</w:t>
      </w:r>
      <w:r w:rsidR="00910E84">
        <w:rPr>
          <w:sz w:val="28"/>
          <w:szCs w:val="28"/>
          <w:lang w:val="en-US"/>
        </w:rPr>
        <w:t xml:space="preserve"> I have </w:t>
      </w:r>
      <w:r w:rsidR="0028562A">
        <w:rPr>
          <w:sz w:val="28"/>
          <w:szCs w:val="28"/>
          <w:lang w:val="en-US"/>
        </w:rPr>
        <w:lastRenderedPageBreak/>
        <w:t>forecasted the mileage of EVs in the UK over the next 30 years</w:t>
      </w:r>
      <w:r w:rsidR="00883858">
        <w:rPr>
          <w:sz w:val="28"/>
          <w:szCs w:val="28"/>
          <w:lang w:val="en-US"/>
        </w:rPr>
        <w:t xml:space="preserve">. </w:t>
      </w:r>
      <w:r w:rsidR="00113CF5">
        <w:rPr>
          <w:sz w:val="28"/>
          <w:szCs w:val="28"/>
          <w:lang w:val="en-US"/>
        </w:rPr>
        <w:t xml:space="preserve">Using the calculated mileage and </w:t>
      </w:r>
      <w:r w:rsidR="0056330D" w:rsidRPr="0056330D">
        <w:rPr>
          <w:sz w:val="28"/>
          <w:szCs w:val="28"/>
          <w:lang w:val="en-US"/>
        </w:rPr>
        <w:t>Electric car efficiency</w:t>
      </w:r>
      <w:r w:rsidR="0056330D">
        <w:rPr>
          <w:sz w:val="28"/>
          <w:szCs w:val="28"/>
          <w:lang w:val="en-US"/>
        </w:rPr>
        <w:t xml:space="preserve"> estimates of 340 </w:t>
      </w:r>
      <w:proofErr w:type="spellStart"/>
      <w:r w:rsidR="0056330D">
        <w:rPr>
          <w:sz w:val="28"/>
          <w:szCs w:val="28"/>
          <w:lang w:val="en-US"/>
        </w:rPr>
        <w:t>wh</w:t>
      </w:r>
      <w:proofErr w:type="spellEnd"/>
      <w:r w:rsidR="0056330D">
        <w:rPr>
          <w:sz w:val="28"/>
          <w:szCs w:val="28"/>
          <w:lang w:val="en-US"/>
        </w:rPr>
        <w:t xml:space="preserve">/mi, I estimated the </w:t>
      </w:r>
      <w:r w:rsidR="004728FA">
        <w:rPr>
          <w:sz w:val="28"/>
          <w:szCs w:val="28"/>
          <w:lang w:val="en-US"/>
        </w:rPr>
        <w:t xml:space="preserve">electricity demands of EVs in </w:t>
      </w:r>
      <w:proofErr w:type="spellStart"/>
      <w:r w:rsidR="004728FA">
        <w:rPr>
          <w:sz w:val="28"/>
          <w:szCs w:val="28"/>
          <w:lang w:val="en-US"/>
        </w:rPr>
        <w:t>TWh</w:t>
      </w:r>
      <w:proofErr w:type="spellEnd"/>
      <w:r w:rsidR="004728FA">
        <w:rPr>
          <w:sz w:val="28"/>
          <w:szCs w:val="28"/>
          <w:lang w:val="en-US"/>
        </w:rPr>
        <w:t>/year [</w:t>
      </w:r>
      <w:r w:rsidR="00373B19">
        <w:rPr>
          <w:sz w:val="28"/>
          <w:szCs w:val="28"/>
          <w:lang w:val="en-US"/>
        </w:rPr>
        <w:t>5</w:t>
      </w:r>
      <w:r w:rsidR="004728FA">
        <w:rPr>
          <w:sz w:val="28"/>
          <w:szCs w:val="28"/>
          <w:lang w:val="en-US"/>
        </w:rPr>
        <w:t>].</w:t>
      </w:r>
      <w:r w:rsidR="00883858">
        <w:rPr>
          <w:sz w:val="28"/>
          <w:szCs w:val="28"/>
          <w:lang w:val="en-US"/>
        </w:rPr>
        <w:t xml:space="preserve"> </w:t>
      </w:r>
      <w:r w:rsidR="00D46F38">
        <w:rPr>
          <w:sz w:val="28"/>
          <w:szCs w:val="28"/>
          <w:lang w:val="en-US"/>
        </w:rPr>
        <w:t>Then by observing supply and demand of UK’s electricity I calculated an energy margin and obtained the additional required energy</w:t>
      </w:r>
      <w:r w:rsidR="00A95F0E">
        <w:rPr>
          <w:sz w:val="28"/>
          <w:szCs w:val="28"/>
          <w:lang w:val="en-US"/>
        </w:rPr>
        <w:t xml:space="preserve"> showing that the UK would need to produce over 60 </w:t>
      </w:r>
      <w:proofErr w:type="spellStart"/>
      <w:r w:rsidR="00A95F0E">
        <w:rPr>
          <w:sz w:val="28"/>
          <w:szCs w:val="28"/>
          <w:lang w:val="en-US"/>
        </w:rPr>
        <w:t>TWhs</w:t>
      </w:r>
      <w:proofErr w:type="spellEnd"/>
      <w:r w:rsidR="00A95F0E">
        <w:rPr>
          <w:sz w:val="28"/>
          <w:szCs w:val="28"/>
          <w:lang w:val="en-US"/>
        </w:rPr>
        <w:t>/year by 2050</w:t>
      </w:r>
      <w:r w:rsidR="00D46F38">
        <w:rPr>
          <w:sz w:val="28"/>
          <w:szCs w:val="28"/>
          <w:lang w:val="en-US"/>
        </w:rPr>
        <w:t xml:space="preserve">. </w:t>
      </w:r>
    </w:p>
    <w:p w14:paraId="14C4BEFE" w14:textId="5F51BE57" w:rsidR="00051554" w:rsidRDefault="000308E3" w:rsidP="00051554">
      <w:pPr>
        <w:rPr>
          <w:b/>
          <w:bCs/>
          <w:sz w:val="28"/>
          <w:szCs w:val="28"/>
        </w:rPr>
      </w:pPr>
      <w:r w:rsidRPr="00FF205D">
        <w:rPr>
          <w:b/>
          <w:bCs/>
          <w:sz w:val="28"/>
          <w:szCs w:val="28"/>
        </w:rPr>
        <w:t>Recommendations</w:t>
      </w:r>
      <w:r w:rsidR="00510FB3" w:rsidRPr="00FF205D">
        <w:rPr>
          <w:b/>
          <w:bCs/>
          <w:sz w:val="28"/>
          <w:szCs w:val="28"/>
        </w:rPr>
        <w:t xml:space="preserve"> </w:t>
      </w:r>
    </w:p>
    <w:p w14:paraId="574BB9EE" w14:textId="76535F21" w:rsidR="00470880" w:rsidRPr="00470880" w:rsidRDefault="00714D61" w:rsidP="00470880">
      <w:pPr>
        <w:rPr>
          <w:sz w:val="28"/>
          <w:szCs w:val="28"/>
        </w:rPr>
      </w:pPr>
      <w:r>
        <w:rPr>
          <w:sz w:val="28"/>
          <w:szCs w:val="28"/>
        </w:rPr>
        <w:t xml:space="preserve">Finally, using the </w:t>
      </w:r>
      <w:r w:rsidR="0054506E">
        <w:rPr>
          <w:sz w:val="28"/>
          <w:szCs w:val="28"/>
        </w:rPr>
        <w:t xml:space="preserve">levelized energy costs for 2040 </w:t>
      </w:r>
      <w:r w:rsidR="00671AC3">
        <w:rPr>
          <w:sz w:val="28"/>
          <w:szCs w:val="28"/>
        </w:rPr>
        <w:t>calculated</w:t>
      </w:r>
      <w:r w:rsidR="0054506E">
        <w:rPr>
          <w:sz w:val="28"/>
          <w:szCs w:val="28"/>
        </w:rPr>
        <w:t xml:space="preserve"> by government reports I was able to </w:t>
      </w:r>
      <w:r w:rsidR="00671AC3">
        <w:rPr>
          <w:sz w:val="28"/>
          <w:szCs w:val="28"/>
        </w:rPr>
        <w:t xml:space="preserve">explore different </w:t>
      </w:r>
      <w:r w:rsidR="00EB0D6B">
        <w:rPr>
          <w:sz w:val="28"/>
          <w:szCs w:val="28"/>
        </w:rPr>
        <w:t>recommendations [</w:t>
      </w:r>
      <w:r w:rsidR="000320E4">
        <w:rPr>
          <w:sz w:val="28"/>
          <w:szCs w:val="28"/>
        </w:rPr>
        <w:t>6]</w:t>
      </w:r>
      <w:r w:rsidR="00671AC3">
        <w:rPr>
          <w:sz w:val="28"/>
          <w:szCs w:val="28"/>
        </w:rPr>
        <w:t xml:space="preserve">. As the Large-Scale solar option was the </w:t>
      </w:r>
      <w:r w:rsidR="00A95F0E">
        <w:rPr>
          <w:sz w:val="28"/>
          <w:szCs w:val="28"/>
        </w:rPr>
        <w:t xml:space="preserve">cheapest, </w:t>
      </w:r>
      <w:r w:rsidR="00671AC3">
        <w:rPr>
          <w:sz w:val="28"/>
          <w:szCs w:val="28"/>
        </w:rPr>
        <w:t xml:space="preserve">I calculated </w:t>
      </w:r>
      <w:r w:rsidR="00A95F0E">
        <w:rPr>
          <w:sz w:val="28"/>
          <w:szCs w:val="28"/>
        </w:rPr>
        <w:t xml:space="preserve">the </w:t>
      </w:r>
      <w:r w:rsidR="00470880" w:rsidRPr="00470880">
        <w:rPr>
          <w:sz w:val="28"/>
          <w:szCs w:val="28"/>
        </w:rPr>
        <w:t xml:space="preserve">Large-Scale solar costs per </w:t>
      </w:r>
      <w:r w:rsidR="00616702" w:rsidRPr="00470880">
        <w:rPr>
          <w:sz w:val="28"/>
          <w:szCs w:val="28"/>
        </w:rPr>
        <w:t>region to</w:t>
      </w:r>
      <w:r w:rsidR="00470880" w:rsidRPr="00470880">
        <w:rPr>
          <w:sz w:val="28"/>
          <w:szCs w:val="28"/>
        </w:rPr>
        <w:t xml:space="preserve"> cover by 2040</w:t>
      </w:r>
      <w:r w:rsidR="00470880">
        <w:rPr>
          <w:sz w:val="28"/>
          <w:szCs w:val="28"/>
        </w:rPr>
        <w:t xml:space="preserve">. However, </w:t>
      </w:r>
      <w:r w:rsidR="00470880" w:rsidRPr="00470880">
        <w:rPr>
          <w:sz w:val="28"/>
          <w:szCs w:val="28"/>
        </w:rPr>
        <w:t xml:space="preserve">The UK cannot </w:t>
      </w:r>
      <w:r w:rsidR="00470880" w:rsidRPr="00470880">
        <w:rPr>
          <w:sz w:val="28"/>
          <w:szCs w:val="28"/>
        </w:rPr>
        <w:t>solely</w:t>
      </w:r>
      <w:r w:rsidR="00470880" w:rsidRPr="00470880">
        <w:rPr>
          <w:sz w:val="28"/>
          <w:szCs w:val="28"/>
        </w:rPr>
        <w:t xml:space="preserve"> rely on solar energy because of its weather and its regional capacities. Different regions have potential for different renewable energies. For </w:t>
      </w:r>
      <w:r w:rsidR="00470880" w:rsidRPr="00470880">
        <w:rPr>
          <w:sz w:val="28"/>
          <w:szCs w:val="28"/>
        </w:rPr>
        <w:t>example,</w:t>
      </w:r>
      <w:r w:rsidR="00470880" w:rsidRPr="00470880">
        <w:rPr>
          <w:sz w:val="28"/>
          <w:szCs w:val="28"/>
        </w:rPr>
        <w:t xml:space="preserve"> London can use wind and solar</w:t>
      </w:r>
      <w:r w:rsidR="00470880">
        <w:rPr>
          <w:sz w:val="28"/>
          <w:szCs w:val="28"/>
        </w:rPr>
        <w:t xml:space="preserve"> </w:t>
      </w:r>
      <w:r w:rsidR="00616702">
        <w:rPr>
          <w:sz w:val="28"/>
          <w:szCs w:val="28"/>
        </w:rPr>
        <w:t>energies,</w:t>
      </w:r>
      <w:r w:rsidR="00470880" w:rsidRPr="00470880">
        <w:rPr>
          <w:sz w:val="28"/>
          <w:szCs w:val="28"/>
        </w:rPr>
        <w:t xml:space="preserve"> but seaside regions could more take advantage of o</w:t>
      </w:r>
      <w:r w:rsidR="00470880">
        <w:rPr>
          <w:sz w:val="28"/>
          <w:szCs w:val="28"/>
        </w:rPr>
        <w:t>ff</w:t>
      </w:r>
      <w:r w:rsidR="00470880" w:rsidRPr="00470880">
        <w:rPr>
          <w:sz w:val="28"/>
          <w:szCs w:val="28"/>
        </w:rPr>
        <w:t>shore wind</w:t>
      </w:r>
      <w:r w:rsidR="00470880">
        <w:rPr>
          <w:sz w:val="28"/>
          <w:szCs w:val="28"/>
        </w:rPr>
        <w:t xml:space="preserve">. </w:t>
      </w:r>
      <w:r w:rsidR="00616702" w:rsidRPr="00470880">
        <w:rPr>
          <w:sz w:val="28"/>
          <w:szCs w:val="28"/>
        </w:rPr>
        <w:t>Therefore,</w:t>
      </w:r>
      <w:r w:rsidR="00470880" w:rsidRPr="00470880">
        <w:rPr>
          <w:sz w:val="28"/>
          <w:szCs w:val="28"/>
        </w:rPr>
        <w:t xml:space="preserve"> as the experts have advised the UK </w:t>
      </w:r>
      <w:r w:rsidR="002D4224" w:rsidRPr="00470880">
        <w:rPr>
          <w:sz w:val="28"/>
          <w:szCs w:val="28"/>
        </w:rPr>
        <w:t>must integrate</w:t>
      </w:r>
      <w:r w:rsidR="00470880" w:rsidRPr="00470880">
        <w:rPr>
          <w:sz w:val="28"/>
          <w:szCs w:val="28"/>
        </w:rPr>
        <w:t xml:space="preserve"> </w:t>
      </w:r>
      <w:r w:rsidR="002D4224">
        <w:rPr>
          <w:sz w:val="28"/>
          <w:szCs w:val="28"/>
        </w:rPr>
        <w:t xml:space="preserve">different renewable </w:t>
      </w:r>
      <w:r w:rsidR="00616702">
        <w:rPr>
          <w:sz w:val="28"/>
          <w:szCs w:val="28"/>
        </w:rPr>
        <w:t>e</w:t>
      </w:r>
      <w:r w:rsidR="002D4224">
        <w:rPr>
          <w:sz w:val="28"/>
          <w:szCs w:val="28"/>
        </w:rPr>
        <w:t>nergies and existing sources such as</w:t>
      </w:r>
      <w:r w:rsidR="00470880" w:rsidRPr="00470880">
        <w:rPr>
          <w:sz w:val="28"/>
          <w:szCs w:val="28"/>
        </w:rPr>
        <w:t xml:space="preserve"> photovoltaic panels, wind, </w:t>
      </w:r>
      <w:proofErr w:type="gramStart"/>
      <w:r w:rsidR="00470880" w:rsidRPr="00470880">
        <w:rPr>
          <w:sz w:val="28"/>
          <w:szCs w:val="28"/>
        </w:rPr>
        <w:t>biogas</w:t>
      </w:r>
      <w:proofErr w:type="gramEnd"/>
      <w:r w:rsidR="00470880" w:rsidRPr="00470880">
        <w:rPr>
          <w:sz w:val="28"/>
          <w:szCs w:val="28"/>
        </w:rPr>
        <w:t xml:space="preserve"> and battery power </w:t>
      </w:r>
      <w:r w:rsidR="002D4224">
        <w:rPr>
          <w:sz w:val="28"/>
          <w:szCs w:val="28"/>
        </w:rPr>
        <w:t>which has proven to result</w:t>
      </w:r>
      <w:r w:rsidR="00470880" w:rsidRPr="00470880">
        <w:rPr>
          <w:sz w:val="28"/>
          <w:szCs w:val="28"/>
        </w:rPr>
        <w:t xml:space="preserve"> in cost savings of up to 25 per cent</w:t>
      </w:r>
      <w:r w:rsidR="00470880">
        <w:rPr>
          <w:sz w:val="28"/>
          <w:szCs w:val="28"/>
        </w:rPr>
        <w:t xml:space="preserve"> [</w:t>
      </w:r>
      <w:r w:rsidR="000320E4">
        <w:rPr>
          <w:sz w:val="28"/>
          <w:szCs w:val="28"/>
        </w:rPr>
        <w:t>7</w:t>
      </w:r>
      <w:r w:rsidR="00470880">
        <w:rPr>
          <w:sz w:val="28"/>
          <w:szCs w:val="28"/>
        </w:rPr>
        <w:t>]</w:t>
      </w:r>
      <w:r w:rsidR="00470880" w:rsidRPr="00470880">
        <w:rPr>
          <w:sz w:val="28"/>
          <w:szCs w:val="28"/>
        </w:rPr>
        <w:t>. </w:t>
      </w:r>
    </w:p>
    <w:p w14:paraId="3808FDB4" w14:textId="0F28D178" w:rsidR="000308E3" w:rsidRPr="00936076" w:rsidRDefault="000308E3" w:rsidP="00470880">
      <w:pPr>
        <w:rPr>
          <w:b/>
          <w:bCs/>
          <w:sz w:val="28"/>
          <w:szCs w:val="28"/>
        </w:rPr>
      </w:pPr>
    </w:p>
    <w:p w14:paraId="4209286C" w14:textId="01ABF4C9" w:rsidR="0071447A" w:rsidRPr="00051554" w:rsidRDefault="002C187E" w:rsidP="00051554">
      <w:pPr>
        <w:rPr>
          <w:b/>
          <w:bCs/>
          <w:sz w:val="28"/>
          <w:szCs w:val="28"/>
        </w:rPr>
      </w:pPr>
      <w:r w:rsidRPr="00051554">
        <w:rPr>
          <w:b/>
          <w:bCs/>
          <w:sz w:val="28"/>
          <w:szCs w:val="28"/>
        </w:rPr>
        <w:t>References</w:t>
      </w:r>
    </w:p>
    <w:p w14:paraId="6E2E1752" w14:textId="4ADD8BF5" w:rsidR="009C43BF" w:rsidRDefault="0071447A" w:rsidP="00C45BCD">
      <w:pPr>
        <w:pStyle w:val="NormalWeb"/>
        <w:numPr>
          <w:ilvl w:val="0"/>
          <w:numId w:val="4"/>
        </w:numPr>
      </w:pPr>
      <w:r>
        <w:rPr>
          <w:i/>
          <w:iCs/>
        </w:rPr>
        <w:t>Road Traffic Bulk Downloads</w:t>
      </w:r>
      <w:r>
        <w:t xml:space="preserve">. Road traffic statistics - Download data. (n.d.). Retrieved April 29, 2022, from </w:t>
      </w:r>
      <w:hyperlink r:id="rId8" w:history="1">
        <w:r w:rsidR="009C43BF" w:rsidRPr="00076DE1">
          <w:rPr>
            <w:rStyle w:val="Hyperlink"/>
          </w:rPr>
          <w:t>https://roadtraffic.dft.gov.uk/downloads</w:t>
        </w:r>
      </w:hyperlink>
      <w:r>
        <w:t xml:space="preserve"> </w:t>
      </w:r>
    </w:p>
    <w:p w14:paraId="35ECCB9F" w14:textId="47342329" w:rsidR="0071447A" w:rsidRPr="00564DB0" w:rsidRDefault="00564DB0" w:rsidP="00564DB0">
      <w:pPr>
        <w:pStyle w:val="NormalWeb"/>
        <w:numPr>
          <w:ilvl w:val="0"/>
          <w:numId w:val="4"/>
        </w:numPr>
      </w:pPr>
      <w:r>
        <w:rPr>
          <w:i/>
          <w:iCs/>
        </w:rPr>
        <w:t>UK pump prices over time</w:t>
      </w:r>
      <w:r>
        <w:t xml:space="preserve">. RAC Foundation RSS2. (n.d.). Retrieved April 29, 2022, from https://www.racfoundation.org/data/uk-pump-prices-over-time </w:t>
      </w:r>
    </w:p>
    <w:p w14:paraId="10D07DD9" w14:textId="3BF95519" w:rsidR="002C187E" w:rsidRDefault="002C187E" w:rsidP="0071447A">
      <w:pPr>
        <w:pStyle w:val="NormalWeb"/>
        <w:numPr>
          <w:ilvl w:val="0"/>
          <w:numId w:val="4"/>
        </w:numPr>
      </w:pPr>
      <w:r>
        <w:rPr>
          <w:i/>
          <w:iCs/>
        </w:rPr>
        <w:t>Forecasting at scale.</w:t>
      </w:r>
      <w:r>
        <w:t xml:space="preserve"> Prophet. (n.d.). Retrieved April 29, 2022, from https://facebook.github.io/prophet/#:~:text=Prophet%20is%20a%20procedure%20for,several%20seasons%20of%20historical%20data. </w:t>
      </w:r>
    </w:p>
    <w:p w14:paraId="674274F9" w14:textId="79D87C1B" w:rsidR="005C4BC6" w:rsidRDefault="005C4BC6" w:rsidP="005C4BC6">
      <w:pPr>
        <w:pStyle w:val="NormalWeb"/>
        <w:numPr>
          <w:ilvl w:val="0"/>
          <w:numId w:val="4"/>
        </w:numPr>
      </w:pPr>
      <w:r>
        <w:rPr>
          <w:i/>
          <w:iCs/>
        </w:rPr>
        <w:t>The UK low carbon transition plan - gov.uk</w:t>
      </w:r>
      <w:r>
        <w:t xml:space="preserve">. (n.d.). Retrieved April 29, 2022, from https://assets.publishing.service.gov.uk/government/uploads/system/uploads/attachment_data/file/228752/9780108508394.pdf </w:t>
      </w:r>
    </w:p>
    <w:p w14:paraId="011E1D56" w14:textId="027FC62D" w:rsidR="00373B19" w:rsidRDefault="00373B19" w:rsidP="00373B19">
      <w:pPr>
        <w:pStyle w:val="NormalWeb"/>
        <w:numPr>
          <w:ilvl w:val="0"/>
          <w:numId w:val="4"/>
        </w:numPr>
      </w:pPr>
      <w:r>
        <w:t xml:space="preserve">Wilson, J. (2021, December 19). </w:t>
      </w:r>
      <w:r>
        <w:rPr>
          <w:i/>
          <w:iCs/>
        </w:rPr>
        <w:t>Electric car efficiency explained: Miles per kwh</w:t>
      </w:r>
      <w:r>
        <w:t xml:space="preserve">. </w:t>
      </w:r>
      <w:proofErr w:type="spellStart"/>
      <w:r>
        <w:t>BuyaCar</w:t>
      </w:r>
      <w:proofErr w:type="spellEnd"/>
      <w:r>
        <w:t xml:space="preserve">. Retrieved April 29, 2022, from https://www.buyacar.co.uk/cars/1524/electric-car-economy-explained </w:t>
      </w:r>
    </w:p>
    <w:p w14:paraId="06C08DF3" w14:textId="453B2C8F" w:rsidR="00D82C40" w:rsidRDefault="009C43BF" w:rsidP="009C43BF">
      <w:pPr>
        <w:pStyle w:val="NormalWeb"/>
        <w:numPr>
          <w:ilvl w:val="0"/>
          <w:numId w:val="4"/>
        </w:numPr>
      </w:pPr>
      <w:r>
        <w:rPr>
          <w:i/>
          <w:iCs/>
        </w:rPr>
        <w:t>Electricity generation costs 2020 - gov.uk</w:t>
      </w:r>
      <w:r>
        <w:t xml:space="preserve">. (n.d.). Retrieved April 29, 2022, from </w:t>
      </w:r>
      <w:hyperlink r:id="rId9" w:history="1">
        <w:r w:rsidR="00D82C40" w:rsidRPr="00076DE1">
          <w:rPr>
            <w:rStyle w:val="Hyperlink"/>
          </w:rPr>
          <w:t>https://assets.publishing.service.gov.uk/government/uploads/system/uploads/attachment_data/file/911817/electricity-generation-cost-report-2020.pdf</w:t>
        </w:r>
      </w:hyperlink>
    </w:p>
    <w:p w14:paraId="0A295506" w14:textId="489D368C" w:rsidR="000320E4" w:rsidRDefault="006A46B4" w:rsidP="006A46B4">
      <w:pPr>
        <w:pStyle w:val="NormalWeb"/>
        <w:numPr>
          <w:ilvl w:val="0"/>
          <w:numId w:val="4"/>
        </w:numPr>
      </w:pPr>
      <w:r>
        <w:rPr>
          <w:i/>
          <w:iCs/>
        </w:rPr>
        <w:t>Portsmouth scientists identify best combination of renewable power</w:t>
      </w:r>
      <w:r>
        <w:t xml:space="preserve">. News | University of Portsmouth. (n.d.). Retrieved April 29, 2022, from https://www.port.ac.uk/news-events-and-blogs/news/portsmouth-scientists-identify-best-combination-of-renewable-power </w:t>
      </w:r>
    </w:p>
    <w:p w14:paraId="2F314314" w14:textId="77777777" w:rsidR="00D82C40" w:rsidRDefault="00D82C40" w:rsidP="00D82C40">
      <w:pPr>
        <w:pStyle w:val="NormalWeb"/>
        <w:numPr>
          <w:ilvl w:val="0"/>
          <w:numId w:val="4"/>
        </w:numPr>
      </w:pPr>
      <w:r>
        <w:lastRenderedPageBreak/>
        <w:t xml:space="preserve">Sarah Brown Senior Energy &amp; Climate Analyst 21 September 2021 | 12 min read, Brown, S., Analyst, S. E. &amp; C., 21 September 2021 | 12 min read, |, &amp; read, 12 min. (2022, March 29). </w:t>
      </w:r>
      <w:r>
        <w:rPr>
          <w:i/>
          <w:iCs/>
        </w:rPr>
        <w:t>Fossil Gas Costs Drive UK electricity price increases</w:t>
      </w:r>
      <w:r>
        <w:t xml:space="preserve">. Ember. Retrieved April 29, 2022, from https://ember-climate.org/insights/research/fossil-gas-uk-electricity-prices/ </w:t>
      </w:r>
    </w:p>
    <w:p w14:paraId="7ED2F170" w14:textId="777575C9" w:rsidR="009C43BF" w:rsidRDefault="009C43BF" w:rsidP="00EB0D6B">
      <w:pPr>
        <w:pStyle w:val="NormalWeb"/>
        <w:ind w:left="720"/>
      </w:pPr>
    </w:p>
    <w:p w14:paraId="71D12059" w14:textId="77777777" w:rsidR="009C43BF" w:rsidRDefault="009C43BF" w:rsidP="009C43BF">
      <w:pPr>
        <w:pStyle w:val="NormalWeb"/>
        <w:ind w:left="720"/>
      </w:pPr>
    </w:p>
    <w:p w14:paraId="31FABA01" w14:textId="77777777" w:rsidR="000308E3" w:rsidRPr="000308E3" w:rsidRDefault="000308E3" w:rsidP="00607EDE">
      <w:pPr>
        <w:rPr>
          <w:sz w:val="28"/>
          <w:szCs w:val="28"/>
        </w:rPr>
      </w:pPr>
    </w:p>
    <w:p w14:paraId="7D5326D2" w14:textId="77777777" w:rsidR="000308E3" w:rsidRPr="00D10229" w:rsidRDefault="000308E3" w:rsidP="00D10229">
      <w:pPr>
        <w:rPr>
          <w:sz w:val="28"/>
          <w:szCs w:val="28"/>
        </w:rPr>
      </w:pPr>
    </w:p>
    <w:sectPr w:rsidR="000308E3" w:rsidRPr="00D10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7063"/>
    <w:multiLevelType w:val="hybridMultilevel"/>
    <w:tmpl w:val="4F68A55A"/>
    <w:lvl w:ilvl="0" w:tplc="FCC22FE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06BDE"/>
    <w:multiLevelType w:val="hybridMultilevel"/>
    <w:tmpl w:val="088898F8"/>
    <w:lvl w:ilvl="0" w:tplc="DE642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CC04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066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22EC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484C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FC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5459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ACD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6EB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6FA7714"/>
    <w:multiLevelType w:val="hybridMultilevel"/>
    <w:tmpl w:val="147899A8"/>
    <w:lvl w:ilvl="0" w:tplc="57B06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20F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5E5F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9EDD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E82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FC3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A2B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1CF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3E25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2EE75FD"/>
    <w:multiLevelType w:val="hybridMultilevel"/>
    <w:tmpl w:val="86667FAE"/>
    <w:lvl w:ilvl="0" w:tplc="ABD6D9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E848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16B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1089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DE9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848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36A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5630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285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89470666">
    <w:abstractNumId w:val="2"/>
  </w:num>
  <w:num w:numId="2" w16cid:durableId="1671835823">
    <w:abstractNumId w:val="1"/>
  </w:num>
  <w:num w:numId="3" w16cid:durableId="2092581714">
    <w:abstractNumId w:val="3"/>
  </w:num>
  <w:num w:numId="4" w16cid:durableId="198855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29"/>
    <w:rsid w:val="000308E3"/>
    <w:rsid w:val="000320E4"/>
    <w:rsid w:val="00051554"/>
    <w:rsid w:val="00075BA9"/>
    <w:rsid w:val="000A7F31"/>
    <w:rsid w:val="00104D1B"/>
    <w:rsid w:val="00113CF5"/>
    <w:rsid w:val="001B1169"/>
    <w:rsid w:val="001F63C6"/>
    <w:rsid w:val="0028562A"/>
    <w:rsid w:val="002C187E"/>
    <w:rsid w:val="002D4224"/>
    <w:rsid w:val="00373B19"/>
    <w:rsid w:val="00470880"/>
    <w:rsid w:val="004728FA"/>
    <w:rsid w:val="004E14DA"/>
    <w:rsid w:val="00510FB3"/>
    <w:rsid w:val="0054506E"/>
    <w:rsid w:val="0055784B"/>
    <w:rsid w:val="0056330D"/>
    <w:rsid w:val="00564DB0"/>
    <w:rsid w:val="005C4BC6"/>
    <w:rsid w:val="00607EDE"/>
    <w:rsid w:val="00616702"/>
    <w:rsid w:val="00671AC3"/>
    <w:rsid w:val="006A46B4"/>
    <w:rsid w:val="0071447A"/>
    <w:rsid w:val="00714D61"/>
    <w:rsid w:val="007C2FA0"/>
    <w:rsid w:val="00883858"/>
    <w:rsid w:val="008D0577"/>
    <w:rsid w:val="008D0A17"/>
    <w:rsid w:val="00910E84"/>
    <w:rsid w:val="00936076"/>
    <w:rsid w:val="00942C0A"/>
    <w:rsid w:val="009C43BF"/>
    <w:rsid w:val="00A42686"/>
    <w:rsid w:val="00A95F0E"/>
    <w:rsid w:val="00BF4796"/>
    <w:rsid w:val="00C45BCD"/>
    <w:rsid w:val="00CB48A3"/>
    <w:rsid w:val="00CC7D84"/>
    <w:rsid w:val="00D10229"/>
    <w:rsid w:val="00D46F38"/>
    <w:rsid w:val="00D508FF"/>
    <w:rsid w:val="00D82C40"/>
    <w:rsid w:val="00DD00AB"/>
    <w:rsid w:val="00EB0D6B"/>
    <w:rsid w:val="00ED36BA"/>
    <w:rsid w:val="00FF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4DD2"/>
  <w15:chartTrackingRefBased/>
  <w15:docId w15:val="{344E4013-5489-46FC-8047-E7FE8842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C43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3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4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5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5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6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40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0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0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1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8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8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adtraffic.dft.gov.uk/download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ssets.publishing.service.gov.uk/government/uploads/system/uploads/attachment_data/file/911817/electricity-generation-cost-report-202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8069CAB006284BBC55BEF4B7EC0F02" ma:contentTypeVersion="7" ma:contentTypeDescription="Create a new document." ma:contentTypeScope="" ma:versionID="ae71ca512b8dd59405fb971abeb39bc3">
  <xsd:schema xmlns:xsd="http://www.w3.org/2001/XMLSchema" xmlns:xs="http://www.w3.org/2001/XMLSchema" xmlns:p="http://schemas.microsoft.com/office/2006/metadata/properties" xmlns:ns3="a1d574d3-765c-4fde-a190-455d52aac20a" xmlns:ns4="8135e74e-55a3-429d-b75d-0542986ae594" targetNamespace="http://schemas.microsoft.com/office/2006/metadata/properties" ma:root="true" ma:fieldsID="08cff09beaf493626122a1ea229b92aa" ns3:_="" ns4:_="">
    <xsd:import namespace="a1d574d3-765c-4fde-a190-455d52aac20a"/>
    <xsd:import namespace="8135e74e-55a3-429d-b75d-0542986ae59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d574d3-765c-4fde-a190-455d52aac20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35e74e-55a3-429d-b75d-0542986ae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D0A08D-CAEF-4A06-889C-725F9A0D4A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d574d3-765c-4fde-a190-455d52aac20a"/>
    <ds:schemaRef ds:uri="8135e74e-55a3-429d-b75d-0542986ae5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09814C-B899-400F-A19B-44FC75C764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08F651-1FF8-4B90-9B01-512EFE56D2AE}">
  <ds:schemaRefs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8135e74e-55a3-429d-b75d-0542986ae594"/>
    <ds:schemaRef ds:uri="http://purl.org/dc/elements/1.1/"/>
    <ds:schemaRef ds:uri="a1d574d3-765c-4fde-a190-455d52aac20a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Lubbad (Alumni)</dc:creator>
  <cp:keywords/>
  <dc:description/>
  <cp:lastModifiedBy>Heba Lubbad (Alumni)</cp:lastModifiedBy>
  <cp:revision>2</cp:revision>
  <dcterms:created xsi:type="dcterms:W3CDTF">2022-04-29T20:48:00Z</dcterms:created>
  <dcterms:modified xsi:type="dcterms:W3CDTF">2022-04-29T20:48:00Z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0x0101000A8069CAB006284BBC55BEF4B7EC0F02</vt:lpwstr>
  </property>
</Properties>
</file>