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مقتطف معايير وطنية/دولية (للرجوع عند مواءمة التقييم)</w:t>
      </w:r>
    </w:p>
    <w:p>
      <w:r>
        <w:t>المعيار 8.2 — القراءة التحليلية: يقيّم الطالب الحجج ويميز بين الأدلة والآراء.</w:t>
        <w:br/>
        <w:t>المعيار 9.3 — حل المشكلات العلمية: يطبّق الطالب خطوات المنهج العلمي لتصميم تجربة واستخلاص نتائج.</w:t>
        <w:br/>
        <w:t>المعيار 7.1 — التواصل الكتابي: يكتب نصًا منظمًا واضح الفكرة مدعومًا بأمثلة.</w:t>
      </w:r>
    </w:p>
    <w:p>
      <w:pPr>
        <w:pStyle w:val="Heading2"/>
      </w:pPr>
      <w:r>
        <w:t>مستويات العمق المعرفي (DOK)</w:t>
      </w:r>
    </w:p>
    <w:p>
      <w:r>
        <w:t>DOK1: تذكر — DOK2: مهارات/مفاهيم — DOK3: تفكير استراتيجي — DOK4: تفكير ممتد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