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Source Han Sans CN" w:hAnsi="Source Han Sans CN" w:eastAsia="Source Han Sans CN"/>
          <w:b/>
          <w:color w:val="2E74B5"/>
          <w:sz w:val="22"/>
        </w:rPr>
        <w:t>PROJECT-WIDE RESEARCH SYNTHESIS</w:t>
      </w:r>
    </w:p>
    <w:p>
      <w:pPr>
        <w:spacing w:after="200"/>
        <w:jc w:val="center"/>
      </w:pPr>
      <w:r>
        <w:rPr>
          <w:rFonts w:ascii="Source Han Sans CN" w:hAnsi="Source Han Sans CN" w:eastAsia="Source Han Sans CN"/>
          <w:b/>
          <w:color w:val="17324D"/>
          <w:sz w:val="56"/>
        </w:rPr>
        <w:t>SPH-PIO-PoC</w:t>
        <w:br/>
        <w:t>全项目研究综合与发表决策档案</w:t>
      </w:r>
    </w:p>
    <w:p>
      <w:pPr>
        <w:spacing w:after="840"/>
        <w:jc w:val="center"/>
      </w:pPr>
      <w:r>
        <w:rPr>
          <w:rFonts w:ascii="Source Han Sans CN" w:hAnsi="Source Han Sans CN" w:eastAsia="Source Han Sans CN"/>
          <w:color w:val="1F4D78"/>
          <w:sz w:val="24"/>
        </w:rPr>
        <w:t>Cross-Stage Synthesis S1 — Evidence Audit, Failure Analysis, Innovation Register and Publication Decision Dossier</w:t>
      </w:r>
    </w:p>
    <w:p>
      <w:pPr>
        <w:jc w:val="center"/>
      </w:pPr>
      <w:r>
        <w:rPr>
          <w:rFonts w:ascii="Source Han Sans CN" w:hAnsi="Source Han Sans CN" w:eastAsia="Source Han Sans CN"/>
          <w:color w:val="5E6B76"/>
          <w:sz w:val="19"/>
        </w:rPr>
        <w:t>只读、非计算性审计｜扫描截止 2026-08-05</w:t>
        <w:br/>
        <w:t>Git HEAD ff86f5e0b99966ad6fa5896fe3d9a0c3f001cd57</w:t>
        <w:br/>
        <w:t>文档预设：narrative_proposal；命名字体覆盖：Source Han Sans CN</w:t>
      </w:r>
    </w:p>
    <w:p>
      <w:r>
        <w:br w:type="page"/>
      </w:r>
    </w:p>
    <w:p>
      <w:bookmarkStart w:id="1" w:name="TOC"/>
      <w:pPr>
        <w:pStyle w:val="Heading1"/>
      </w:pPr>
      <w:r>
        <w:t>目录</w:t>
      </w:r>
      <w:bookmarkEnd w:id="1"/>
    </w:p>
    <w:p>
      <w:pPr>
        <w:spacing w:after="60"/>
        <w:ind w:left="216"/>
      </w:pPr>
      <w:hyperlink w:anchor="sec001">
        <w:r>
          <w:rPr>
            <w:color w:val="2E74B5"/>
            <w:u w:val="single"/>
            <w:rFonts w:eastAsia="Source Han Sans CN" w:ascii="Source Han Sans CN" w:hAnsi="Source Han Sans CN"/>
          </w:rPr>
          <w:t>执行摘要</w:t>
        </w:r>
      </w:hyperlink>
    </w:p>
    <w:p>
      <w:pPr>
        <w:spacing w:after="60"/>
        <w:ind w:left="216"/>
      </w:pPr>
      <w:hyperlink w:anchor="sec002">
        <w:r>
          <w:rPr>
            <w:color w:val="2E74B5"/>
            <w:u w:val="single"/>
            <w:rFonts w:eastAsia="Source Han Sans CN" w:ascii="Source Han Sans CN" w:hAnsi="Source Han Sans CN"/>
          </w:rPr>
          <w:t>1. 项目起源与核心科学问题</w:t>
        </w:r>
      </w:hyperlink>
    </w:p>
    <w:p>
      <w:pPr>
        <w:spacing w:after="60"/>
        <w:ind w:left="216"/>
      </w:pPr>
      <w:hyperlink w:anchor="sec003">
        <w:r>
          <w:rPr>
            <w:color w:val="2E74B5"/>
            <w:u w:val="single"/>
            <w:rFonts w:eastAsia="Source Han Sans CN" w:ascii="Source Han Sans CN" w:hAnsi="Source Han Sans CN"/>
          </w:rPr>
          <w:t>2. 原始SPH–Transformer设想</w:t>
        </w:r>
      </w:hyperlink>
    </w:p>
    <w:p>
      <w:pPr>
        <w:spacing w:after="60"/>
        <w:ind w:left="216"/>
      </w:pPr>
      <w:hyperlink w:anchor="sec004">
        <w:r>
          <w:rPr>
            <w:color w:val="2E74B5"/>
            <w:u w:val="single"/>
            <w:rFonts w:eastAsia="Source Han Sans CN" w:ascii="Source Han Sans CN" w:hAnsi="Source Han Sans CN"/>
          </w:rPr>
          <w:t>3. V&amp;V方法论修正</w:t>
        </w:r>
      </w:hyperlink>
    </w:p>
    <w:p>
      <w:pPr>
        <w:spacing w:after="60"/>
        <w:ind w:left="216"/>
      </w:pPr>
      <w:hyperlink w:anchor="sec005">
        <w:r>
          <w:rPr>
            <w:color w:val="2E74B5"/>
            <w:u w:val="single"/>
            <w:rFonts w:eastAsia="Source Han Sans CN" w:ascii="Source Han Sans CN" w:hAnsi="Source Han Sans CN"/>
          </w:rPr>
          <w:t>4. Stage00环境资格</w:t>
        </w:r>
      </w:hyperlink>
    </w:p>
    <w:p>
      <w:pPr>
        <w:spacing w:after="60"/>
        <w:ind w:left="216"/>
      </w:pPr>
      <w:hyperlink w:anchor="sec006">
        <w:r>
          <w:rPr>
            <w:color w:val="2E74B5"/>
            <w:u w:val="single"/>
            <w:rFonts w:eastAsia="Source Han Sans CN" w:ascii="Source Han Sans CN" w:hAnsi="Source Han Sans CN"/>
          </w:rPr>
          <w:t>5. Stage01数值验证完整过程</w:t>
        </w:r>
      </w:hyperlink>
    </w:p>
    <w:p>
      <w:pPr>
        <w:spacing w:after="60"/>
        <w:ind w:left="216"/>
      </w:pPr>
      <w:hyperlink w:anchor="sec007">
        <w:r>
          <w:rPr>
            <w:color w:val="2E74B5"/>
            <w:u w:val="single"/>
            <w:rFonts w:eastAsia="Source Han Sans CN" w:ascii="Source Han Sans CN" w:hAnsi="Source Han Sans CN"/>
          </w:rPr>
          <w:t>6. Stage01全部失败与修复</w:t>
        </w:r>
      </w:hyperlink>
    </w:p>
    <w:p>
      <w:pPr>
        <w:spacing w:after="60"/>
        <w:ind w:left="216"/>
      </w:pPr>
      <w:hyperlink w:anchor="sec008">
        <w:r>
          <w:rPr>
            <w:color w:val="2E74B5"/>
            <w:u w:val="single"/>
            <w:rFonts w:eastAsia="Source Han Sans CN" w:ascii="Source Han Sans CN" w:hAnsi="Source Han Sans CN"/>
          </w:rPr>
          <w:t>7. Stage01最终边界</w:t>
        </w:r>
      </w:hyperlink>
    </w:p>
    <w:p>
      <w:pPr>
        <w:spacing w:after="60"/>
        <w:ind w:left="216"/>
      </w:pPr>
      <w:hyperlink w:anchor="sec009">
        <w:r>
          <w:rPr>
            <w:color w:val="2E74B5"/>
            <w:u w:val="single"/>
            <w:rFonts w:eastAsia="Source Han Sans CN" w:ascii="Source Han Sans CN" w:hAnsi="Source Han Sans CN"/>
          </w:rPr>
          <w:t>8. Stage02 PIO理论</w:t>
        </w:r>
      </w:hyperlink>
    </w:p>
    <w:p>
      <w:pPr>
        <w:spacing w:after="60"/>
        <w:ind w:left="216"/>
      </w:pPr>
      <w:hyperlink w:anchor="sec010">
        <w:r>
          <w:rPr>
            <w:color w:val="2E74B5"/>
            <w:u w:val="single"/>
            <w:rFonts w:eastAsia="Source Han Sans CN" w:ascii="Source Han Sans CN" w:hAnsi="Source Han Sans CN"/>
          </w:rPr>
          <w:t>9. target/reference/dataset路线</w:t>
        </w:r>
      </w:hyperlink>
    </w:p>
    <w:p>
      <w:pPr>
        <w:spacing w:after="60"/>
        <w:ind w:left="216"/>
      </w:pPr>
      <w:hyperlink w:anchor="sec011">
        <w:r>
          <w:rPr>
            <w:color w:val="2E74B5"/>
            <w:u w:val="single"/>
            <w:rFonts w:eastAsia="Source Han Sans CN" w:ascii="Source Han Sans CN" w:hAnsi="Source Han Sans CN"/>
          </w:rPr>
          <w:t>10. Stage02 static training及失败</w:t>
        </w:r>
      </w:hyperlink>
    </w:p>
    <w:p>
      <w:pPr>
        <w:spacing w:after="60"/>
        <w:ind w:left="216"/>
      </w:pPr>
      <w:hyperlink w:anchor="sec012">
        <w:r>
          <w:rPr>
            <w:color w:val="2E74B5"/>
            <w:u w:val="single"/>
            <w:rFonts w:eastAsia="Source Han Sans CN" w:ascii="Source Han Sans CN" w:hAnsi="Source Han Sans CN"/>
          </w:rPr>
          <w:t>11. Stage02主要创新与边界</w:t>
        </w:r>
      </w:hyperlink>
    </w:p>
    <w:p>
      <w:pPr>
        <w:spacing w:after="60"/>
        <w:ind w:left="216"/>
      </w:pPr>
      <w:hyperlink w:anchor="sec013">
        <w:r>
          <w:rPr>
            <w:color w:val="2E74B5"/>
            <w:u w:val="single"/>
            <w:rFonts w:eastAsia="Source Han Sans CN" w:ascii="Source Han Sans CN" w:hAnsi="Source Han Sans CN"/>
          </w:rPr>
          <w:t>12. Stage03动态新假设</w:t>
        </w:r>
      </w:hyperlink>
    </w:p>
    <w:p>
      <w:pPr>
        <w:spacing w:after="60"/>
        <w:ind w:left="216"/>
      </w:pPr>
      <w:hyperlink w:anchor="sec014">
        <w:r>
          <w:rPr>
            <w:color w:val="2E74B5"/>
            <w:u w:val="single"/>
            <w:rFonts w:eastAsia="Source Han Sans CN" w:ascii="Source Han Sans CN" w:hAnsi="Source Han Sans CN"/>
          </w:rPr>
          <w:t>13. dynamic reference hierarchy</w:t>
        </w:r>
      </w:hyperlink>
    </w:p>
    <w:p>
      <w:pPr>
        <w:spacing w:after="60"/>
        <w:ind w:left="216"/>
      </w:pPr>
      <w:hyperlink w:anchor="sec015">
        <w:r>
          <w:rPr>
            <w:color w:val="2E74B5"/>
            <w:u w:val="single"/>
            <w:rFonts w:eastAsia="Source Han Sans CN" w:ascii="Source Han Sans CN" w:hAnsi="Source Han Sans CN"/>
          </w:rPr>
          <w:t>14. D0–D3实现</w:t>
        </w:r>
      </w:hyperlink>
    </w:p>
    <w:p>
      <w:pPr>
        <w:spacing w:after="60"/>
        <w:ind w:left="216"/>
      </w:pPr>
      <w:hyperlink w:anchor="sec016">
        <w:r>
          <w:rPr>
            <w:color w:val="2E74B5"/>
            <w:u w:val="single"/>
            <w:rFonts w:eastAsia="Source Han Sans CN" w:ascii="Source Han Sans CN" w:hAnsi="Source Han Sans CN"/>
          </w:rPr>
          <w:t>15. zero correction与守恒</w:t>
        </w:r>
      </w:hyperlink>
    </w:p>
    <w:p>
      <w:pPr>
        <w:spacing w:after="60"/>
        <w:ind w:left="216"/>
      </w:pPr>
      <w:hyperlink w:anchor="sec017">
        <w:r>
          <w:rPr>
            <w:color w:val="2E74B5"/>
            <w:u w:val="single"/>
            <w:rFonts w:eastAsia="Source Han Sans CN" w:ascii="Source Han Sans CN" w:hAnsi="Source Han Sans CN"/>
          </w:rPr>
          <w:t>16. multistep AD/FD</w:t>
        </w:r>
      </w:hyperlink>
    </w:p>
    <w:p>
      <w:pPr>
        <w:spacing w:after="60"/>
        <w:ind w:left="216"/>
      </w:pPr>
      <w:hyperlink w:anchor="sec018">
        <w:r>
          <w:rPr>
            <w:color w:val="2E74B5"/>
            <w:u w:val="single"/>
            <w:rFonts w:eastAsia="Source Han Sans CN" w:ascii="Source Han Sans CN" w:hAnsi="Source Han Sans CN"/>
          </w:rPr>
          <w:t>17. topology event</w:t>
        </w:r>
      </w:hyperlink>
    </w:p>
    <w:p>
      <w:pPr>
        <w:spacing w:after="60"/>
        <w:ind w:left="216"/>
      </w:pPr>
      <w:hyperlink w:anchor="sec019">
        <w:r>
          <w:rPr>
            <w:color w:val="2E74B5"/>
            <w:u w:val="single"/>
            <w:rFonts w:eastAsia="Source Han Sans CN" w:ascii="Source Han Sans CN" w:hAnsi="Source Han Sans CN"/>
          </w:rPr>
          <w:t>18. Stage03失败归因</w:t>
        </w:r>
      </w:hyperlink>
    </w:p>
    <w:p>
      <w:pPr>
        <w:spacing w:after="60"/>
        <w:ind w:left="216"/>
      </w:pPr>
      <w:hyperlink w:anchor="sec020">
        <w:r>
          <w:rPr>
            <w:color w:val="2E74B5"/>
            <w:u w:val="single"/>
            <w:rFonts w:eastAsia="Source Han Sans CN" w:ascii="Source Han Sans CN" w:hAnsi="Source Han Sans CN"/>
          </w:rPr>
          <w:t>19. Stage03暂停原因</w:t>
        </w:r>
      </w:hyperlink>
    </w:p>
    <w:p>
      <w:pPr>
        <w:spacing w:after="60"/>
        <w:ind w:left="216"/>
      </w:pPr>
      <w:hyperlink w:anchor="sec021">
        <w:r>
          <w:rPr>
            <w:color w:val="2E74B5"/>
            <w:u w:val="single"/>
            <w:rFonts w:eastAsia="Source Han Sans CN" w:ascii="Source Han Sans CN" w:hAnsi="Source Han Sans CN"/>
          </w:rPr>
          <w:t>20. 项目所有创新登记</w:t>
        </w:r>
      </w:hyperlink>
    </w:p>
    <w:p>
      <w:pPr>
        <w:spacing w:after="60"/>
        <w:ind w:left="216"/>
      </w:pPr>
      <w:hyperlink w:anchor="sec022">
        <w:r>
          <w:rPr>
            <w:color w:val="2E74B5"/>
            <w:u w:val="single"/>
            <w:rFonts w:eastAsia="Source Han Sans CN" w:ascii="Source Han Sans CN" w:hAnsi="Source Han Sans CN"/>
          </w:rPr>
          <w:t>21. 项目所有未解决问题</w:t>
        </w:r>
      </w:hyperlink>
    </w:p>
    <w:p>
      <w:pPr>
        <w:spacing w:after="60"/>
        <w:ind w:left="216"/>
      </w:pPr>
      <w:hyperlink w:anchor="sec023">
        <w:r>
          <w:rPr>
            <w:color w:val="2E74B5"/>
            <w:u w:val="single"/>
            <w:rFonts w:eastAsia="Source Han Sans CN" w:ascii="Source Han Sans CN" w:hAnsi="Source Han Sans CN"/>
          </w:rPr>
          <w:t>22. 可发表证据</w:t>
        </w:r>
      </w:hyperlink>
    </w:p>
    <w:p>
      <w:pPr>
        <w:spacing w:after="60"/>
        <w:ind w:left="216"/>
      </w:pPr>
      <w:hyperlink w:anchor="sec024">
        <w:r>
          <w:rPr>
            <w:color w:val="2E74B5"/>
            <w:u w:val="single"/>
            <w:rFonts w:eastAsia="Source Han Sans CN" w:ascii="Source Han Sans CN" w:hAnsi="Source Han Sans CN"/>
          </w:rPr>
          <w:t>23. 只能放补充材料的证据</w:t>
        </w:r>
      </w:hyperlink>
    </w:p>
    <w:p>
      <w:pPr>
        <w:spacing w:after="60"/>
        <w:ind w:left="216"/>
      </w:pPr>
      <w:hyperlink w:anchor="sec025">
        <w:r>
          <w:rPr>
            <w:color w:val="2E74B5"/>
            <w:u w:val="single"/>
            <w:rFonts w:eastAsia="Source Han Sans CN" w:ascii="Source Han Sans CN" w:hAnsi="Source Han Sans CN"/>
          </w:rPr>
          <w:t>24. 只能内部保存的证据</w:t>
        </w:r>
      </w:hyperlink>
    </w:p>
    <w:p>
      <w:pPr>
        <w:spacing w:after="60"/>
        <w:ind w:left="216"/>
      </w:pPr>
      <w:hyperlink w:anchor="sec026">
        <w:r>
          <w:rPr>
            <w:color w:val="2E74B5"/>
            <w:u w:val="single"/>
            <w:rFonts w:eastAsia="Source Han Sans CN" w:ascii="Source Han Sans CN" w:hAnsi="Source Han Sans CN"/>
          </w:rPr>
          <w:t>25. 单篇整合方案</w:t>
        </w:r>
      </w:hyperlink>
    </w:p>
    <w:p>
      <w:pPr>
        <w:spacing w:after="60"/>
        <w:ind w:left="216"/>
      </w:pPr>
      <w:hyperlink w:anchor="sec027">
        <w:r>
          <w:rPr>
            <w:color w:val="2E74B5"/>
            <w:u w:val="single"/>
            <w:rFonts w:eastAsia="Source Han Sans CN" w:ascii="Source Han Sans CN" w:hAnsi="Source Han Sans CN"/>
          </w:rPr>
          <w:t>26. 两篇拆分方案</w:t>
        </w:r>
      </w:hyperlink>
    </w:p>
    <w:p>
      <w:pPr>
        <w:spacing w:after="60"/>
        <w:ind w:left="216"/>
      </w:pPr>
      <w:hyperlink w:anchor="sec028">
        <w:r>
          <w:rPr>
            <w:color w:val="2E74B5"/>
            <w:u w:val="single"/>
            <w:rFonts w:eastAsia="Source Han Sans CN" w:ascii="Source Han Sans CN" w:hAnsi="Source Han Sans CN"/>
          </w:rPr>
          <w:t>27. Stage04后决策树</w:t>
        </w:r>
      </w:hyperlink>
    </w:p>
    <w:p>
      <w:pPr>
        <w:spacing w:after="60"/>
        <w:ind w:left="216"/>
      </w:pPr>
      <w:hyperlink w:anchor="sec029">
        <w:r>
          <w:rPr>
            <w:color w:val="2E74B5"/>
            <w:u w:val="single"/>
            <w:rFonts w:eastAsia="Source Han Sans CN" w:ascii="Source Han Sans CN" w:hAnsi="Source Han Sans CN"/>
          </w:rPr>
          <w:t>28. 最终研究边界</w:t>
        </w:r>
      </w:hyperlink>
    </w:p>
    <w:p>
      <w:pPr>
        <w:spacing w:after="60"/>
        <w:ind w:left="216"/>
      </w:pPr>
      <w:hyperlink w:anchor="sec030">
        <w:r>
          <w:rPr>
            <w:color w:val="2E74B5"/>
            <w:u w:val="single"/>
            <w:rFonts w:eastAsia="Source Han Sans CN" w:ascii="Source Han Sans CN" w:hAnsi="Source Han Sans CN"/>
          </w:rPr>
          <w:t>29. artifact/hash index</w:t>
        </w:r>
      </w:hyperlink>
    </w:p>
    <w:p>
      <w:r>
        <w:br w:type="page"/>
      </w:r>
    </w:p>
    <w:p>
      <w:bookmarkStart w:id="10" w:name="sec001"/>
      <w:pPr>
        <w:pStyle w:val="Heading1"/>
      </w:pPr>
      <w:r>
        <w:t>执行摘要</w:t>
      </w:r>
      <w:bookmarkEnd w:id="10"/>
    </w:p>
    <w:p>
      <w:r>
        <w:rPr>
          <w:rFonts w:ascii="Source Han Sans CN" w:hAnsi="Source Han Sans CN" w:eastAsia="Source Han Sans CN"/>
          <w:color w:val="222222"/>
          <w:sz w:val="21"/>
        </w:rPr>
        <w:t>[PROJECT_EVIDENCE] 项目形成了从环境、SPH V&amp;V、reference/target/data、保守架构、动态实现到多步梯度和拓扑事件的完整证据链。它没有形成动态训练或rollout成功证据。最稳健的现时发表主线是verification-first方法与负结果；Stage04以后再按决策树选择合并或拆分。</w:t>
      </w:r>
    </w:p>
    <w:p>
      <w:bookmarkStart w:id="11" w:name="sec002"/>
      <w:pPr>
        <w:pStyle w:val="Heading1"/>
      </w:pPr>
      <w:r>
        <w:t>1. 项目起源与核心科学问题</w:t>
      </w:r>
      <w:bookmarkEnd w:id="11"/>
    </w:p>
    <w:p>
      <w:r>
        <w:rPr>
          <w:rFonts w:ascii="Source Han Sans CN" w:hAnsi="Source Han Sans CN" w:eastAsia="Source Han Sans CN"/>
          <w:color w:val="222222"/>
          <w:sz w:val="21"/>
        </w:rPr>
        <w:t>[PROJECT_EVIDENCE] 项目起点是把SPH物理求解与可学习粒子相互作用/动态历史结合，但很快把核心问题改写为：在任何训练与性能主张之前，reference、离散、结构、数据、梯度和拓扑证据是否分别合格。</w:t>
      </w:r>
    </w:p>
    <w:p>
      <w:bookmarkStart w:id="12" w:name="sec003"/>
      <w:pPr>
        <w:pStyle w:val="Heading1"/>
      </w:pPr>
      <w:r>
        <w:t>2. 原始SPH–Transformer设想</w:t>
      </w:r>
      <w:bookmarkEnd w:id="12"/>
    </w:p>
    <w:p>
      <w:r>
        <w:rPr>
          <w:rFonts w:ascii="Source Han Sans CN" w:hAnsi="Source Han Sans CN" w:eastAsia="Source Han Sans CN"/>
          <w:color w:val="222222"/>
          <w:sz w:val="21"/>
        </w:rPr>
        <w:t>[PROJECT_EVIDENCE] 原设想包含静态pair correction和动态Transformer历史closure。[INFERENCE] 项目后续最重要的修正，是不再把架构存在等同于可学习、可微、可rollout或优于基线。</w:t>
      </w:r>
    </w:p>
    <w:p>
      <w:bookmarkStart w:id="13" w:name="sec004"/>
      <w:pPr>
        <w:pStyle w:val="Heading1"/>
      </w:pPr>
      <w:r>
        <w:t>3. V&amp;V方法论修正</w:t>
      </w:r>
      <w:bookmarkEnd w:id="13"/>
    </w:p>
    <w:p>
      <w:r>
        <w:rPr>
          <w:rFonts w:ascii="Source Han Sans CN" w:hAnsi="Source Han Sans CN" w:eastAsia="Source Han Sans CN"/>
          <w:color w:val="222222"/>
          <w:sz w:val="21"/>
        </w:rPr>
        <w:t>[PROJECT_EVIDENCE] 项目建立L0–L10证据层、预注册硬门、失败保留、sealed test、hash freeze与组成分量/总体状态分层。</w:t>
      </w:r>
    </w:p>
    <w:p>
      <w:pPr>
        <w:jc w:val="center"/>
      </w:pPr>
      <w:r>
        <w:rPr>
          <w:rFonts w:ascii="Source Han Sans CN" w:hAnsi="Source Han Sans CN" w:eastAsia="Source Han Sans CN"/>
          <w:i/>
          <w:color w:val="1F4D78"/>
          <w:sz w:val="20"/>
        </w:rPr>
        <w:t>资格链：L0 → L1 → … → L10；任一局部 PASS 不覆盖上游或总体 FAIL。</w:t>
      </w:r>
    </w:p>
    <w:p>
      <w:bookmarkStart w:id="14" w:name="sec005"/>
      <w:pPr>
        <w:pStyle w:val="Heading1"/>
      </w:pPr>
      <w:r>
        <w:t>4. Stage00环境资格</w:t>
      </w:r>
      <w:bookmarkEnd w:id="14"/>
    </w:p>
    <w:p>
      <w:r>
        <w:rPr>
          <w:rFonts w:ascii="Source Han Sans CN" w:hAnsi="Source Han Sans CN" w:eastAsia="Source Han Sans CN"/>
          <w:color w:val="222222"/>
          <w:sz w:val="21"/>
        </w:rPr>
        <w:t>[PROJECT_EVIDENCE] CPU/MPS请求操作通过；MPS邻域为CPU桥接的hybrid路径；full diffSPH execution在Stage00仍不可判断。</w:t>
      </w:r>
    </w:p>
    <w:p>
      <w:bookmarkStart w:id="15" w:name="sec006"/>
      <w:pPr>
        <w:pStyle w:val="Heading1"/>
      </w:pPr>
      <w:r>
        <w:t>5. Stage01数值验证完整过程</w:t>
      </w:r>
      <w:bookmarkEnd w:id="15"/>
    </w:p>
    <w:p>
      <w:r>
        <w:rPr>
          <w:rFonts w:ascii="Source Han Sans CN" w:hAnsi="Source Han Sans CN" w:eastAsia="Source Han Sans CN"/>
          <w:color w:val="222222"/>
          <w:sz w:val="21"/>
        </w:rPr>
        <w:t>[PROJECT_EVIDENCE] 时间线覆盖V0执行、V1算子、资源诊断、V2重资格、模型形式归因、WCSPH MMS、plateau-aware重资格与独立shear/acoustic验证。最终Stage01仍为V2_QUALIFICATION_FAIL。</w:t>
      </w:r>
    </w:p>
    <w:p>
      <w:bookmarkStart w:id="16" w:name="sec007"/>
      <w:pPr>
        <w:pStyle w:val="Heading1"/>
      </w:pPr>
      <w:r>
        <w:t>6. Stage01全部失败与修复</w:t>
      </w:r>
      <w:bookmarkEnd w:id="16"/>
    </w:p>
    <w:p>
      <w:r>
        <w:rPr>
          <w:rFonts w:ascii="Source Han Sans CN" w:hAnsi="Source Han Sans CN" w:eastAsia="Source Han Sans CN"/>
          <w:color w:val="222222"/>
          <w:sz w:val="21"/>
        </w:rPr>
        <w:t>[PROJECT_EVIDENCE] V1实现/结构缺陷由Stage01C修复；资源增长由D-R至D-P形成有界GC政策；TGV模型形式错配推动MMS；严格收敛门推动plateau-aware协议；shear失败被限定为finite-resolution dominant。所有旧FAIL保持。</w:t>
      </w:r>
    </w:p>
    <w:p>
      <w:bookmarkStart w:id="17" w:name="sec008"/>
      <w:pPr>
        <w:pStyle w:val="Heading1"/>
      </w:pPr>
      <w:r>
        <w:t>7. Stage01最终边界</w:t>
      </w:r>
      <w:bookmarkEnd w:id="17"/>
    </w:p>
    <w:p>
      <w:r>
        <w:rPr>
          <w:rFonts w:ascii="Source Han Sans CN" w:hAnsi="Source Han Sans CN" w:eastAsia="Source Han Sans CN"/>
          <w:color w:val="222222"/>
          <w:sz w:val="21"/>
        </w:rPr>
        <w:t>[PROJECT_EVIDENCE] acoustic component PASS与MMS requalification PASS不能覆盖独立shear门；Stage01 V2未恢复，viscosity operator-form failure未确认。</w:t>
      </w:r>
    </w:p>
    <w:p>
      <w:bookmarkStart w:id="18" w:name="sec009"/>
      <w:pPr>
        <w:pStyle w:val="Heading1"/>
      </w:pPr>
      <w:r>
        <w:t>8. Stage02 PIO理论</w:t>
      </w:r>
      <w:bookmarkEnd w:id="18"/>
    </w:p>
    <w:p>
      <w:r>
        <w:rPr>
          <w:rFonts w:ascii="Source Han Sans CN" w:hAnsi="Source Han Sans CN" w:eastAsia="Source Han Sans CN"/>
          <w:color w:val="222222"/>
          <w:sz w:val="21"/>
        </w:rPr>
        <w:t>[PROJECT_EVIDENCE] Stage02A冻结增量pair-force、reference hierarchy、守恒/对称与标签资格合同；理论完整不等于数据或模型性能。</w:t>
      </w:r>
    </w:p>
    <w:p>
      <w:bookmarkStart w:id="19" w:name="sec010"/>
      <w:pPr>
        <w:pStyle w:val="Heading1"/>
      </w:pPr>
      <w:r>
        <w:t>9. target/reference/dataset路线</w:t>
      </w:r>
      <w:bookmarkEnd w:id="19"/>
    </w:p>
    <w:p>
      <w:r>
        <w:rPr>
          <w:rFonts w:ascii="Source Han Sans CN" w:hAnsi="Source Han Sans CN" w:eastAsia="Source Han Sans CN"/>
          <w:color w:val="222222"/>
          <w:sz w:val="21"/>
        </w:rPr>
        <w:t>[PROJECT_EVIDENCE] D–I逐步分离temporal/spatial/reference/quadrature与conservation；J暴露单lineage泄漏；J-W最终形成20-record、4-lineage、10/5/5 split的blind static dataset。</w:t>
      </w:r>
    </w:p>
    <w:p>
      <w:r>
        <w:t>跨阶段static PIO闭环见</w:t>
      </w:r>
      <w:hyperlink w:anchor="fig1">
        <w:r>
          <w:rPr>
            <w:color w:val="2E74B5"/>
            <w:u w:val="single"/>
            <w:rFonts w:eastAsia="Source Han Sans CN" w:ascii="Source Han Sans CN" w:hAnsi="Source Han Sans CN"/>
          </w:rPr>
          <w:t>图 1</w:t>
        </w:r>
      </w:hyperlink>
      <w:r>
        <w:t>。</w:t>
      </w:r>
    </w:p>
    <w:p>
      <w:bookmarkStart w:id="20" w:name="sec011"/>
      <w:pPr>
        <w:pStyle w:val="Heading1"/>
      </w:pPr>
      <w:r>
        <w:t>10. Stage02 static training及失败</w:t>
      </w:r>
      <w:bookmarkEnd w:id="20"/>
    </w:p>
    <w:p>
      <w:r>
        <w:rPr>
          <w:rFonts w:ascii="Source Han Sans CN" w:hAnsi="Source Han Sans CN" w:eastAsia="Source Han Sans CN"/>
          <w:color w:val="222222"/>
          <w:sz w:val="21"/>
        </w:rPr>
        <w:t>[PROJECT_EVIDENCE] v0.1为STATIC_PAIR_FORCE_FITTING_NOT_QUALIFIED，v0.2为STATIC_PAIR_FORCE_FITTING_V02_NOT_QUALIFIED。K1/K2 validation/test transfer与守恒局部通过，但train-fit硬门不满足；static route终止。</w:t>
      </w:r>
    </w:p>
    <w:p>
      <w:bookmarkStart w:id="21" w:name="sec012"/>
      <w:pPr>
        <w:pStyle w:val="Heading1"/>
      </w:pPr>
      <w:r>
        <w:t>11. Stage02主要创新与边界</w:t>
      </w:r>
      <w:bookmarkEnd w:id="21"/>
    </w:p>
    <w:p>
      <w:r>
        <w:rPr>
          <w:rFonts w:ascii="Source Han Sans CN" w:hAnsi="Source Han Sans CN" w:eastAsia="Source Han Sans CN"/>
          <w:color w:val="222222"/>
          <w:sz w:val="21"/>
        </w:rPr>
        <w:t>[PROJECT_EVIDENCE] 贡献在reference/target资格链、pair antisymmetry、lineage split、regularity前瞻证伪、结构正确性与learnability分离、conditioning归因。边界是没有rollout/solver consequence。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59152"/>
            <wp:docPr id="1" name="Picture 1" descr="Stage 02从reference、target、dataset、architecture到两版static fitting失败与route closure的资格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_figure_0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2" w:name="fig1"/>
      <w:pPr>
        <w:pStyle w:val="Caption"/>
        <w:jc w:val="center"/>
      </w:pPr>
      <w:r>
        <w:rPr>
          <w:rFonts w:ascii="Source Han Sans CN" w:hAnsi="Source Han Sans CN" w:eastAsia="Source Han Sans CN"/>
          <w:b/>
          <w:color w:val="1F4D78"/>
          <w:sz w:val="18"/>
        </w:rPr>
        <w:t>图 1｜Stage 02 verification-first PIO资格流程与终止边界</w:t>
      </w:r>
      <w:bookmarkEnd w:id="22"/>
    </w:p>
    <w:p>
      <w:bookmarkStart w:id="23" w:name="sec013"/>
      <w:pPr>
        <w:pStyle w:val="Heading1"/>
      </w:pPr>
      <w:r>
        <w:t>12. Stage03动态新假设</w:t>
      </w:r>
      <w:bookmarkEnd w:id="23"/>
    </w:p>
    <w:p>
      <w:r>
        <w:rPr>
          <w:rFonts w:ascii="Source Han Sans CN" w:hAnsi="Source Han Sans CN" w:eastAsia="Source Han Sans CN"/>
          <w:color w:val="222222"/>
          <w:sz w:val="21"/>
        </w:rPr>
        <w:t>[PROJECT_EVIDENCE] D0–D3引入因果历史、动态图和zero-correction合同；短历史改善closure仍未测试。</w:t>
      </w:r>
    </w:p>
    <w:p>
      <w:bookmarkStart w:id="24" w:name="sec014"/>
      <w:pPr>
        <w:pStyle w:val="Heading1"/>
      </w:pPr>
      <w:r>
        <w:t>13. dynamic reference hierarchy</w:t>
      </w:r>
      <w:bookmarkEnd w:id="24"/>
    </w:p>
    <w:p>
      <w:r>
        <w:rPr>
          <w:rFonts w:ascii="Source Han Sans CN" w:hAnsi="Source Han Sans CN" w:eastAsia="Source Han Sans CN"/>
          <w:color w:val="222222"/>
          <w:sz w:val="21"/>
        </w:rPr>
        <w:t>[PROJECT_EVIDENCE] D-R1/D-R2/D-R3在各自范围资格化；acoustic仅linear-regime conditional，periodic vortex不是exact source-free，D-R4 physical validation不可用。</w:t>
      </w:r>
    </w:p>
    <w:p>
      <w:bookmarkStart w:id="25" w:name="sec015"/>
      <w:pPr>
        <w:pStyle w:val="Heading1"/>
      </w:pPr>
      <w:r>
        <w:t>14. D0–D3实现</w:t>
      </w:r>
      <w:bookmarkEnd w:id="25"/>
    </w:p>
    <w:p>
      <w:r>
        <w:rPr>
          <w:rFonts w:ascii="Source Han Sans CN" w:hAnsi="Source Han Sans CN" w:eastAsia="Source Han Sans CN"/>
          <w:color w:val="222222"/>
          <w:sz w:val="21"/>
        </w:rPr>
        <w:t>[PROJECT_EVIDENCE] Stage03C验证独立RK2、D0–D3接口、start/midpoint graph rebuild、accepted-only history commit、checkpoint与one-step autograd。</w:t>
      </w:r>
    </w:p>
    <w:p>
      <w:bookmarkStart w:id="26" w:name="sec016"/>
      <w:pPr>
        <w:pStyle w:val="Heading1"/>
      </w:pPr>
      <w:r>
        <w:t>15. zero correction与守恒</w:t>
      </w:r>
      <w:bookmarkEnd w:id="26"/>
    </w:p>
    <w:p>
      <w:r>
        <w:rPr>
          <w:rFonts w:ascii="Source Han Sans CN" w:hAnsi="Source Han Sans CN" w:eastAsia="Source Han Sans CN"/>
          <w:color w:val="222222"/>
          <w:sz w:val="21"/>
        </w:rPr>
        <w:t>[PROJECT_EVIDENCE] zero correction 288/288 bitwise；pair-force结构和stage conservation在冻结门内通过。不得外推到训练后性能。</w:t>
      </w:r>
    </w:p>
    <w:p>
      <w:bookmarkStart w:id="27" w:name="sec017"/>
      <w:pPr>
        <w:pStyle w:val="Heading1"/>
      </w:pPr>
      <w:r>
        <w:t>16. multistep AD/FD</w:t>
      </w:r>
      <w:bookmarkEnd w:id="27"/>
    </w:p>
    <w:p>
      <w:r>
        <w:rPr>
          <w:rFonts w:ascii="Source Han Sans CN" w:hAnsi="Source Han Sans CN" w:eastAsia="Source Han Sans CN"/>
          <w:color w:val="222222"/>
          <w:sz w:val="21"/>
        </w:rPr>
        <w:t>[PROJECT_EVIDENCE] 360 probes中216 stable、144失败；history 0/6；总体NOT_QUALIFIED。</w:t>
      </w:r>
    </w:p>
    <w:p>
      <w:pPr>
        <w:jc w:val="center"/>
      </w:pPr>
      <w:r>
        <w:rPr>
          <w:rFonts w:ascii="Menlo" w:hAnsi="Menlo" w:eastAsia="Menlo"/>
          <w:color w:val="1F4D78"/>
          <w:sz w:val="19"/>
        </w:rPr>
        <w:t>stable probe ⇔ ∃ adjacent ε window satisfying magnitude, direction and consistency gates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2" name="Picture 2" descr="360个多步AD/FD probe中216通过、144失败，并按方向、结构零、非单调、舍入、截断、非光滑和未解析分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d_figure_03_adfd_outco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8" w:name="fig2"/>
      <w:pPr>
        <w:pStyle w:val="Caption"/>
        <w:jc w:val="center"/>
      </w:pPr>
      <w:r>
        <w:rPr>
          <w:rFonts w:ascii="Source Han Sans CN" w:hAnsi="Source Han Sans CN" w:eastAsia="Source Han Sans CN"/>
          <w:b/>
          <w:color w:val="1F4D78"/>
          <w:sz w:val="18"/>
        </w:rPr>
        <w:t>图 2｜360-probe多步AD/FD完整结果与失败归因</w:t>
      </w:r>
      <w:bookmarkEnd w:id="28"/>
    </w:p>
    <w:p>
      <w:bookmarkStart w:id="29" w:name="sec018"/>
      <w:pPr>
        <w:pStyle w:val="Heading1"/>
      </w:pPr>
      <w:r>
        <w:t>17. topology event</w:t>
      </w:r>
      <w:bookmarkEnd w:id="29"/>
    </w:p>
    <w:p>
      <w:r>
        <w:rPr>
          <w:rFonts w:ascii="Source Han Sans CN" w:hAnsi="Source Han Sans CN" w:eastAsia="Source Han Sans CN"/>
          <w:color w:val="222222"/>
          <w:sz w:val="21"/>
        </w:rPr>
        <w:t>[PROJECT_EVIDENCE] cutoff birth/death、6/6 deterministic replay、12/12 fixed-side gradient通过；这是QUALIFIED_COMPONENT，不是可微neighbor search总体声明。</w:t>
      </w:r>
    </w:p>
    <w:p>
      <w:bookmarkStart w:id="30" w:name="sec019"/>
      <w:pPr>
        <w:pStyle w:val="Heading1"/>
      </w:pPr>
      <w:r>
        <w:t>18. Stage03失败归因</w:t>
      </w:r>
      <w:bookmarkEnd w:id="30"/>
    </w:p>
    <w:p>
      <w:r>
        <w:rPr>
          <w:rFonts w:ascii="Source Han Sans CN" w:hAnsi="Source Han Sans CN" w:eastAsia="Source Han Sans CN"/>
          <w:color w:val="222222"/>
          <w:sz w:val="21"/>
        </w:rPr>
        <w:t>[PROJECT_EVIDENCE] reverse/JVP、extended FD、horizon与backend联合诊断支持mixed/unresolved；19项仍未解析，history influence强衰减。</w:t>
      </w:r>
    </w:p>
    <w:p>
      <w:bookmarkStart w:id="31" w:name="sec020"/>
      <w:pPr>
        <w:pStyle w:val="Heading1"/>
      </w:pPr>
      <w:r>
        <w:t>19. Stage03暂停原因</w:t>
      </w:r>
      <w:bookmarkEnd w:id="31"/>
    </w:p>
    <w:p>
      <w:r>
        <w:rPr>
          <w:rFonts w:ascii="Source Han Sans CN" w:hAnsi="Source Han Sans CN" w:eastAsia="Source Han Sans CN"/>
          <w:color w:val="222222"/>
          <w:sz w:val="21"/>
        </w:rPr>
        <w:t>[PROJECT_EVIDENCE] Stage03E authorization=false；多步梯度硬门失败，训练、rollout、性能均未执行，因此路线PAUSED而非训练失败。</w:t>
      </w:r>
    </w:p>
    <w:p>
      <w:bookmarkStart w:id="32" w:name="sec021"/>
      <w:pPr>
        <w:pStyle w:val="Heading1"/>
      </w:pPr>
      <w:r>
        <w:t>20. 项目所有创新登记</w:t>
      </w:r>
      <w:bookmarkEnd w:id="32"/>
    </w:p>
    <w:p>
      <w:r>
        <w:rPr>
          <w:rFonts w:ascii="Source Han Sans CN" w:hAnsi="Source Han Sans CN" w:eastAsia="Source Han Sans CN"/>
          <w:color w:val="222222"/>
          <w:sz w:val="21"/>
        </w:rPr>
        <w:t>[PROJECT_EVIDENCE] 20项内部贡献见innovation register。[LITERATURE_VERIFICATION_REQUIRED] 未在P2直接覆盖者统一标为POTENTIAL_NOVELTY_REQUIRES_LITERATURE_VERIFICATION。</w:t>
      </w:r>
    </w:p>
    <w:p>
      <w:bookmarkStart w:id="33" w:name="sec022"/>
      <w:pPr>
        <w:pStyle w:val="Heading1"/>
      </w:pPr>
      <w:r>
        <w:t>21. 项目所有未解决问题</w:t>
      </w:r>
      <w:bookmarkEnd w:id="33"/>
    </w:p>
    <w:p>
      <w:r>
        <w:rPr>
          <w:rFonts w:ascii="Source Han Sans CN" w:hAnsi="Source Han Sans CN" w:eastAsia="Source Han Sans CN"/>
          <w:color w:val="222222"/>
          <w:sz w:val="21"/>
        </w:rPr>
        <w:t>[PROJECT_EVIDENCE] 包括Stage01支持尺度独立性、static learnability的一般性、history attenuation机制、19项gradient归因、D-R4、动态训练/rollout/refinement/cost。</w:t>
      </w:r>
    </w:p>
    <w:p>
      <w:bookmarkStart w:id="34" w:name="sec023"/>
      <w:pPr>
        <w:pStyle w:val="Heading1"/>
      </w:pPr>
      <w:r>
        <w:t>22. 可发表证据</w:t>
      </w:r>
      <w:bookmarkEnd w:id="34"/>
    </w:p>
    <w:p>
      <w:r>
        <w:rPr>
          <w:rFonts w:ascii="Source Han Sans CN" w:hAnsi="Source Han Sans CN" w:eastAsia="Source Han Sans CN"/>
          <w:color w:val="222222"/>
          <w:sz w:val="21"/>
        </w:rPr>
        <w:t>[PUBLICATION_RECOMMENDATION] 主文适合资格链、关键失败、reference角色、zero-correction、结构守恒、360-probe总体结果、topology分量与claim boundary。</w:t>
      </w:r>
    </w:p>
    <w:p>
      <w:bookmarkStart w:id="35" w:name="sec024"/>
      <w:pPr>
        <w:pStyle w:val="Heading1"/>
      </w:pPr>
      <w:r>
        <w:t>23. 只能放补充材料的证据</w:t>
      </w:r>
      <w:bookmarkEnd w:id="35"/>
    </w:p>
    <w:p>
      <w:r>
        <w:rPr>
          <w:rFonts w:ascii="Source Han Sans CN" w:hAnsi="Source Han Sans CN" w:eastAsia="Source Han Sans CN"/>
          <w:color w:val="222222"/>
          <w:sz w:val="21"/>
        </w:rPr>
        <w:t>[PUBLICATION_RECOMMENDATION] 全量seed/checkpoint/hash、完整probe矩阵、每case reference/QC、资源重复与全部状态账本放补充材料，并在正文保留汇总与失败可见性。</w:t>
      </w:r>
    </w:p>
    <w:p>
      <w:bookmarkStart w:id="36" w:name="sec025"/>
      <w:pPr>
        <w:pStyle w:val="Heading1"/>
      </w:pPr>
      <w:r>
        <w:t>24. 只能内部保存的证据</w:t>
      </w:r>
      <w:bookmarkEnd w:id="36"/>
    </w:p>
    <w:p>
      <w:r>
        <w:rPr>
          <w:rFonts w:ascii="Source Han Sans CN" w:hAnsi="Source Han Sans CN" w:eastAsia="Source Han Sans CN"/>
          <w:color w:val="222222"/>
          <w:sz w:val="21"/>
        </w:rPr>
        <w:t>[PUBLICATION_RECOMMENDATION] 临时launch日志、私有验证访问控制、冗长debug traces和不进入资格的内部seals只保留审计；不得用作主张。</w:t>
      </w:r>
    </w:p>
    <w:p>
      <w:bookmarkStart w:id="37" w:name="sec026"/>
      <w:pPr>
        <w:pStyle w:val="Heading1"/>
      </w:pPr>
      <w:r>
        <w:t>25. 单篇整合方案</w:t>
      </w:r>
      <w:bookmarkEnd w:id="37"/>
    </w:p>
    <w:p>
      <w:r>
        <w:rPr>
          <w:rFonts w:ascii="Source Han Sans CN" w:hAnsi="Source Han Sans CN" w:eastAsia="Source Han Sans CN"/>
          <w:color w:val="222222"/>
          <w:sz w:val="21"/>
        </w:rPr>
        <w:t>[PUBLICATION_RECOMMENDATION] 仅Scenario5优先评估Option A；需要Stage04完整强证据和可控篇幅。</w:t>
      </w:r>
    </w:p>
    <w:p>
      <w:bookmarkStart w:id="38" w:name="sec027"/>
      <w:pPr>
        <w:pStyle w:val="Heading1"/>
      </w:pPr>
      <w:r>
        <w:t>26. 两篇拆分方案</w:t>
      </w:r>
      <w:bookmarkEnd w:id="38"/>
    </w:p>
    <w:p>
      <w:r>
        <w:rPr>
          <w:rFonts w:ascii="Source Han Sans CN" w:hAnsi="Source Han Sans CN" w:eastAsia="Source Han Sans CN"/>
          <w:color w:val="222222"/>
          <w:sz w:val="21"/>
        </w:rPr>
        <w:t>[PUBLICATION_RECOMMENDATION] 默认以Paper1承载Stage00–03资格方法，Paper2仅承载Stage04新训练/性能；执行overlap matrix与anti-salami规则。</w:t>
      </w:r>
    </w:p>
    <w:p>
      <w:bookmarkStart w:id="39" w:name="sec028"/>
      <w:pPr>
        <w:pStyle w:val="Heading1"/>
      </w:pPr>
      <w:r>
        <w:t>27. Stage04后决策树</w:t>
      </w:r>
      <w:bookmarkEnd w:id="39"/>
    </w:p>
    <w:p>
      <w:r>
        <w:rPr>
          <w:rFonts w:ascii="Source Han Sans CN" w:hAnsi="Source Han Sans CN" w:eastAsia="Source Han Sans CN"/>
          <w:color w:val="222222"/>
          <w:sz w:val="21"/>
        </w:rPr>
        <w:t>[PROJECT_EVIDENCE] 六场景以task-aligned gradient、training、rollout、validation/refinement和一般性逐级分叉；Stage04 delta不改写历史。</w:t>
      </w:r>
    </w:p>
    <w:p>
      <w:bookmarkStart w:id="40" w:name="sec029"/>
      <w:pPr>
        <w:pStyle w:val="Heading1"/>
      </w:pPr>
      <w:r>
        <w:t>28. 最终研究边界</w:t>
      </w:r>
      <w:bookmarkEnd w:id="40"/>
    </w:p>
    <w:p>
      <w:r>
        <w:rPr>
          <w:rFonts w:ascii="Source Han Sans CN" w:hAnsi="Source Han Sans CN" w:eastAsia="Source Han Sans CN"/>
          <w:color w:val="222222"/>
          <w:sz w:val="21"/>
        </w:rPr>
        <w:t>[PROJECT_EVIDENCE] 已支持实现、结构、zero-correction、reference与topology组成分量；不支持Stage01 V2恢复、static fit资格、多步梯度资格、dynamic training、rollout、solver improvement、Transformer superiority或cost utility。</w:t>
      </w:r>
    </w:p>
    <w:p>
      <w:r>
        <w:t>最终允许/禁止措辞见</w:t>
      </w:r>
      <w:hyperlink w:anchor="tbl2">
        <w:r>
          <w:rPr>
            <w:color w:val="2E74B5"/>
            <w:u w:val="single"/>
            <w:rFonts w:eastAsia="Source Han Sans CN" w:ascii="Source Han Sans CN" w:hAnsi="Source Han Sans CN"/>
          </w:rPr>
          <w:t>表 2</w:t>
        </w:r>
      </w:hyperlink>
      <w:r>
        <w:t>。</w:t>
      </w:r>
    </w:p>
    <w:p>
      <w:bookmarkStart w:id="41" w:name="tbl2"/>
      <w:pPr>
        <w:pStyle w:val="Caption"/>
        <w:spacing w:before="80" w:after="80"/>
        <w:jc w:val="center"/>
      </w:pPr>
      <w:r>
        <w:rPr>
          <w:rFonts w:ascii="Source Han Sans CN" w:hAnsi="Source Han Sans CN" w:eastAsia="Source Han Sans CN"/>
          <w:b/>
          <w:color w:val="1F4D78"/>
          <w:sz w:val="18"/>
        </w:rPr>
        <w:t>表 2｜全项目主张边界</w:t>
      </w:r>
      <w:bookmarkEnd w:id="41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ID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分类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允许措辞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禁止措辞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C01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SUPPORTED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Stage03C实现已验证。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动态模型整体已验证并优于基线。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C02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SUPPORTED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zero correction对D0为288/288 bitwise等价。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训练后仍保证所有轨迹bitwise等价。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C03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SUPPORTED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K1/K2 pair antisymmetry硬保证线动量守恒。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所有物理守恒与耗散均已验证。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C04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SUPPORTED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TE1 cutoff birth/death拓扑分量通过6/6 replay和12/12 fixed-side gradients。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neighbor search整体可微。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C05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CONDITIONAL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360 probes中216具有stable epsilon windows。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多步梯度已资格化。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C06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SUPPORTED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static pair-force fitting v0.2未资格。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静态pair correction不可学习的一般定律。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C07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SUPPORTED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多步AD/FD整体未资格。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梯度完全错误或完全不可用。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C08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NOT_TESTED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dynamic training未授权且未执行。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已训练动态Transformer。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C09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NOT_TESTED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autonomous rollout未执行。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rollout稳定或优于SPH。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C10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UNSUPPORTED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Stage01最终仍为V2_QUALIFICATION_FAIL。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Stage01 V2已恢复。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C11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UNSUPPORTED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K2结构资格化但attention superiority未建立。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Transformer优于MLP。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C12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NOT_TESTED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full solver improvement/cost/utility未执行。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求解器更准确、更快或更便宜。</w:t>
            </w:r>
          </w:p>
        </w:tc>
      </w:tr>
    </w:tbl>
    <w:p>
      <w:bookmarkStart w:id="42" w:name="sec030"/>
      <w:pPr>
        <w:pStyle w:val="Heading1"/>
      </w:pPr>
      <w:r>
        <w:t>29. artifact/hash index</w:t>
      </w:r>
      <w:bookmarkEnd w:id="42"/>
    </w:p>
    <w:p>
      <w:r>
        <w:rPr>
          <w:rFonts w:ascii="Source Han Sans CN" w:hAnsi="Source Han Sans CN" w:eastAsia="Source Han Sans CN"/>
          <w:color w:val="222222"/>
          <w:sz w:val="21"/>
        </w:rPr>
        <w:t>[PROJECT_EVIDENCE] 冻结输入4889项、788536770 bytes；Git HEAD ff86f5e0b99966ad6fa5896fe3d9a0c3f001cd57。完整路径/哈希/大小/mtime/角色/manifest membership见00_freeze/project_wide_input_freeze_manifest.json与01_artifact_inventory/complete_artifact_inventory.json。</w:t>
      </w:r>
    </w:p>
    <w:p>
      <w:bookmarkStart w:id="43" w:name="secA"/>
      <w:pPr>
        <w:pStyle w:val="Heading1"/>
      </w:pPr>
      <w:r>
        <w:t>附录 A｜阶段状态与证据索引</w:t>
      </w:r>
      <w:bookmarkEnd w:id="43"/>
    </w:p>
    <w:p>
      <w:bookmarkStart w:id="44" w:name="tbl1"/>
      <w:pPr>
        <w:pStyle w:val="Caption"/>
        <w:spacing w:before="80" w:after="80"/>
        <w:jc w:val="center"/>
      </w:pPr>
      <w:r>
        <w:rPr>
          <w:rFonts w:ascii="Source Han Sans CN" w:hAnsi="Source Han Sans CN" w:eastAsia="Source Han Sans CN"/>
          <w:b/>
          <w:color w:val="1F4D78"/>
          <w:sz w:val="18"/>
        </w:rPr>
        <w:t>表 1｜关键里程碑状态账本</w:t>
      </w:r>
      <w:bookmarkEnd w:id="44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阶段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exact status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主要阻断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机器/冻结证据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00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CONDITIONAL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完整diffSPH求解器未在该阶段运行。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07_reports/stage_00_summary.md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01B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V1_FAIL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V2/TGV未授权。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07_reports/stage_01b_final_vv_report.md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01D2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STAGE01D2_V2_REQUALIFICATION_FAIL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不能进入V3。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06_experiments/stage_01d2_v2_requalification/results/stage01d2_evaluation.json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01G execution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V2_QUALIFICATION_FAIL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SHEAR3衰减误差。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06_experiments/stage_01g_validation_execution/results/stage01g_evaluation_reapplication_01.json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01H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VISCOSITY_DIAGNOSIS_COMPLETE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支持尺度与分辨率共变。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06_experiments/stage_01h_viscous_decay_diagnosis/results/stage01h_evaluation.json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02K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PAIR_FORCE_PIO_ARCHITECTURE_QUALIFIED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未训练；结构正确性不证明 learnability。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07_reports/stage02k_final_report.md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02M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STATIC_PAIR_FORCE_FITTING_NOT_QUALIFIED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K1/K2 未满足冻结 A-E，训练拟合失败。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07_reports/stage02m_final_report.md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02M-Q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STATIC_PAIR_FORCE_FITTING_V02_NOT_QUALIFIED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K1 train gate 0/3、K2 train gate 1/3；均未达 B 的2/3。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07_reports/stage02mq_final_report.md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03A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DYNAMIC_HYBRID_SOLVER_SPECIFICATION_COMPLETE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尚无动态实现、trajectory payload 或计算资格化。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stage_03_Dynamic_SPH_Transformer_Hybrid/10_manifests/stage03a_final_manifest.json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03B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DYNAMIC_REFERENCE_TRAJECTORY_QUALIFICATION_COMPLETE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acoustic 仅 linear-regime conditional；periodic vortex 不是 exact source-free reference；D-R4 不可用。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stage_03_Dynamic_SPH_Transformer_Hybrid/10_manifests/stage03b_final_manifest.json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03C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DYNAMIC_RK2_HYBRID_IMPLEMENTATION_VERIFIED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未执行 multistep AD/FD、训练或 rollout 性能评价。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stage_03_Dynamic_SPH_Transformer_Hybrid/10_manifests/stage03c_final_manifest.json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03D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DYNAMIC_MULTISTEP_ADFD_AND_TOPOLOGY_NOT_QUALIFIED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144/360 probes failure；history gradient 0/6；固定拓扑 AD/FD 与 history gate 未通过。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stage_03_Dynamic_SPH_Transformer_Hybrid/10_manifests/stage03d_final_manifest.json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03D-R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DYNAMIC_GRADIENT_FAILURE_MIXED_OR_UNRESOLVED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19 unresolved；多类 FD conditioning/non-smooth/structural-zero 贡献并存；history rollout influence strongly attenuated。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stage_03_Dynamic_SPH_Transformer_Hybrid/10_manifests/stage03dr_final_manifest.json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03D-S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STAGE03_ROUTE_PAUSED_GRADIENT_BOUNDARY_COMPLETE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多步梯度未资格。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stage_03_Dynamic_SPH_Transformer_Hybrid/10_manifests/stage03ds_final_manifest.json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Publication P1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PUBLICATION_EVIDENCE_LOCK_AND_DRAFT_V01_COMPLETE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仍需外部文献定位。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publication/verification_first_dynamic_neural_sph_v0_1/10_manifests/publication_p1_final_manifest.json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Publication P2</w:t>
            </w:r>
          </w:p>
        </w:tc>
        <w:tc>
          <w:tcPr>
            <w:tcW w:type="dxa" w:w="2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PUBLICATION_LITERATURE_VERIFICATION_AND_POSITIONING_COMPLETE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项目后续Stage04仍未知。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publication/verification_first_dynamic_neural_sph_v0_1/11_literature_verification/manifests/publication_p2_final_manifest.json</w:t>
            </w:r>
          </w:p>
        </w:tc>
      </w:tr>
    </w:tbl>
    <w:p>
      <w:bookmarkStart w:id="45" w:name="secB"/>
      <w:pPr>
        <w:pStyle w:val="Heading1"/>
      </w:pPr>
      <w:r>
        <w:t>附录 B｜A–R失败类别总览</w:t>
      </w:r>
      <w:bookmarkEnd w:id="45"/>
    </w:p>
    <w:p>
      <w:bookmarkStart w:id="46" w:name="tbl3"/>
      <w:pPr>
        <w:pStyle w:val="Caption"/>
        <w:spacing w:before="80" w:after="80"/>
        <w:jc w:val="center"/>
      </w:pPr>
      <w:r>
        <w:rPr>
          <w:rFonts w:ascii="Source Han Sans CN" w:hAnsi="Source Han Sans CN" w:eastAsia="Source Han Sans CN"/>
          <w:b/>
          <w:color w:val="1F4D78"/>
          <w:sz w:val="18"/>
        </w:rPr>
        <w:t>表 3｜失败类别、历史状态与方法学后果</w:t>
      </w:r>
      <w:bookmarkEnd w:id="46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ID/类别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阶段/状态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直接原因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Source Han Sans CN" w:hAnsi="Source Han Sans CN" w:eastAsia="Source Han Sans CN"/>
                <w:b/>
                <w:color w:val="17324D"/>
                <w:sz w:val="16"/>
              </w:rPr>
              <w:t>方法学后果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F-A01 A 环境与依赖问题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00/01G-R / CONDITIONAL / EXECUTION_INFRA_READY_FOR_BENCHMARK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平台/依赖边界而非科学模型失败。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要求CPU canonical与基础设施/科学失败分离。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F-B01 B 数值实现错误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01B / V1_FAIL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上游接口和执行栈缺陷。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推动Stage01C项目侧唯一pair几何/native AD。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F-C01 C 守恒/对称结构问题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01B / V1_FAIL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离散作用结构不是事后数值噪声。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推动对称非负pair作用及K1/K2硬结构。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F-D01 D 资源和内存问题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01D–D-P / V2_FAIL → POLICY_PASS_ISOLATED_DEFAULT_GC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retired对象受GC延迟、topology与fixture语义共同影响。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旧V2失败保留，但建立隔离子进程资源政策。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F-E01 E 模型形式不一致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01E / E_MODEL_FORM_ALIGNMENT_DOMINANT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不可压TGV压力与WCSPH EOS初始化不一致。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推动WCSPH-compatible MMS。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F-F01 F reference specification问题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01F3 / MMS_CONVERGENCE_VERIFICATION_FAIL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continuum truth、semidiscrete time truth与spatial truth角色混淆。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Stage01F3-R建立dense-equivalent same-semidiscrete DOP853。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F-G01 G solution verification问题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01D2/01F3B/01G / V2_QUALIFICATION_FAIL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有限分辨率、支持尺度共变与门设计敏感性。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形成plateau-aware protocol与finite-resolution边界。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F-H01 H target attribution问题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02D–I / QUALIFIED_SPATIAL_TARGET_POOL_NOT_READY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高分辨率SPH并非自动truth。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推动R2S、Fourier/analytic与pair-only scope。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F-I01 I dataset lineage/leakage问题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02J / CONTROLLED_REGULAR_DATASET_NOT_READY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粒子/边/patch随机切分会泄漏。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Stage02J-W形成4 lineage、10/5/5 blind split。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F-J01 J regularity contract问题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02J-S/T/V / REGULARITY_HARD_GATE_ROUTE_TERMINATED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regularity统计量不足以作为必要且稳定的资格硬门。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hard-gate路线终止；regularity降为diagnostic。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F-K01 K architecture representability问题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02K / PAIR_FORCE_PIO_ARCHITECTURE_QUALIFIED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此类别未观察架构硬失败，但representability不等于learnability。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允许进入协议，但不宣称Transformer优越。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F-L01 L optimization conditioning问题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02M-R / STATIC_FITTING_FAILURE_ATTRIBUTED_OPTIMIZATION_CONDITIONING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优化conditioning与尺度影响训练门。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促成v0.2监督尺度与新blind families。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F-M01 M static learnability问题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02M/M-Q / STATIC_PAIR_FORCE_FITTING_V02_NOT_QUALIFIED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train-fit硬门未满足，即使validation/test transfer与守恒通过。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static route终止；Stage02N未授权。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F-N01 N dynamic implementation问题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03C / DYNAMIC_RK2_HYBRID_IMPLEMENTATION_VERIFIED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未观察实现硬失败；多步问题属于后续资格层。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授权Stage03D而不授权训练。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F-O01 O multistep differentiability问题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03D/03D-R / DYNAMIC_MULTISTEP_ADFD_AND_TOPOLOGY_NOT_QUALIFIED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固定拓扑AD/FD稳定窗及history门失败。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Stage03E未授权；路线暂停。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F-P01 P topology-event问题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03D / TOPOLOGY_EVENT_COMPONENT_QUALIFIED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拓扑分量是piecewise-smooth边界，不代表可微neighbor search。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保留为QUALIFIED_COMPONENT。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F-Q01 Q evidence/provenance问题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01F5-P/P1/P2 / EXECUTION_MANIFEST_INCOMPLETE → repaired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复杂工作流中合同完整性本身是资格前置。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引入freeze、sealed test、delta manifest与claim audit。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F-R01 R 未执行或未授权事项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Stage 02/03 / NOT_AUTHORIZED / NOT_EXECUTED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上游static fit和multistep gradient未资格。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Source Han Sans CN" w:hAnsi="Source Han Sans CN" w:eastAsia="Source Han Sans CN"/>
                <w:color w:val="222222"/>
                <w:sz w:val="15"/>
              </w:rPr>
              <w:t>不得产生性能或优越性主张。</w:t>
            </w:r>
          </w:p>
        </w:tc>
      </w:tr>
    </w:tbl>
    <w:p>
      <w:bookmarkStart w:id="47" w:name="secC"/>
      <w:pPr>
        <w:pStyle w:val="Heading1"/>
      </w:pPr>
      <w:r>
        <w:t>附录 C｜文档导航与可访问性说明</w:t>
      </w:r>
      <w:bookmarkEnd w:id="47"/>
    </w:p>
    <w:p>
      <w:r>
        <w:rPr>
          <w:rFonts w:ascii="Source Han Sans CN" w:hAnsi="Source Han Sans CN" w:eastAsia="Source Han Sans CN"/>
          <w:sz w:val="21"/>
        </w:rPr>
        <w:t>目录条目使用内部书签链接；页脚包含动态PAGE字段；图1和图2均写入替代文本；表1–3首行标记为重复表头。正文引用图表使用内部链接。字体采用Source Han Sans CN命名覆盖以稳定中文渲染。</w:t>
      </w:r>
    </w:p>
    <w:p>
      <w:hyperlink w:anchor="TOC">
        <w:r>
          <w:rPr>
            <w:color w:val="2E74B5"/>
            <w:u w:val="single"/>
            <w:rFonts w:eastAsia="Source Han Sans CN" w:ascii="Source Han Sans CN" w:hAnsi="Source Han Sans CN"/>
          </w:rPr>
          <w:t>返回目录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urce Han Sans CN" w:hAnsi="Source Han Sans CN" w:eastAsia="Source Han Sans CN"/>
        <w:color w:val="5E6B76"/>
        <w:sz w:val="17"/>
      </w:rPr>
      <w:t xml:space="preserve">Cross-Stage Synthesis S1  ·  </w:t>
    </w:r>
    <w:r>
      <w:rPr>
        <w:rFonts w:ascii="Source Han Sans CN" w:hAnsi="Source Han Sans CN" w:eastAsia="Source Han Sans CN"/>
        <w:color w:val="5E6B7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Han Sans CN" w:hAnsi="Source Han Sans CN" w:eastAsia="Source Han Sans CN"/>
        <w:color w:val="5E6B76"/>
        <w:sz w:val="17"/>
      </w:rPr>
      <w:t>SPH-PIO-PoC｜Project-Wide Evidence Synthesis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Source Han Sans CN" w:hAnsi="Source Han Sans CN" w:eastAsia="Source Han Sans C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Han Sans CN" w:hAnsi="Source Han Sans CN" w:eastAsia="Source Han Sans CN"/>
      <w:b/>
      <w:bCs/>
      <w:color w:val="1F4D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