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p>
    <w:p>
      <w:pPr>
        <w:spacing w:after="280"/>
        <w:jc w:val="center"/>
      </w:pPr>
      <w:r>
        <w:rPr>
          <w:rFonts w:ascii="Hiragino Sans GB" w:hAnsi="Hiragino Sans GB" w:eastAsia="Hiragino Sans GB"/>
          <w:b/>
          <w:color w:val="7A5A00"/>
          <w:sz w:val="24"/>
        </w:rPr>
        <w:t>SPH-PIO-PoC</w:t>
      </w:r>
    </w:p>
    <w:p>
      <w:pPr>
        <w:spacing w:after="160"/>
        <w:jc w:val="center"/>
      </w:pPr>
      <w:r>
        <w:rPr>
          <w:rFonts w:ascii="Hiragino Sans GB" w:hAnsi="Hiragino Sans GB" w:eastAsia="Hiragino Sans GB"/>
          <w:b/>
          <w:color w:val="0B2545"/>
          <w:sz w:val="60"/>
        </w:rPr>
        <w:t>Stage 01 全量研究记录</w:t>
      </w:r>
    </w:p>
    <w:p>
      <w:pPr>
        <w:spacing w:after="440"/>
        <w:jc w:val="center"/>
      </w:pPr>
      <w:r>
        <w:rPr>
          <w:rFonts w:ascii="Hiragino Sans GB" w:hAnsi="Hiragino Sans GB" w:eastAsia="Hiragino Sans GB"/>
          <w:color w:val="1F4D78"/>
          <w:sz w:val="30"/>
        </w:rPr>
        <w:t>从环境验证、结构保持算子到独立验证失败诊断</w:t>
      </w:r>
    </w:p>
    <w:p>
      <w:pPr>
        <w:spacing w:after="100"/>
        <w:jc w:val="center"/>
      </w:pPr>
      <w:r>
        <w:rPr>
          <w:rFonts w:ascii="Hiragino Sans GB" w:hAnsi="Hiragino Sans GB" w:eastAsia="Hiragino Sans GB"/>
          <w:b/>
          <w:color w:val="5B6573"/>
          <w:sz w:val="21"/>
        </w:rPr>
        <w:t>文档用途：</w:t>
      </w:r>
      <w:r>
        <w:rPr>
          <w:rFonts w:ascii="Hiragino Sans GB" w:hAnsi="Hiragino Sans GB" w:eastAsia="Hiragino Sans GB"/>
          <w:color w:val="000000"/>
          <w:sz w:val="21"/>
        </w:rPr>
        <w:t>未来论文初稿框架与 Stage 02 知识基线</w:t>
      </w:r>
    </w:p>
    <w:p>
      <w:pPr>
        <w:spacing w:after="100"/>
        <w:jc w:val="center"/>
      </w:pPr>
      <w:r>
        <w:rPr>
          <w:rFonts w:ascii="Hiragino Sans GB" w:hAnsi="Hiragino Sans GB" w:eastAsia="Hiragino Sans GB"/>
          <w:b/>
          <w:color w:val="5B6573"/>
          <w:sz w:val="21"/>
        </w:rPr>
        <w:t>事实截止：</w:t>
      </w:r>
      <w:r>
        <w:rPr>
          <w:rFonts w:ascii="Hiragino Sans GB" w:hAnsi="Hiragino Sans GB" w:eastAsia="Hiragino Sans GB"/>
          <w:color w:val="000000"/>
          <w:sz w:val="21"/>
        </w:rPr>
        <w:t>2026-08-04，基于冻结 Stage 00–01H 研究证据</w:t>
      </w:r>
    </w:p>
    <w:p>
      <w:pPr>
        <w:spacing w:after="100"/>
        <w:jc w:val="center"/>
      </w:pPr>
      <w:r>
        <w:rPr>
          <w:rFonts w:ascii="Hiragino Sans GB" w:hAnsi="Hiragino Sans GB" w:eastAsia="Hiragino Sans GB"/>
          <w:b/>
          <w:color w:val="5B6573"/>
          <w:sz w:val="21"/>
        </w:rPr>
        <w:t>完整性原则：</w:t>
      </w:r>
      <w:r>
        <w:rPr>
          <w:rFonts w:ascii="Hiragino Sans GB" w:hAnsi="Hiragino Sans GB" w:eastAsia="Hiragino Sans GB"/>
          <w:color w:val="000000"/>
          <w:sz w:val="21"/>
        </w:rPr>
        <w:t>保留 PASS / FAIL / INCOMPLETE；不追溯修改历史状态</w:t>
      </w:r>
    </w:p>
    <w:p>
      <w:pPr>
        <w:spacing w:after="68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研究诚信声明  </w:t>
            </w:r>
            <w:r>
              <w:rPr>
                <w:rFonts w:ascii="Hiragino Sans GB" w:hAnsi="Hiragino Sans GB" w:eastAsia="Hiragino Sans GB"/>
                <w:color w:val="000000"/>
                <w:sz w:val="21"/>
              </w:rPr>
              <w:t>本文将设计通过、实现通过、诊断完成与科学资格严格区分。Stage 01D / 01D2 和 Stage 01G 的 V2 失败保持有效；后续诊断与受控重试不用于美化或覆盖失败。</w:t>
            </w:r>
          </w:p>
        </w:tc>
      </w:tr>
    </w:tbl>
    <w:p>
      <w:pPr>
        <w:spacing w:after="40"/>
      </w:pPr>
    </w:p>
    <w:p>
      <w:r>
        <w:br w:type="page"/>
      </w:r>
    </w:p>
    <w:p>
      <w:pPr>
        <w:pStyle w:val="Heading1"/>
      </w:pPr>
      <w:r>
        <w:t>文档说明与状态口径</w:t>
      </w:r>
    </w:p>
    <w:p>
      <w:pPr/>
      <w:r>
        <w:rPr>
          <w:rFonts w:ascii="Hiragino Sans GB" w:hAnsi="Hiragino Sans GB" w:eastAsia="Hiragino Sans GB"/>
          <w:color w:val="000000"/>
          <w:sz w:val="22"/>
        </w:rPr>
        <w:t>本记录把 Stage 00–01H 的长证据链压缩为可直接进入论文初稿的研究叙事。正文优先保留可复现方法、关键量化结果、失败机制与结论边界；路径和状态名称用于追溯原始报告，但本文件不替代机器证据。</w:t>
      </w:r>
    </w:p>
    <w:p>
      <w:pPr/>
      <w:r>
        <w:rPr>
          <w:rFonts w:ascii="Hiragino Sans GB" w:hAnsi="Hiragino Sans GB" w:eastAsia="Hiragino Sans GB"/>
          <w:color w:val="000000"/>
          <w:sz w:val="22"/>
        </w:rPr>
        <w:t>状态类别采用三值口径：PASS 表示该阶段预注册目标或诊断目标完成；FAIL 表示至少一个必要科学/形式门失败；INCOMPLETE 表示缺少授权、执行、参考、provenance 或唯一归因。精确机器状态同时保留，避免把“诊断完成”误写为“V2 通过”。</w:t>
      </w:r>
    </w:p>
    <w:p>
      <w:pPr>
        <w:pStyle w:val="Heading2"/>
      </w:pPr>
      <w:r>
        <w:t>关键状态总表</w:t>
      </w:r>
    </w:p>
    <w:tbl>
      <w:tblPr>
        <w:tblStyle w:val="TableGrid"/>
        <w:tblW w:type="dxa" w:w="9360"/>
        <w:jc w:val="left"/>
        <w:tblLayout w:type="fixed"/>
        <w:tblLook w:firstColumn="1" w:firstRow="1" w:lastColumn="0" w:lastRow="0" w:noHBand="0" w:noVBand="1" w:val="04A0"/>
        <w:tblInd w:w="120" w:type="dxa"/>
      </w:tblPr>
      <w:tblGrid>
        <w:gridCol w:w="1000"/>
        <w:gridCol w:w="1400"/>
        <w:gridCol w:w="3300"/>
        <w:gridCol w:w="3660"/>
      </w:tblGrid>
      <w:tr>
        <w:trPr>
          <w:tblHeader w:val="true"/>
          <w:cantSplit w:val="true"/>
        </w:trPr>
        <w:tc>
          <w:tcPr>
            <w:tcW w:type="dxa" w:w="1000"/>
            <w:vAlign w:val="center"/>
            <w:tcMar>
              <w:top w:w="80" w:type="dxa"/>
              <w:start w:w="120" w:type="dxa"/>
              <w:bottom w:w="80" w:type="dxa"/>
              <w:end w:w="120" w:type="dxa"/>
            </w:tcMar>
            <w:shd w:fill="E8EEF5"/>
          </w:tcPr>
          <w:p>
            <w:pPr>
              <w:jc w:val="center"/>
            </w:pPr>
            <w:r>
              <w:rPr>
                <w:rFonts w:ascii="Hiragino Sans GB" w:hAnsi="Hiragino Sans GB" w:eastAsia="Hiragino Sans GB"/>
                <w:b/>
                <w:color w:val="0B2545"/>
                <w:sz w:val="19"/>
              </w:rPr>
              <w:t>阶段</w:t>
            </w:r>
          </w:p>
        </w:tc>
        <w:tc>
          <w:tcPr>
            <w:tcW w:type="dxa" w:w="1400"/>
            <w:vAlign w:val="center"/>
            <w:tcMar>
              <w:top w:w="80" w:type="dxa"/>
              <w:start w:w="120" w:type="dxa"/>
              <w:bottom w:w="80" w:type="dxa"/>
              <w:end w:w="120" w:type="dxa"/>
            </w:tcMar>
            <w:shd w:fill="E8EEF5"/>
          </w:tcPr>
          <w:p>
            <w:pPr>
              <w:jc w:val="center"/>
            </w:pPr>
            <w:r>
              <w:rPr>
                <w:rFonts w:ascii="Hiragino Sans GB" w:hAnsi="Hiragino Sans GB" w:eastAsia="Hiragino Sans GB"/>
                <w:b/>
                <w:color w:val="0B2545"/>
                <w:sz w:val="19"/>
              </w:rPr>
              <w:t>类别</w:t>
            </w:r>
          </w:p>
        </w:tc>
        <w:tc>
          <w:tcPr>
            <w:tcW w:type="dxa" w:w="3300"/>
            <w:vAlign w:val="center"/>
            <w:tcMar>
              <w:top w:w="80" w:type="dxa"/>
              <w:start w:w="120" w:type="dxa"/>
              <w:bottom w:w="80" w:type="dxa"/>
              <w:end w:w="120" w:type="dxa"/>
            </w:tcMar>
            <w:shd w:fill="E8EEF5"/>
          </w:tcPr>
          <w:p>
            <w:pPr>
              <w:jc w:val="center"/>
            </w:pPr>
            <w:r>
              <w:rPr>
                <w:rFonts w:ascii="Hiragino Sans GB" w:hAnsi="Hiragino Sans GB" w:eastAsia="Hiragino Sans GB"/>
                <w:b/>
                <w:color w:val="0B2545"/>
                <w:sz w:val="19"/>
              </w:rPr>
              <w:t>冻结状态</w:t>
            </w:r>
          </w:p>
        </w:tc>
        <w:tc>
          <w:tcPr>
            <w:tcW w:type="dxa" w:w="3660"/>
            <w:vAlign w:val="center"/>
            <w:tcMar>
              <w:top w:w="80" w:type="dxa"/>
              <w:start w:w="120" w:type="dxa"/>
              <w:bottom w:w="80" w:type="dxa"/>
              <w:end w:w="120" w:type="dxa"/>
            </w:tcMar>
            <w:shd w:fill="E8EEF5"/>
          </w:tcPr>
          <w:p>
            <w:pPr>
              <w:jc w:val="center"/>
            </w:pPr>
            <w:r>
              <w:rPr>
                <w:rFonts w:ascii="Hiragino Sans GB" w:hAnsi="Hiragino Sans GB" w:eastAsia="Hiragino Sans GB"/>
                <w:b/>
                <w:color w:val="0B2545"/>
                <w:sz w:val="19"/>
              </w:rPr>
              <w:t>事实边界</w:t>
            </w:r>
          </w:p>
        </w:tc>
      </w:tr>
      <w:tr>
        <w:trPr>
          <w:cantSplit w:val="true"/>
        </w:trPr>
        <w:tc>
          <w:tcPr>
            <w:tcW w:type="dxa" w:w="1000"/>
          </w:tcPr>
          <w:p>
            <w:pPr>
              <w:spacing w:after="0"/>
              <w:jc w:val="center"/>
            </w:pPr>
            <w:r>
              <w:rPr>
                <w:rFonts w:ascii="Hiragino Sans GB" w:hAnsi="Hiragino Sans GB" w:eastAsia="Hiragino Sans GB"/>
                <w:b w:val="0"/>
                <w:color w:val="000000"/>
                <w:sz w:val="17"/>
              </w:rPr>
              <w:t>Stage 00</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ENVIRONMENT_CHECKS_PASS</w:t>
            </w:r>
          </w:p>
        </w:tc>
        <w:tc>
          <w:tcPr>
            <w:tcW w:type="dxa" w:w="3660"/>
          </w:tcPr>
          <w:p>
            <w:pPr>
              <w:spacing w:after="0"/>
              <w:jc w:val="left"/>
            </w:pPr>
            <w:r>
              <w:rPr>
                <w:rFonts w:ascii="Hiragino Sans GB" w:hAnsi="Hiragino Sans GB" w:eastAsia="Hiragino Sans GB"/>
                <w:b w:val="0"/>
                <w:color w:val="000000"/>
                <w:sz w:val="17"/>
              </w:rPr>
              <w:t>CPU/MPS 基础操作通过；完整 diffSPH solver execution 仍为 INCOMPLETE。</w:t>
            </w:r>
          </w:p>
        </w:tc>
      </w:tr>
      <w:tr>
        <w:trPr>
          <w:cantSplit w:val="true"/>
        </w:trPr>
        <w:tc>
          <w:tcPr>
            <w:tcW w:type="dxa" w:w="1000"/>
          </w:tcPr>
          <w:p>
            <w:pPr>
              <w:spacing w:after="0"/>
              <w:jc w:val="center"/>
            </w:pPr>
            <w:r>
              <w:rPr>
                <w:rFonts w:ascii="Hiragino Sans GB" w:hAnsi="Hiragino Sans GB" w:eastAsia="Hiragino Sans GB"/>
                <w:b w:val="0"/>
                <w:color w:val="000000"/>
                <w:sz w:val="17"/>
              </w:rPr>
              <w:t>Stage 01C</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C1_PASS_C2_PASS_C3_PASS_C4_PASS</w:t>
            </w:r>
          </w:p>
        </w:tc>
        <w:tc>
          <w:tcPr>
            <w:tcW w:type="dxa" w:w="3660"/>
          </w:tcPr>
          <w:p>
            <w:pPr>
              <w:spacing w:after="0"/>
              <w:jc w:val="left"/>
            </w:pPr>
            <w:r>
              <w:rPr>
                <w:rFonts w:ascii="Hiragino Sans GB" w:hAnsi="Hiragino Sans GB" w:eastAsia="Hiragino Sans GB"/>
                <w:b w:val="0"/>
                <w:color w:val="000000"/>
                <w:sz w:val="17"/>
              </w:rPr>
              <w:t>邻域、统计一致性、守恒、固定邻域 AD 全通过；未运行 V2/TGV。</w:t>
            </w:r>
          </w:p>
        </w:tc>
      </w:tr>
      <w:tr>
        <w:trPr>
          <w:cantSplit w:val="true"/>
        </w:trPr>
        <w:tc>
          <w:tcPr>
            <w:tcW w:type="dxa" w:w="1000"/>
          </w:tcPr>
          <w:p>
            <w:pPr>
              <w:spacing w:after="0"/>
              <w:jc w:val="center"/>
            </w:pPr>
            <w:r>
              <w:rPr>
                <w:rFonts w:ascii="Hiragino Sans GB" w:hAnsi="Hiragino Sans GB" w:eastAsia="Hiragino Sans GB"/>
                <w:b w:val="0"/>
                <w:color w:val="000000"/>
                <w:sz w:val="17"/>
              </w:rPr>
              <w:t>Stage 01D</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V2_FAIL</w:t>
            </w:r>
          </w:p>
        </w:tc>
        <w:tc>
          <w:tcPr>
            <w:tcW w:type="dxa" w:w="3660"/>
          </w:tcPr>
          <w:p>
            <w:pPr>
              <w:spacing w:after="0"/>
              <w:jc w:val="left"/>
            </w:pPr>
            <w:r>
              <w:rPr>
                <w:rFonts w:ascii="Hiragino Sans GB" w:hAnsi="Hiragino Sans GB" w:eastAsia="Hiragino Sans GB"/>
                <w:b w:val="0"/>
                <w:color w:val="000000"/>
                <w:sz w:val="17"/>
              </w:rPr>
              <w:t>N32 资源门触发；旧失败被后续全部阶段冻结。</w:t>
            </w:r>
          </w:p>
        </w:tc>
      </w:tr>
      <w:tr>
        <w:trPr>
          <w:cantSplit w:val="true"/>
        </w:trPr>
        <w:tc>
          <w:tcPr>
            <w:tcW w:type="dxa" w:w="1000"/>
          </w:tcPr>
          <w:p>
            <w:pPr>
              <w:spacing w:after="0"/>
              <w:jc w:val="center"/>
            </w:pPr>
            <w:r>
              <w:rPr>
                <w:rFonts w:ascii="Hiragino Sans GB" w:hAnsi="Hiragino Sans GB" w:eastAsia="Hiragino Sans GB"/>
                <w:b w:val="0"/>
                <w:color w:val="000000"/>
                <w:sz w:val="17"/>
              </w:rPr>
              <w:t>Stage 01D-R</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RESOURCE_FAIL_LINEAR_GROWTH</w:t>
            </w:r>
          </w:p>
        </w:tc>
        <w:tc>
          <w:tcPr>
            <w:tcW w:type="dxa" w:w="3660"/>
          </w:tcPr>
          <w:p>
            <w:pPr>
              <w:spacing w:after="0"/>
              <w:jc w:val="left"/>
            </w:pPr>
            <w:r>
              <w:rPr>
                <w:rFonts w:ascii="Hiragino Sans GB" w:hAnsi="Hiragino Sans GB" w:eastAsia="Hiragino Sans GB"/>
                <w:b w:val="0"/>
                <w:color w:val="000000"/>
                <w:sz w:val="17"/>
              </w:rPr>
              <w:t>post-warm-up 资源资格未通过。</w:t>
            </w:r>
          </w:p>
        </w:tc>
      </w:tr>
      <w:tr>
        <w:trPr>
          <w:cantSplit w:val="true"/>
        </w:trPr>
        <w:tc>
          <w:tcPr>
            <w:tcW w:type="dxa" w:w="1000"/>
          </w:tcPr>
          <w:p>
            <w:pPr>
              <w:spacing w:after="0"/>
              <w:jc w:val="center"/>
            </w:pPr>
            <w:r>
              <w:rPr>
                <w:rFonts w:ascii="Hiragino Sans GB" w:hAnsi="Hiragino Sans GB" w:eastAsia="Hiragino Sans GB"/>
                <w:b w:val="0"/>
                <w:color w:val="000000"/>
                <w:sz w:val="17"/>
              </w:rPr>
              <w:t>Stage 01D-R2</w:t>
            </w:r>
          </w:p>
        </w:tc>
        <w:tc>
          <w:tcPr>
            <w:tcW w:type="dxa" w:w="1400"/>
          </w:tcPr>
          <w:p>
            <w:pPr>
              <w:spacing w:after="0"/>
              <w:jc w:val="center"/>
            </w:pPr>
            <w:r>
              <w:rPr>
                <w:rFonts w:ascii="Hiragino Sans GB" w:hAnsi="Hiragino Sans GB" w:eastAsia="Hiragino Sans GB"/>
                <w:b/>
                <w:color w:val="7A5A00"/>
                <w:sz w:val="17"/>
              </w:rPr>
              <w:t>INCOMPLETE</w:t>
            </w:r>
          </w:p>
        </w:tc>
        <w:tc>
          <w:tcPr>
            <w:tcW w:type="dxa" w:w="3300"/>
          </w:tcPr>
          <w:p>
            <w:pPr>
              <w:spacing w:after="0"/>
              <w:jc w:val="center"/>
            </w:pPr>
            <w:r>
              <w:rPr>
                <w:rFonts w:ascii="Hiragino Sans GB" w:hAnsi="Hiragino Sans GB" w:eastAsia="Hiragino Sans GB"/>
                <w:b/>
                <w:color w:val="000000"/>
                <w:sz w:val="17"/>
              </w:rPr>
              <w:t>ATTRIBUTION_UNRESOLVED</w:t>
            </w:r>
          </w:p>
        </w:tc>
        <w:tc>
          <w:tcPr>
            <w:tcW w:type="dxa" w:w="3660"/>
          </w:tcPr>
          <w:p>
            <w:pPr>
              <w:spacing w:after="0"/>
              <w:jc w:val="left"/>
            </w:pPr>
            <w:r>
              <w:rPr>
                <w:rFonts w:ascii="Hiragino Sans GB" w:hAnsi="Hiragino Sans GB" w:eastAsia="Hiragino Sans GB"/>
                <w:b w:val="0"/>
                <w:color w:val="000000"/>
                <w:sz w:val="17"/>
              </w:rPr>
              <w:t>固定拓扑控制仅 3/6；归因不足。</w:t>
            </w:r>
          </w:p>
        </w:tc>
      </w:tr>
      <w:tr>
        <w:trPr>
          <w:cantSplit w:val="true"/>
        </w:trPr>
        <w:tc>
          <w:tcPr>
            <w:tcW w:type="dxa" w:w="1000"/>
          </w:tcPr>
          <w:p>
            <w:pPr>
              <w:spacing w:after="0"/>
              <w:jc w:val="center"/>
            </w:pPr>
            <w:r>
              <w:rPr>
                <w:rFonts w:ascii="Hiragino Sans GB" w:hAnsi="Hiragino Sans GB" w:eastAsia="Hiragino Sans GB"/>
                <w:b w:val="0"/>
                <w:color w:val="000000"/>
                <w:sz w:val="17"/>
              </w:rPr>
              <w:t>Stage 01D-R3</w:t>
            </w:r>
          </w:p>
        </w:tc>
        <w:tc>
          <w:tcPr>
            <w:tcW w:type="dxa" w:w="1400"/>
          </w:tcPr>
          <w:p>
            <w:pPr>
              <w:spacing w:after="0"/>
              <w:jc w:val="center"/>
            </w:pPr>
            <w:r>
              <w:rPr>
                <w:rFonts w:ascii="Hiragino Sans GB" w:hAnsi="Hiragino Sans GB" w:eastAsia="Hiragino Sans GB"/>
                <w:b/>
                <w:color w:val="7A5A00"/>
                <w:sz w:val="17"/>
              </w:rPr>
              <w:t>INCOMPLETE</w:t>
            </w:r>
          </w:p>
        </w:tc>
        <w:tc>
          <w:tcPr>
            <w:tcW w:type="dxa" w:w="3300"/>
          </w:tcPr>
          <w:p>
            <w:pPr>
              <w:spacing w:after="0"/>
              <w:jc w:val="center"/>
            </w:pPr>
            <w:r>
              <w:rPr>
                <w:rFonts w:ascii="Hiragino Sans GB" w:hAnsi="Hiragino Sans GB" w:eastAsia="Hiragino Sans GB"/>
                <w:b/>
                <w:color w:val="000000"/>
                <w:sz w:val="17"/>
              </w:rPr>
              <w:t>R3_CONFIRMATION_UNRESOLVED</w:t>
            </w:r>
          </w:p>
        </w:tc>
        <w:tc>
          <w:tcPr>
            <w:tcW w:type="dxa" w:w="3660"/>
          </w:tcPr>
          <w:p>
            <w:pPr>
              <w:spacing w:after="0"/>
              <w:jc w:val="left"/>
            </w:pPr>
            <w:r>
              <w:rPr>
                <w:rFonts w:ascii="Hiragino Sans GB" w:hAnsi="Hiragino Sans GB" w:eastAsia="Hiragino Sans GB"/>
                <w:b w:val="0"/>
                <w:color w:val="000000"/>
                <w:sz w:val="17"/>
              </w:rPr>
              <w:t>cutoff 壳层解释成立，旧 age-2 门仍失败。</w:t>
            </w:r>
          </w:p>
        </w:tc>
      </w:tr>
      <w:tr>
        <w:trPr>
          <w:cantSplit w:val="true"/>
        </w:trPr>
        <w:tc>
          <w:tcPr>
            <w:tcW w:type="dxa" w:w="1000"/>
          </w:tcPr>
          <w:p>
            <w:pPr>
              <w:spacing w:after="0"/>
              <w:jc w:val="center"/>
            </w:pPr>
            <w:r>
              <w:rPr>
                <w:rFonts w:ascii="Hiragino Sans GB" w:hAnsi="Hiragino Sans GB" w:eastAsia="Hiragino Sans GB"/>
                <w:b w:val="0"/>
                <w:color w:val="000000"/>
                <w:sz w:val="17"/>
              </w:rPr>
              <w:t>Stage 01D-R4</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R4_RETENTION_REDETECTED</w:t>
            </w:r>
          </w:p>
        </w:tc>
        <w:tc>
          <w:tcPr>
            <w:tcW w:type="dxa" w:w="3660"/>
          </w:tcPr>
          <w:p>
            <w:pPr>
              <w:spacing w:after="0"/>
              <w:jc w:val="left"/>
            </w:pPr>
            <w:r>
              <w:rPr>
                <w:rFonts w:ascii="Hiragino Sans GB" w:hAnsi="Hiragino Sans GB" w:eastAsia="Hiragino Sans GB"/>
                <w:b w:val="0"/>
                <w:color w:val="000000"/>
                <w:sz w:val="17"/>
              </w:rPr>
              <w:t>非 GC steps 出现 retired old-survivor 和 same-slot 多代。</w:t>
            </w:r>
          </w:p>
        </w:tc>
      </w:tr>
      <w:tr>
        <w:trPr>
          <w:cantSplit w:val="true"/>
        </w:trPr>
        <w:tc>
          <w:tcPr>
            <w:tcW w:type="dxa" w:w="1000"/>
          </w:tcPr>
          <w:p>
            <w:pPr>
              <w:spacing w:after="0"/>
              <w:jc w:val="center"/>
            </w:pPr>
            <w:r>
              <w:rPr>
                <w:rFonts w:ascii="Hiragino Sans GB" w:hAnsi="Hiragino Sans GB" w:eastAsia="Hiragino Sans GB"/>
                <w:b w:val="0"/>
                <w:color w:val="000000"/>
                <w:sz w:val="17"/>
              </w:rPr>
              <w:t>Stage 01D-R5</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R5_BOUNDED_GC_DELAY_CONFIRMED</w:t>
            </w:r>
          </w:p>
        </w:tc>
        <w:tc>
          <w:tcPr>
            <w:tcW w:type="dxa" w:w="3660"/>
          </w:tcPr>
          <w:p>
            <w:pPr>
              <w:spacing w:after="0"/>
              <w:jc w:val="left"/>
            </w:pPr>
            <w:r>
              <w:rPr>
                <w:rFonts w:ascii="Hiragino Sans GB" w:hAnsi="Hiragino Sans GB" w:eastAsia="Hiragino Sans GB"/>
                <w:b w:val="0"/>
                <w:color w:val="000000"/>
                <w:sz w:val="17"/>
              </w:rPr>
              <w:t>默认 GC 下有界、禁用 GC 下线性增长；显式循环/owner 未定位。</w:t>
            </w:r>
          </w:p>
        </w:tc>
      </w:tr>
      <w:tr>
        <w:trPr>
          <w:cantSplit w:val="true"/>
        </w:trPr>
        <w:tc>
          <w:tcPr>
            <w:tcW w:type="dxa" w:w="1000"/>
          </w:tcPr>
          <w:p>
            <w:pPr>
              <w:spacing w:after="0"/>
              <w:jc w:val="center"/>
            </w:pPr>
            <w:r>
              <w:rPr>
                <w:rFonts w:ascii="Hiragino Sans GB" w:hAnsi="Hiragino Sans GB" w:eastAsia="Hiragino Sans GB"/>
                <w:b w:val="0"/>
                <w:color w:val="000000"/>
                <w:sz w:val="17"/>
              </w:rPr>
              <w:t>Stage 01D-P</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POLICY_PASS_ISOLATED_DEFAULT_GC</w:t>
            </w:r>
          </w:p>
        </w:tc>
        <w:tc>
          <w:tcPr>
            <w:tcW w:type="dxa" w:w="3660"/>
          </w:tcPr>
          <w:p>
            <w:pPr>
              <w:spacing w:after="0"/>
              <w:jc w:val="left"/>
            </w:pPr>
            <w:r>
              <w:rPr>
                <w:rFonts w:ascii="Hiragino Sans GB" w:hAnsi="Hiragino Sans GB" w:eastAsia="Hiragino Sans GB"/>
                <w:b w:val="0"/>
                <w:color w:val="000000"/>
                <w:sz w:val="17"/>
              </w:rPr>
              <w:t>隔离子进程与默认 GC 政策通过。</w:t>
            </w:r>
          </w:p>
        </w:tc>
      </w:tr>
      <w:tr>
        <w:trPr>
          <w:cantSplit w:val="true"/>
        </w:trPr>
        <w:tc>
          <w:tcPr>
            <w:tcW w:type="dxa" w:w="1000"/>
          </w:tcPr>
          <w:p>
            <w:pPr>
              <w:spacing w:after="0"/>
              <w:jc w:val="center"/>
            </w:pPr>
            <w:r>
              <w:rPr>
                <w:rFonts w:ascii="Hiragino Sans GB" w:hAnsi="Hiragino Sans GB" w:eastAsia="Hiragino Sans GB"/>
                <w:b w:val="0"/>
                <w:color w:val="000000"/>
                <w:sz w:val="17"/>
              </w:rPr>
              <w:t>Stage 01D2</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STAGE01D2_V2_REQUALIFICATION_FAIL</w:t>
            </w:r>
          </w:p>
        </w:tc>
        <w:tc>
          <w:tcPr>
            <w:tcW w:type="dxa" w:w="3660"/>
          </w:tcPr>
          <w:p>
            <w:pPr>
              <w:spacing w:after="0"/>
              <w:jc w:val="left"/>
            </w:pPr>
            <w:r>
              <w:rPr>
                <w:rFonts w:ascii="Hiragino Sans GB" w:hAnsi="Hiragino Sans GB" w:eastAsia="Hiragino Sans GB"/>
                <w:b w:val="0"/>
                <w:color w:val="000000"/>
                <w:sz w:val="17"/>
              </w:rPr>
              <w:t>时间/空间等多门通过，但 jitter 与资源硬门失败。</w:t>
            </w:r>
          </w:p>
        </w:tc>
      </w:tr>
      <w:tr>
        <w:trPr>
          <w:cantSplit w:val="true"/>
        </w:trPr>
        <w:tc>
          <w:tcPr>
            <w:tcW w:type="dxa" w:w="1000"/>
          </w:tcPr>
          <w:p>
            <w:pPr>
              <w:spacing w:after="0"/>
              <w:jc w:val="center"/>
            </w:pPr>
            <w:r>
              <w:rPr>
                <w:rFonts w:ascii="Hiragino Sans GB" w:hAnsi="Hiragino Sans GB" w:eastAsia="Hiragino Sans GB"/>
                <w:b w:val="0"/>
                <w:color w:val="000000"/>
                <w:sz w:val="17"/>
              </w:rPr>
              <w:t>Stage 01E</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E_MODEL_FORM_ALIGNMENT_DOMINANT</w:t>
            </w:r>
          </w:p>
        </w:tc>
        <w:tc>
          <w:tcPr>
            <w:tcW w:type="dxa" w:w="3660"/>
          </w:tcPr>
          <w:p>
            <w:pPr>
              <w:spacing w:after="0"/>
              <w:jc w:val="left"/>
            </w:pPr>
            <w:r>
              <w:rPr>
                <w:rFonts w:ascii="Hiragino Sans GB" w:hAnsi="Hiragino Sans GB" w:eastAsia="Hiragino Sans GB"/>
                <w:b w:val="0"/>
                <w:color w:val="000000"/>
                <w:sz w:val="17"/>
              </w:rPr>
              <w:t>机制诊断完成；不撤销 Stage 01D2 FAIL。</w:t>
            </w:r>
          </w:p>
        </w:tc>
      </w:tr>
      <w:tr>
        <w:trPr>
          <w:cantSplit w:val="true"/>
        </w:trPr>
        <w:tc>
          <w:tcPr>
            <w:tcW w:type="dxa" w:w="1000"/>
          </w:tcPr>
          <w:p>
            <w:pPr>
              <w:spacing w:after="0"/>
              <w:jc w:val="center"/>
            </w:pPr>
            <w:r>
              <w:rPr>
                <w:rFonts w:ascii="Hiragino Sans GB" w:hAnsi="Hiragino Sans GB" w:eastAsia="Hiragino Sans GB"/>
                <w:b w:val="0"/>
                <w:color w:val="000000"/>
                <w:sz w:val="17"/>
              </w:rPr>
              <w:t>Stage 01F</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MMS_SPECIFICATION_PASS</w:t>
            </w:r>
          </w:p>
        </w:tc>
        <w:tc>
          <w:tcPr>
            <w:tcW w:type="dxa" w:w="3660"/>
          </w:tcPr>
          <w:p>
            <w:pPr>
              <w:spacing w:after="0"/>
              <w:jc w:val="left"/>
            </w:pPr>
            <w:r>
              <w:rPr>
                <w:rFonts w:ascii="Hiragino Sans GB" w:hAnsi="Hiragino Sans GB" w:eastAsia="Hiragino Sans GB"/>
                <w:b w:val="0"/>
                <w:color w:val="000000"/>
                <w:sz w:val="17"/>
              </w:rPr>
              <w:t>WCSPH-compatible MMS 连续闭合规范通过。</w:t>
            </w:r>
          </w:p>
        </w:tc>
      </w:tr>
      <w:tr>
        <w:trPr>
          <w:cantSplit w:val="true"/>
        </w:trPr>
        <w:tc>
          <w:tcPr>
            <w:tcW w:type="dxa" w:w="1000"/>
          </w:tcPr>
          <w:p>
            <w:pPr>
              <w:spacing w:after="0"/>
              <w:jc w:val="center"/>
            </w:pPr>
            <w:r>
              <w:rPr>
                <w:rFonts w:ascii="Hiragino Sans GB" w:hAnsi="Hiragino Sans GB" w:eastAsia="Hiragino Sans GB"/>
                <w:b w:val="0"/>
                <w:color w:val="000000"/>
                <w:sz w:val="17"/>
              </w:rPr>
              <w:t>Stage 01F2</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MMS_IMPLEMENTATION_VERIFIED_PASS</w:t>
            </w:r>
          </w:p>
        </w:tc>
        <w:tc>
          <w:tcPr>
            <w:tcW w:type="dxa" w:w="3660"/>
          </w:tcPr>
          <w:p>
            <w:pPr>
              <w:spacing w:after="0"/>
              <w:jc w:val="left"/>
            </w:pPr>
            <w:r>
              <w:rPr>
                <w:rFonts w:ascii="Hiragino Sans GB" w:hAnsi="Hiragino Sans GB" w:eastAsia="Hiragino Sans GB"/>
                <w:b w:val="0"/>
                <w:color w:val="000000"/>
                <w:sz w:val="17"/>
              </w:rPr>
              <w:t>source adapter、RK2 注入、短程实现与 AD/FD 通过。</w:t>
            </w:r>
          </w:p>
        </w:tc>
      </w:tr>
      <w:tr>
        <w:trPr>
          <w:cantSplit w:val="true"/>
        </w:trPr>
        <w:tc>
          <w:tcPr>
            <w:tcW w:type="dxa" w:w="1000"/>
          </w:tcPr>
          <w:p>
            <w:pPr>
              <w:spacing w:after="0"/>
              <w:jc w:val="center"/>
            </w:pPr>
            <w:r>
              <w:rPr>
                <w:rFonts w:ascii="Hiragino Sans GB" w:hAnsi="Hiragino Sans GB" w:eastAsia="Hiragino Sans GB"/>
                <w:b w:val="0"/>
                <w:color w:val="000000"/>
                <w:sz w:val="17"/>
              </w:rPr>
              <w:t>Stage 01F3</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MMS_CONVERGENCE_VERIFICATION_FAIL</w:t>
            </w:r>
          </w:p>
        </w:tc>
        <w:tc>
          <w:tcPr>
            <w:tcW w:type="dxa" w:w="3660"/>
          </w:tcPr>
          <w:p>
            <w:pPr>
              <w:spacing w:after="0"/>
              <w:jc w:val="left"/>
            </w:pPr>
            <w:r>
              <w:rPr>
                <w:rFonts w:ascii="Hiragino Sans GB" w:hAnsi="Hiragino Sans GB" w:eastAsia="Hiragino Sans GB"/>
                <w:b w:val="0"/>
                <w:color w:val="000000"/>
                <w:sz w:val="17"/>
              </w:rPr>
              <w:t>MMS-B 半离散参考的冻结 edge-identity 硬门失败。</w:t>
            </w:r>
          </w:p>
        </w:tc>
      </w:tr>
      <w:tr>
        <w:trPr>
          <w:cantSplit w:val="true"/>
        </w:trPr>
        <w:tc>
          <w:tcPr>
            <w:tcW w:type="dxa" w:w="1000"/>
          </w:tcPr>
          <w:p>
            <w:pPr>
              <w:spacing w:after="0"/>
              <w:jc w:val="center"/>
            </w:pPr>
            <w:r>
              <w:rPr>
                <w:rFonts w:ascii="Hiragino Sans GB" w:hAnsi="Hiragino Sans GB" w:eastAsia="Hiragino Sans GB"/>
                <w:b w:val="0"/>
                <w:color w:val="000000"/>
                <w:sz w:val="17"/>
              </w:rPr>
              <w:t>Stage 01F3-R</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SEMIDISCRETE_REFERENCE_QUALIFIED_DENSE_EQUIVALENT</w:t>
            </w:r>
          </w:p>
        </w:tc>
        <w:tc>
          <w:tcPr>
            <w:tcW w:type="dxa" w:w="3660"/>
          </w:tcPr>
          <w:p>
            <w:pPr>
              <w:spacing w:after="0"/>
              <w:jc w:val="left"/>
            </w:pPr>
            <w:r>
              <w:rPr>
                <w:rFonts w:ascii="Hiragino Sans GB" w:hAnsi="Hiragino Sans GB" w:eastAsia="Hiragino Sans GB"/>
                <w:b w:val="0"/>
                <w:color w:val="000000"/>
                <w:sz w:val="17"/>
              </w:rPr>
              <w:t>合法 cutoff crossing 经 dense 等价路径获得参考资格。</w:t>
            </w:r>
          </w:p>
        </w:tc>
      </w:tr>
      <w:tr>
        <w:trPr>
          <w:cantSplit w:val="true"/>
        </w:trPr>
        <w:tc>
          <w:tcPr>
            <w:tcW w:type="dxa" w:w="1000"/>
          </w:tcPr>
          <w:p>
            <w:pPr>
              <w:spacing w:after="0"/>
              <w:jc w:val="center"/>
            </w:pPr>
            <w:r>
              <w:rPr>
                <w:rFonts w:ascii="Hiragino Sans GB" w:hAnsi="Hiragino Sans GB" w:eastAsia="Hiragino Sans GB"/>
                <w:b w:val="0"/>
                <w:color w:val="000000"/>
                <w:sz w:val="17"/>
              </w:rPr>
              <w:t>Stage 01F3B</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MMS_CONVERGENCE_VERIFICATION_FAIL</w:t>
            </w:r>
          </w:p>
        </w:tc>
        <w:tc>
          <w:tcPr>
            <w:tcW w:type="dxa" w:w="3660"/>
          </w:tcPr>
          <w:p>
            <w:pPr>
              <w:spacing w:after="0"/>
              <w:jc w:val="left"/>
            </w:pPr>
            <w:r>
              <w:rPr>
                <w:rFonts w:ascii="Hiragino Sans GB" w:hAnsi="Hiragino Sans GB" w:eastAsia="Hiragino Sans GB"/>
                <w:b w:val="0"/>
                <w:color w:val="000000"/>
                <w:sz w:val="17"/>
              </w:rPr>
              <w:t>连续时间 velocity total exact error 的 CT2 必要门失败。</w:t>
            </w:r>
          </w:p>
        </w:tc>
      </w:tr>
      <w:tr>
        <w:trPr>
          <w:cantSplit w:val="true"/>
        </w:trPr>
        <w:tc>
          <w:tcPr>
            <w:tcW w:type="dxa" w:w="1000"/>
          </w:tcPr>
          <w:p>
            <w:pPr>
              <w:spacing w:after="0"/>
              <w:jc w:val="center"/>
            </w:pPr>
            <w:r>
              <w:rPr>
                <w:rFonts w:ascii="Hiragino Sans GB" w:hAnsi="Hiragino Sans GB" w:eastAsia="Hiragino Sans GB"/>
                <w:b w:val="0"/>
                <w:color w:val="000000"/>
                <w:sz w:val="17"/>
              </w:rPr>
              <w:t>Stage 01F3C</w:t>
            </w:r>
          </w:p>
        </w:tc>
        <w:tc>
          <w:tcPr>
            <w:tcW w:type="dxa" w:w="1400"/>
          </w:tcPr>
          <w:p>
            <w:pPr>
              <w:spacing w:after="0"/>
              <w:jc w:val="center"/>
            </w:pPr>
            <w:r>
              <w:rPr>
                <w:rFonts w:ascii="Hiragino Sans GB" w:hAnsi="Hiragino Sans GB" w:eastAsia="Hiragino Sans GB"/>
                <w:b/>
                <w:color w:val="7A5A00"/>
                <w:sz w:val="17"/>
              </w:rPr>
              <w:t>INCOMPLETE</w:t>
            </w:r>
          </w:p>
        </w:tc>
        <w:tc>
          <w:tcPr>
            <w:tcW w:type="dxa" w:w="3300"/>
          </w:tcPr>
          <w:p>
            <w:pPr>
              <w:spacing w:after="0"/>
              <w:jc w:val="center"/>
            </w:pPr>
            <w:r>
              <w:rPr>
                <w:rFonts w:ascii="Hiragino Sans GB" w:hAnsi="Hiragino Sans GB" w:eastAsia="Hiragino Sans GB"/>
                <w:b/>
                <w:color w:val="000000"/>
                <w:sz w:val="17"/>
              </w:rPr>
              <w:t>CT2_MIXED_OR_UNRESOLVED</w:t>
            </w:r>
          </w:p>
        </w:tc>
        <w:tc>
          <w:tcPr>
            <w:tcW w:type="dxa" w:w="3660"/>
          </w:tcPr>
          <w:p>
            <w:pPr>
              <w:spacing w:after="0"/>
              <w:jc w:val="left"/>
            </w:pPr>
            <w:r>
              <w:rPr>
                <w:rFonts w:ascii="Hiragino Sans GB" w:hAnsi="Hiragino Sans GB" w:eastAsia="Hiragino Sans GB"/>
                <w:b w:val="0"/>
                <w:color w:val="000000"/>
                <w:sz w:val="17"/>
              </w:rPr>
              <w:t>时间/空间/交叉项分解未给出唯一有利归因。</w:t>
            </w:r>
          </w:p>
        </w:tc>
      </w:tr>
      <w:tr>
        <w:trPr>
          <w:cantSplit w:val="true"/>
        </w:trPr>
        <w:tc>
          <w:tcPr>
            <w:tcW w:type="dxa" w:w="1000"/>
          </w:tcPr>
          <w:p>
            <w:pPr>
              <w:spacing w:after="0"/>
              <w:jc w:val="center"/>
            </w:pPr>
            <w:r>
              <w:rPr>
                <w:rFonts w:ascii="Hiragino Sans GB" w:hAnsi="Hiragino Sans GB" w:eastAsia="Hiragino Sans GB"/>
                <w:b w:val="0"/>
                <w:color w:val="000000"/>
                <w:sz w:val="17"/>
              </w:rPr>
              <w:t>Stage 01F4</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PLATEAU_AWARE_PROTOCOL_APPROVED</w:t>
            </w:r>
          </w:p>
        </w:tc>
        <w:tc>
          <w:tcPr>
            <w:tcW w:type="dxa" w:w="3660"/>
          </w:tcPr>
          <w:p>
            <w:pPr>
              <w:spacing w:after="0"/>
              <w:jc w:val="left"/>
            </w:pPr>
            <w:r>
              <w:rPr>
                <w:rFonts w:ascii="Hiragino Sans GB" w:hAnsi="Hiragino Sans GB" w:eastAsia="Hiragino Sans GB"/>
                <w:b w:val="0"/>
                <w:color w:val="000000"/>
                <w:sz w:val="17"/>
              </w:rPr>
              <w:t>新协议设计通过；数值运行数为 0。</w:t>
            </w:r>
          </w:p>
        </w:tc>
      </w:tr>
      <w:tr>
        <w:trPr>
          <w:cantSplit w:val="true"/>
        </w:trPr>
        <w:tc>
          <w:tcPr>
            <w:tcW w:type="dxa" w:w="1000"/>
          </w:tcPr>
          <w:p>
            <w:pPr>
              <w:spacing w:after="0"/>
              <w:jc w:val="center"/>
            </w:pPr>
            <w:r>
              <w:rPr>
                <w:rFonts w:ascii="Hiragino Sans GB" w:hAnsi="Hiragino Sans GB" w:eastAsia="Hiragino Sans GB"/>
                <w:b w:val="0"/>
                <w:color w:val="000000"/>
                <w:sz w:val="17"/>
              </w:rPr>
              <w:t>Stage 01F5</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PLATEAU_AWARE_REQUALIFICATION_DESIGN_APPROVED</w:t>
            </w:r>
          </w:p>
        </w:tc>
        <w:tc>
          <w:tcPr>
            <w:tcW w:type="dxa" w:w="3660"/>
          </w:tcPr>
          <w:p>
            <w:pPr>
              <w:spacing w:after="0"/>
              <w:jc w:val="left"/>
            </w:pPr>
            <w:r>
              <w:rPr>
                <w:rFonts w:ascii="Hiragino Sans GB" w:hAnsi="Hiragino Sans GB" w:eastAsia="Hiragino Sans GB"/>
                <w:b w:val="0"/>
                <w:color w:val="000000"/>
                <w:sz w:val="17"/>
              </w:rPr>
              <w:t>执行设计通过；数值运行数为 0。</w:t>
            </w:r>
          </w:p>
        </w:tc>
      </w:tr>
      <w:tr>
        <w:trPr>
          <w:cantSplit w:val="true"/>
        </w:trPr>
        <w:tc>
          <w:tcPr>
            <w:tcW w:type="dxa" w:w="1000"/>
          </w:tcPr>
          <w:p>
            <w:pPr>
              <w:spacing w:after="0"/>
              <w:jc w:val="center"/>
            </w:pPr>
            <w:r>
              <w:rPr>
                <w:rFonts w:ascii="Hiragino Sans GB" w:hAnsi="Hiragino Sans GB" w:eastAsia="Hiragino Sans GB"/>
                <w:b w:val="0"/>
                <w:color w:val="000000"/>
                <w:sz w:val="17"/>
              </w:rPr>
              <w:t>Stage 01F5-P</w:t>
            </w:r>
          </w:p>
        </w:tc>
        <w:tc>
          <w:tcPr>
            <w:tcW w:type="dxa" w:w="1400"/>
          </w:tcPr>
          <w:p>
            <w:pPr>
              <w:spacing w:after="0"/>
              <w:jc w:val="center"/>
            </w:pPr>
            <w:r>
              <w:rPr>
                <w:rFonts w:ascii="Hiragino Sans GB" w:hAnsi="Hiragino Sans GB" w:eastAsia="Hiragino Sans GB"/>
                <w:b/>
                <w:color w:val="7A5A00"/>
                <w:sz w:val="17"/>
              </w:rPr>
              <w:t>INCOMPLETE</w:t>
            </w:r>
          </w:p>
        </w:tc>
        <w:tc>
          <w:tcPr>
            <w:tcW w:type="dxa" w:w="3300"/>
          </w:tcPr>
          <w:p>
            <w:pPr>
              <w:spacing w:after="0"/>
              <w:jc w:val="center"/>
            </w:pPr>
            <w:r>
              <w:rPr>
                <w:rFonts w:ascii="Hiragino Sans GB" w:hAnsi="Hiragino Sans GB" w:eastAsia="Hiragino Sans GB"/>
                <w:b/>
                <w:color w:val="000000"/>
                <w:sz w:val="17"/>
              </w:rPr>
              <w:t>EXECUTION_MANIFEST_INCOMPLETE</w:t>
            </w:r>
          </w:p>
        </w:tc>
        <w:tc>
          <w:tcPr>
            <w:tcW w:type="dxa" w:w="3660"/>
          </w:tcPr>
          <w:p>
            <w:pPr>
              <w:spacing w:after="0"/>
              <w:jc w:val="left"/>
            </w:pPr>
            <w:r>
              <w:rPr>
                <w:rFonts w:ascii="Hiragino Sans GB" w:hAnsi="Hiragino Sans GB" w:eastAsia="Hiragino Sans GB"/>
                <w:b w:val="0"/>
                <w:color w:val="000000"/>
                <w:sz w:val="17"/>
              </w:rPr>
              <w:t>formal-space t_final provenance 缺口未被猜测掩盖。</w:t>
            </w:r>
          </w:p>
        </w:tc>
      </w:tr>
      <w:tr>
        <w:trPr>
          <w:cantSplit w:val="true"/>
        </w:trPr>
        <w:tc>
          <w:tcPr>
            <w:tcW w:type="dxa" w:w="1000"/>
          </w:tcPr>
          <w:p>
            <w:pPr>
              <w:spacing w:after="0"/>
              <w:jc w:val="center"/>
            </w:pPr>
            <w:r>
              <w:rPr>
                <w:rFonts w:ascii="Hiragino Sans GB" w:hAnsi="Hiragino Sans GB" w:eastAsia="Hiragino Sans GB"/>
                <w:b w:val="0"/>
                <w:color w:val="000000"/>
                <w:sz w:val="17"/>
              </w:rPr>
              <w:t>Stage 01F5-Q</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FORMAL_SPACE_EXECUTION_BUNDLE_READY</w:t>
            </w:r>
          </w:p>
        </w:tc>
        <w:tc>
          <w:tcPr>
            <w:tcW w:type="dxa" w:w="3660"/>
          </w:tcPr>
          <w:p>
            <w:pPr>
              <w:spacing w:after="0"/>
              <w:jc w:val="left"/>
            </w:pPr>
            <w:r>
              <w:rPr>
                <w:rFonts w:ascii="Hiragino Sans GB" w:hAnsi="Hiragino Sans GB" w:eastAsia="Hiragino Sans GB"/>
                <w:b w:val="0"/>
                <w:color w:val="000000"/>
                <w:sz w:val="17"/>
              </w:rPr>
              <w:t>前瞻冻结 t_final=0.02，69 行无歧义解析；数值运行数为 0。</w:t>
            </w:r>
          </w:p>
        </w:tc>
      </w:tr>
      <w:tr>
        <w:trPr>
          <w:cantSplit w:val="true"/>
        </w:trPr>
        <w:tc>
          <w:tcPr>
            <w:tcW w:type="dxa" w:w="1000"/>
          </w:tcPr>
          <w:p>
            <w:pPr>
              <w:spacing w:after="0"/>
              <w:jc w:val="center"/>
            </w:pPr>
            <w:r>
              <w:rPr>
                <w:rFonts w:ascii="Hiragino Sans GB" w:hAnsi="Hiragino Sans GB" w:eastAsia="Hiragino Sans GB"/>
                <w:b w:val="0"/>
                <w:color w:val="000000"/>
                <w:sz w:val="17"/>
              </w:rPr>
              <w:t>Stage 01F5B</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PLATEAU_AWARE_MMS_REQUALIFICATION_PASS</w:t>
            </w:r>
          </w:p>
        </w:tc>
        <w:tc>
          <w:tcPr>
            <w:tcW w:type="dxa" w:w="3660"/>
          </w:tcPr>
          <w:p>
            <w:pPr>
              <w:spacing w:after="0"/>
              <w:jc w:val="left"/>
            </w:pPr>
            <w:r>
              <w:rPr>
                <w:rFonts w:ascii="Hiragino Sans GB" w:hAnsi="Hiragino Sans GB" w:eastAsia="Hiragino Sans GB"/>
                <w:b w:val="0"/>
                <w:color w:val="000000"/>
                <w:sz w:val="17"/>
              </w:rPr>
              <w:t>T/P/H/S 等门通过；一个 raw infrastructure FAIL 原样保留并受控重试。</w:t>
            </w:r>
          </w:p>
        </w:tc>
      </w:tr>
      <w:tr>
        <w:trPr>
          <w:cantSplit w:val="true"/>
        </w:trPr>
        <w:tc>
          <w:tcPr>
            <w:tcW w:type="dxa" w:w="1000"/>
          </w:tcPr>
          <w:p>
            <w:pPr>
              <w:spacing w:after="0"/>
              <w:jc w:val="center"/>
            </w:pPr>
            <w:r>
              <w:rPr>
                <w:rFonts w:ascii="Hiragino Sans GB" w:hAnsi="Hiragino Sans GB" w:eastAsia="Hiragino Sans GB"/>
                <w:b w:val="0"/>
                <w:color w:val="000000"/>
                <w:sz w:val="17"/>
              </w:rPr>
              <w:t>Stage 01G design</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INDEPENDENT_VALIDATION_AND_V2_DESIGN_APPROVED</w:t>
            </w:r>
          </w:p>
        </w:tc>
        <w:tc>
          <w:tcPr>
            <w:tcW w:type="dxa" w:w="3660"/>
          </w:tcPr>
          <w:p>
            <w:pPr>
              <w:spacing w:after="0"/>
              <w:jc w:val="left"/>
            </w:pPr>
            <w:r>
              <w:rPr>
                <w:rFonts w:ascii="Hiragino Sans GB" w:hAnsi="Hiragino Sans GB" w:eastAsia="Hiragino Sans GB"/>
                <w:b w:val="0"/>
                <w:color w:val="000000"/>
                <w:sz w:val="17"/>
              </w:rPr>
              <w:t>设计完成，数值运行数为 0。</w:t>
            </w:r>
          </w:p>
        </w:tc>
      </w:tr>
      <w:tr>
        <w:trPr>
          <w:cantSplit w:val="true"/>
        </w:trPr>
        <w:tc>
          <w:tcPr>
            <w:tcW w:type="dxa" w:w="1000"/>
          </w:tcPr>
          <w:p>
            <w:pPr>
              <w:spacing w:after="0"/>
              <w:jc w:val="center"/>
            </w:pPr>
            <w:r>
              <w:rPr>
                <w:rFonts w:ascii="Hiragino Sans GB" w:hAnsi="Hiragino Sans GB" w:eastAsia="Hiragino Sans GB"/>
                <w:b w:val="0"/>
                <w:color w:val="000000"/>
                <w:sz w:val="17"/>
              </w:rPr>
              <w:t>Stage 01G attempt</w:t>
            </w:r>
          </w:p>
        </w:tc>
        <w:tc>
          <w:tcPr>
            <w:tcW w:type="dxa" w:w="1400"/>
          </w:tcPr>
          <w:p>
            <w:pPr>
              <w:spacing w:after="0"/>
              <w:jc w:val="center"/>
            </w:pPr>
            <w:r>
              <w:rPr>
                <w:rFonts w:ascii="Hiragino Sans GB" w:hAnsi="Hiragino Sans GB" w:eastAsia="Hiragino Sans GB"/>
                <w:b/>
                <w:color w:val="7A5A00"/>
                <w:sz w:val="17"/>
              </w:rPr>
              <w:t>INCOMPLETE</w:t>
            </w:r>
          </w:p>
        </w:tc>
        <w:tc>
          <w:tcPr>
            <w:tcW w:type="dxa" w:w="3300"/>
          </w:tcPr>
          <w:p>
            <w:pPr>
              <w:spacing w:after="0"/>
              <w:jc w:val="center"/>
            </w:pPr>
            <w:r>
              <w:rPr>
                <w:rFonts w:ascii="Hiragino Sans GB" w:hAnsi="Hiragino Sans GB" w:eastAsia="Hiragino Sans GB"/>
                <w:b/>
                <w:color w:val="000000"/>
                <w:sz w:val="17"/>
              </w:rPr>
              <w:t>V2_QUALIFICATION_EVIDENCE_INCOMPLETE</w:t>
            </w:r>
          </w:p>
        </w:tc>
        <w:tc>
          <w:tcPr>
            <w:tcW w:type="dxa" w:w="3660"/>
          </w:tcPr>
          <w:p>
            <w:pPr>
              <w:spacing w:after="0"/>
              <w:jc w:val="left"/>
            </w:pPr>
            <w:r>
              <w:rPr>
                <w:rFonts w:ascii="Hiragino Sans GB" w:hAnsi="Hiragino Sans GB" w:eastAsia="Hiragino Sans GB"/>
                <w:b w:val="0"/>
                <w:color w:val="000000"/>
                <w:sz w:val="17"/>
              </w:rPr>
              <w:t>evaluator 身份缺失，正式 benchmark 未执行。</w:t>
            </w:r>
          </w:p>
        </w:tc>
      </w:tr>
      <w:tr>
        <w:trPr>
          <w:cantSplit w:val="true"/>
        </w:trPr>
        <w:tc>
          <w:tcPr>
            <w:tcW w:type="dxa" w:w="1000"/>
          </w:tcPr>
          <w:p>
            <w:pPr>
              <w:spacing w:after="0"/>
              <w:jc w:val="center"/>
            </w:pPr>
            <w:r>
              <w:rPr>
                <w:rFonts w:ascii="Hiragino Sans GB" w:hAnsi="Hiragino Sans GB" w:eastAsia="Hiragino Sans GB"/>
                <w:b w:val="0"/>
                <w:color w:val="000000"/>
                <w:sz w:val="17"/>
              </w:rPr>
              <w:t>Stage 01G-R</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EXECUTION_INFRA_READY_FOR_BENCHMARK</w:t>
            </w:r>
          </w:p>
        </w:tc>
        <w:tc>
          <w:tcPr>
            <w:tcW w:type="dxa" w:w="3660"/>
          </w:tcPr>
          <w:p>
            <w:pPr>
              <w:spacing w:after="0"/>
              <w:jc w:val="left"/>
            </w:pPr>
            <w:r>
              <w:rPr>
                <w:rFonts w:ascii="Hiragino Sans GB" w:hAnsi="Hiragino Sans GB" w:eastAsia="Hiragino Sans GB"/>
                <w:b w:val="0"/>
                <w:color w:val="000000"/>
                <w:sz w:val="17"/>
              </w:rPr>
              <w:t>执行层接口修复，未改变 solver 或科学门。</w:t>
            </w:r>
          </w:p>
        </w:tc>
      </w:tr>
      <w:tr>
        <w:trPr>
          <w:cantSplit w:val="true"/>
        </w:trPr>
        <w:tc>
          <w:tcPr>
            <w:tcW w:type="dxa" w:w="1000"/>
          </w:tcPr>
          <w:p>
            <w:pPr>
              <w:spacing w:after="0"/>
              <w:jc w:val="center"/>
            </w:pPr>
            <w:r>
              <w:rPr>
                <w:rFonts w:ascii="Hiragino Sans GB" w:hAnsi="Hiragino Sans GB" w:eastAsia="Hiragino Sans GB"/>
                <w:b w:val="0"/>
                <w:color w:val="000000"/>
                <w:sz w:val="17"/>
              </w:rPr>
              <w:t>Stage 01G V2</w:t>
            </w:r>
          </w:p>
        </w:tc>
        <w:tc>
          <w:tcPr>
            <w:tcW w:type="dxa" w:w="1400"/>
          </w:tcPr>
          <w:p>
            <w:pPr>
              <w:spacing w:after="0"/>
              <w:jc w:val="center"/>
            </w:pPr>
            <w:r>
              <w:rPr>
                <w:rFonts w:ascii="Hiragino Sans GB" w:hAnsi="Hiragino Sans GB" w:eastAsia="Hiragino Sans GB"/>
                <w:b/>
                <w:color w:val="9B1C1C"/>
                <w:sz w:val="17"/>
              </w:rPr>
              <w:t>FAIL</w:t>
            </w:r>
          </w:p>
        </w:tc>
        <w:tc>
          <w:tcPr>
            <w:tcW w:type="dxa" w:w="3300"/>
          </w:tcPr>
          <w:p>
            <w:pPr>
              <w:spacing w:after="0"/>
              <w:jc w:val="center"/>
            </w:pPr>
            <w:r>
              <w:rPr>
                <w:rFonts w:ascii="Hiragino Sans GB" w:hAnsi="Hiragino Sans GB" w:eastAsia="Hiragino Sans GB"/>
                <w:b/>
                <w:color w:val="000000"/>
                <w:sz w:val="17"/>
              </w:rPr>
              <w:t>V2_QUALIFICATION_FAIL</w:t>
            </w:r>
          </w:p>
        </w:tc>
        <w:tc>
          <w:tcPr>
            <w:tcW w:type="dxa" w:w="3660"/>
          </w:tcPr>
          <w:p>
            <w:pPr>
              <w:spacing w:after="0"/>
              <w:jc w:val="left"/>
            </w:pPr>
            <w:r>
              <w:rPr>
                <w:rFonts w:ascii="Hiragino Sans GB" w:hAnsi="Hiragino Sans GB" w:eastAsia="Hiragino Sans GB"/>
                <w:b w:val="0"/>
                <w:color w:val="000000"/>
                <w:sz w:val="17"/>
              </w:rPr>
              <w:t>12/12 完成；acoustic PASS，shear FAIL。</w:t>
            </w:r>
          </w:p>
        </w:tc>
      </w:tr>
      <w:tr>
        <w:trPr>
          <w:cantSplit w:val="true"/>
        </w:trPr>
        <w:tc>
          <w:tcPr>
            <w:tcW w:type="dxa" w:w="1000"/>
          </w:tcPr>
          <w:p>
            <w:pPr>
              <w:spacing w:after="0"/>
              <w:jc w:val="center"/>
            </w:pPr>
            <w:r>
              <w:rPr>
                <w:rFonts w:ascii="Hiragino Sans GB" w:hAnsi="Hiragino Sans GB" w:eastAsia="Hiragino Sans GB"/>
                <w:b w:val="0"/>
                <w:color w:val="000000"/>
                <w:sz w:val="17"/>
              </w:rPr>
              <w:t>Stage 01H</w:t>
            </w:r>
          </w:p>
        </w:tc>
        <w:tc>
          <w:tcPr>
            <w:tcW w:type="dxa" w:w="1400"/>
          </w:tcPr>
          <w:p>
            <w:pPr>
              <w:spacing w:after="0"/>
              <w:jc w:val="center"/>
            </w:pPr>
            <w:r>
              <w:rPr>
                <w:rFonts w:ascii="Hiragino Sans GB" w:hAnsi="Hiragino Sans GB" w:eastAsia="Hiragino Sans GB"/>
                <w:b/>
                <w:color w:val="1F3A5F"/>
                <w:sz w:val="17"/>
              </w:rPr>
              <w:t>PASS</w:t>
            </w:r>
          </w:p>
        </w:tc>
        <w:tc>
          <w:tcPr>
            <w:tcW w:type="dxa" w:w="3300"/>
          </w:tcPr>
          <w:p>
            <w:pPr>
              <w:spacing w:after="0"/>
              <w:jc w:val="center"/>
            </w:pPr>
            <w:r>
              <w:rPr>
                <w:rFonts w:ascii="Hiragino Sans GB" w:hAnsi="Hiragino Sans GB" w:eastAsia="Hiragino Sans GB"/>
                <w:b/>
                <w:color w:val="000000"/>
                <w:sz w:val="17"/>
              </w:rPr>
              <w:t>VISCOSITY_DIAGNOSIS_COMPLETE</w:t>
            </w:r>
          </w:p>
        </w:tc>
        <w:tc>
          <w:tcPr>
            <w:tcW w:type="dxa" w:w="3660"/>
          </w:tcPr>
          <w:p>
            <w:pPr>
              <w:spacing w:after="0"/>
              <w:jc w:val="left"/>
            </w:pPr>
            <w:r>
              <w:rPr>
                <w:rFonts w:ascii="Hiragino Sans GB" w:hAnsi="Hiragino Sans GB" w:eastAsia="Hiragino Sans GB"/>
                <w:b w:val="0"/>
                <w:color w:val="000000"/>
                <w:sz w:val="17"/>
              </w:rPr>
              <w:t>诊断完成但 Stage 01G V2 FAIL 保持；不授权下游。</w:t>
            </w:r>
          </w:p>
        </w:tc>
      </w:tr>
    </w:tbl>
    <w:p>
      <w:r>
        <w:br w:type="page"/>
      </w:r>
    </w:p>
    <w:p>
      <w:pPr>
        <w:pStyle w:val="Heading1"/>
      </w:pPr>
      <w:r>
        <w:t>1. 研究背景</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SYNTHESIS PASS：背景问题已由 Stage 00–01H 证据界定；V2 科学资格仍 FAIL。</w:t>
            </w:r>
          </w:p>
        </w:tc>
      </w:tr>
    </w:tbl>
    <w:p>
      <w:pPr>
        <w:spacing w:after="40"/>
      </w:pPr>
    </w:p>
    <w:p>
      <w:pPr>
        <w:pStyle w:val="Heading2"/>
      </w:pPr>
      <w:r>
        <w:t>目标</w:t>
      </w:r>
    </w:p>
    <w:p>
      <w:pPr/>
      <w:r>
        <w:rPr>
          <w:rFonts w:ascii="Hiragino Sans GB" w:hAnsi="Hiragino Sans GB" w:eastAsia="Hiragino Sans GB"/>
          <w:color w:val="000000"/>
          <w:sz w:val="22"/>
        </w:rPr>
        <w:t>建立一个面向二维弱可压缩 SPH 的可验证研究链：先确认计算环境，再验证邻域与离散算子结构，随后分离资源、模型形式、时间、空间和参考误差，最后以独立 benchmark 进行 V2 资格。</w:t>
      </w:r>
    </w:p>
    <w:p>
      <w:pPr>
        <w:pStyle w:val="Heading2"/>
      </w:pPr>
      <w:r>
        <w:t>方法</w:t>
      </w:r>
    </w:p>
    <w:p>
      <w:pPr/>
      <w:r>
        <w:rPr>
          <w:rFonts w:ascii="Hiragino Sans GB" w:hAnsi="Hiragino Sans GB" w:eastAsia="Hiragino Sans GB"/>
          <w:color w:val="000000"/>
          <w:sz w:val="22"/>
        </w:rPr>
        <w:t>研究采用阶段门控和不可追溯改写原则。每一阶段先冻结问题、参数、运行矩阵、阈值和失败处理，再执行或明确记录零数值运行；状态、失败栈、哈希清单和受控重试分别保存。</w:t>
      </w:r>
    </w:p>
    <w:p>
      <w:pPr/>
      <w:r>
        <w:rPr>
          <w:rFonts w:ascii="Hiragino Sans GB" w:hAnsi="Hiragino Sans GB" w:eastAsia="Hiragino Sans GB"/>
          <w:color w:val="000000"/>
          <w:sz w:val="22"/>
        </w:rPr>
        <w:t>SPH 被视为可解释物理基线：粒子携带质量、位置、速度、密度和压力，局部邻域通过核函数近似连续算子。其误差来源不仅包括核/粒子离散，也包括支撑尺度、粒子无序、EOS/模型形式、时间推进、参考误差、拓扑事件和计算资源。</w:t>
      </w:r>
    </w:p>
    <w:p>
      <w:pPr>
        <w:pStyle w:val="Heading2"/>
      </w:pPr>
      <w:r>
        <w:t>测试</w:t>
      </w:r>
    </w:p>
    <w:p>
      <w:pPr/>
      <w:r>
        <w:rPr>
          <w:rFonts w:ascii="Hiragino Sans GB" w:hAnsi="Hiragino Sans GB" w:eastAsia="Hiragino Sans GB"/>
          <w:color w:val="000000"/>
          <w:sz w:val="22"/>
        </w:rPr>
        <w:t>证据链覆盖 PyTorch/MPS 运算、周期邻域、核一致性、压力/黏性 pair 结构、原生自动微分、资源生命周期、TGV、WCSPH-compatible MMS、半离散 DOP853 参考、shear 与 acoustic 独立 benchmark。</w:t>
      </w:r>
    </w:p>
    <w:p>
      <w:pPr>
        <w:pStyle w:val="Heading2"/>
      </w:pPr>
      <w:r>
        <w:t>结果</w:t>
      </w:r>
    </w:p>
    <w:p>
      <w:pPr/>
      <w:r>
        <w:rPr>
          <w:rFonts w:ascii="Hiragino Sans GB" w:hAnsi="Hiragino Sans GB" w:eastAsia="Hiragino Sans GB"/>
          <w:color w:val="000000"/>
          <w:sz w:val="22"/>
        </w:rPr>
        <w:t>Stage 01 建立了一个结构保持、可审计、可运行的 SPH 研究基线，并取得 MMS plateau-aware 重资格 PASS；然而最终独立 V2 仍因 shear 衰减率门失败而为 FAIL。这个组合结果说明“代码可用、制造解通过”与“独立物理资格通过”不是同一命题。</w:t>
      </w:r>
    </w:p>
    <w:p>
      <w:pPr>
        <w:pStyle w:val="Heading2"/>
      </w:pPr>
      <w:r>
        <w:t>失败与限制</w:t>
      </w:r>
    </w:p>
    <w:p>
      <w:pPr/>
      <w:r>
        <w:rPr>
          <w:rFonts w:ascii="Hiragino Sans GB" w:hAnsi="Hiragino Sans GB" w:eastAsia="Hiragino Sans GB"/>
          <w:color w:val="000000"/>
          <w:sz w:val="22"/>
        </w:rPr>
        <w:t>研究域仍限定为二维、周期、光滑、弱可压缩、低马赫、CPU float64 和已测试的分辨率/支撑范围。自由表面、固壁、冲击、多相、FSI、湍流和三维均未验证。资源问题和独立 shear 失败不能被后续诊断或 Stage 02 初始化改写。</w:t>
      </w:r>
    </w:p>
    <w:p>
      <w:pPr>
        <w:pStyle w:val="Heading2"/>
      </w:pPr>
      <w:r>
        <w:t>科学意义</w:t>
      </w:r>
    </w:p>
    <w:p>
      <w:pPr/>
      <w:r>
        <w:rPr>
          <w:rFonts w:ascii="Hiragino Sans GB" w:hAnsi="Hiragino Sans GB" w:eastAsia="Hiragino Sans GB"/>
          <w:color w:val="000000"/>
          <w:sz w:val="22"/>
        </w:rPr>
        <w:t>该阶段链条把常被混合报告的实现正确性、解验证、确认性验证和资源可执行性拆开，为后续学习型修正提供了明确的可学习误差边界。</w:t>
      </w:r>
    </w:p>
    <w:p>
      <w:pPr>
        <w:pStyle w:val="Heading2"/>
      </w:pPr>
      <w:r>
        <w:t>对论文贡献</w:t>
      </w:r>
    </w:p>
    <w:p>
      <w:pPr/>
      <w:r>
        <w:rPr>
          <w:rFonts w:ascii="Hiragino Sans GB" w:hAnsi="Hiragino Sans GB" w:eastAsia="Hiragino Sans GB"/>
          <w:color w:val="000000"/>
          <w:sz w:val="22"/>
        </w:rPr>
        <w:t>论文可将该背景组织为“结构保持 SPH 基线—误差分解—独立验证—残差修正动机”的主线，同时把失败作为研究问题来源，而不是从叙事中删除。</w:t>
      </w:r>
    </w:p>
    <w:p>
      <w:pPr>
        <w:pStyle w:val="Heading1"/>
      </w:pPr>
      <w:r>
        <w:t>2. SPH–Transformer 研究动机</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EF3F8"/>
          </w:tcPr>
          <w:p>
            <w:pPr>
              <w:spacing w:after="0"/>
            </w:pPr>
            <w:r>
              <w:rPr>
                <w:rFonts w:ascii="Hiragino Sans GB" w:hAnsi="Hiragino Sans GB" w:eastAsia="Hiragino Sans GB"/>
                <w:b/>
                <w:color w:val="1F3A5F"/>
                <w:sz w:val="21"/>
              </w:rPr>
              <w:t xml:space="preserve">状态  </w:t>
            </w:r>
            <w:r>
              <w:rPr>
                <w:rFonts w:ascii="Hiragino Sans GB" w:hAnsi="Hiragino Sans GB" w:eastAsia="Hiragino Sans GB"/>
                <w:color w:val="000000"/>
                <w:sz w:val="21"/>
              </w:rPr>
              <w:t>MOTIVATION FROZEN：PIO 仅学习 discretization error correction，不替代 SPH。</w:t>
            </w:r>
          </w:p>
        </w:tc>
      </w:tr>
    </w:tbl>
    <w:p>
      <w:pPr>
        <w:spacing w:after="40"/>
      </w:pPr>
    </w:p>
    <w:p>
      <w:pPr>
        <w:pStyle w:val="Heading2"/>
      </w:pPr>
      <w:r>
        <w:t>目标</w:t>
      </w:r>
    </w:p>
    <w:p>
      <w:pPr/>
      <w:r>
        <w:rPr>
          <w:rFonts w:ascii="Hiragino Sans GB" w:hAnsi="Hiragino Sans GB" w:eastAsia="Hiragino Sans GB"/>
          <w:color w:val="000000"/>
          <w:sz w:val="22"/>
        </w:rPr>
        <w:t>研究局部粒子相互作用中是否存在可学习的系统性离散残差，并以 Transformer 的集合交互能力表达邻域依赖，同时保持 SPH 作为显式物理主干。</w:t>
      </w:r>
    </w:p>
    <w:p>
      <w:pPr>
        <w:pStyle w:val="Heading2"/>
      </w:pPr>
      <w:r>
        <w:t>方法</w:t>
      </w:r>
    </w:p>
    <w:p>
      <w:pPr/>
      <w:r>
        <w:rPr>
          <w:rFonts w:ascii="Hiragino Sans GB" w:hAnsi="Hiragino Sans GB" w:eastAsia="Hiragino Sans GB"/>
          <w:color w:val="000000"/>
          <w:sz w:val="22"/>
        </w:rPr>
        <w:t>冻结加速度残差定义：a_SPH 为基线 SPH 加速度，a_ref 为同状态参考加速度，学习目标 Δa=a_ref−a_SPH。未来校正为 a_corr=a_SPH+Δâ；当修正关闭或输出为零时，严格回退到 SPH。</w:t>
      </w:r>
    </w:p>
    <w:p>
      <w:pPr/>
      <w:r>
        <w:rPr>
          <w:rFonts w:ascii="Hiragino Sans GB" w:hAnsi="Hiragino Sans GB" w:eastAsia="Hiragino Sans GB"/>
          <w:color w:val="000000"/>
          <w:sz w:val="22"/>
        </w:rPr>
        <w:t>Transformer 的合理角色是对不定长邻域集合建模，而不是使用粒子索引记忆网格。优先考虑 pairwise 反对称力修正、minimum-image 相对几何、粒子置换等变和旋转等变。</w:t>
      </w:r>
    </w:p>
    <w:p>
      <w:pPr>
        <w:pStyle w:val="Heading2"/>
      </w:pPr>
      <w:r>
        <w:t>测试</w:t>
      </w:r>
    </w:p>
    <w:p>
      <w:pPr/>
      <w:r>
        <w:rPr>
          <w:rFonts w:ascii="Hiragino Sans GB" w:hAnsi="Hiragino Sans GB" w:eastAsia="Hiragino Sans GB"/>
          <w:color w:val="000000"/>
          <w:sz w:val="22"/>
        </w:rPr>
        <w:t>当前仅定义未来必须通过的测试：置换、平移、周期和旋转一致性；pair antisymmetry；质量加权总修正力；跨分辨率/无序泛化；独立 benchmark 不劣化；零修正回退。未运行模型。</w:t>
      </w:r>
    </w:p>
    <w:p>
      <w:pPr>
        <w:pStyle w:val="Heading2"/>
      </w:pPr>
      <w:r>
        <w:t>结果</w:t>
      </w:r>
    </w:p>
    <w:p>
      <w:pPr/>
      <w:r>
        <w:rPr>
          <w:rFonts w:ascii="Hiragino Sans GB" w:hAnsi="Hiragino Sans GB" w:eastAsia="Hiragino Sans GB"/>
          <w:color w:val="000000"/>
          <w:sz w:val="22"/>
        </w:rPr>
        <w:t>Stage 01 给出三个直接动机：第一，结构保持基线已可用；第二，有限分辨率和粒子无序仍产生残差；第三，模型形式、时间平台和参考误差若不隔离，会污染学习标签。因而残差式、守恒约束和标签资格成为 PIO 的必要前提。</w:t>
      </w:r>
    </w:p>
    <w:p>
      <w:pPr>
        <w:pStyle w:val="Heading2"/>
      </w:pPr>
      <w:r>
        <w:t>失败与限制</w:t>
      </w:r>
    </w:p>
    <w:p>
      <w:pPr/>
      <w:r>
        <w:rPr>
          <w:rFonts w:ascii="Hiragino Sans GB" w:hAnsi="Hiragino Sans GB" w:eastAsia="Hiragino Sans GB"/>
          <w:color w:val="000000"/>
          <w:sz w:val="22"/>
        </w:rPr>
        <w:t>目前不存在任何 Transformer 实现、训练结果或泛化证据。Stage 01G 的 shear FAIL 只能作为待解释的独立现象，不能先验认定为可被学习修正的误差；Stage 01H 也未确认黏性算子形式失败。</w:t>
      </w:r>
    </w:p>
    <w:p>
      <w:pPr>
        <w:pStyle w:val="Heading2"/>
      </w:pPr>
      <w:r>
        <w:t>科学意义</w:t>
      </w:r>
    </w:p>
    <w:p>
      <w:pPr/>
      <w:r>
        <w:rPr>
          <w:rFonts w:ascii="Hiragino Sans GB" w:hAnsi="Hiragino Sans GB" w:eastAsia="Hiragino Sans GB"/>
          <w:color w:val="000000"/>
          <w:sz w:val="22"/>
        </w:rPr>
        <w:t>这种定位避免把学习模型变成不透明替代求解器，并使“改进幅度”始终相对于固定 SPH 基线可测量、可回退、可审计。</w:t>
      </w:r>
    </w:p>
    <w:p>
      <w:pPr>
        <w:pStyle w:val="Heading2"/>
      </w:pPr>
      <w:r>
        <w:t>对论文贡献</w:t>
      </w:r>
    </w:p>
    <w:p>
      <w:pPr/>
      <w:r>
        <w:rPr>
          <w:rFonts w:ascii="Hiragino Sans GB" w:hAnsi="Hiragino Sans GB" w:eastAsia="Hiragino Sans GB"/>
          <w:color w:val="000000"/>
          <w:sz w:val="22"/>
        </w:rPr>
        <w:t>论文创新点可被精确表述为 particle interaction correction operator，而非 neural SPH replacement；理论部分可围绕残差目标、pair 守恒和参考资格展开。</w:t>
      </w:r>
    </w:p>
    <w:p>
      <w:pPr>
        <w:pStyle w:val="Heading1"/>
      </w:pPr>
      <w:r>
        <w:t>3. Stage 00 环境验证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8E6"/>
          </w:tcPr>
          <w:p>
            <w:pPr>
              <w:spacing w:after="0"/>
            </w:pPr>
            <w:r>
              <w:rPr>
                <w:rFonts w:ascii="Hiragino Sans GB" w:hAnsi="Hiragino Sans GB" w:eastAsia="Hiragino Sans GB"/>
                <w:b/>
                <w:color w:val="7A5A00"/>
                <w:sz w:val="21"/>
              </w:rPr>
              <w:t xml:space="preserve">状态  </w:t>
            </w:r>
            <w:r>
              <w:rPr>
                <w:rFonts w:ascii="Hiragino Sans GB" w:hAnsi="Hiragino Sans GB" w:eastAsia="Hiragino Sans GB"/>
                <w:color w:val="000000"/>
                <w:sz w:val="21"/>
              </w:rPr>
              <w:t>PASS + INCOMPLETE：PyTorch CPU/MPS 测试 PASS；完整 diffSPH solver execution 未验证。</w:t>
            </w:r>
          </w:p>
        </w:tc>
      </w:tr>
    </w:tbl>
    <w:p>
      <w:pPr>
        <w:spacing w:after="40"/>
      </w:pPr>
    </w:p>
    <w:p>
      <w:pPr>
        <w:pStyle w:val="Heading2"/>
      </w:pPr>
      <w:r>
        <w:t>目标</w:t>
      </w:r>
    </w:p>
    <w:p>
      <w:pPr/>
      <w:r>
        <w:rPr>
          <w:rFonts w:ascii="Hiragino Sans GB" w:hAnsi="Hiragino Sans GB" w:eastAsia="Hiragino Sans GB"/>
          <w:color w:val="000000"/>
          <w:sz w:val="22"/>
        </w:rPr>
        <w:t>确认 Apple M2、16 GB unified memory 环境是否足以支持二维概念验证，并评估 CPU、MPS 和 diffSPH 的初始可行性。</w:t>
      </w:r>
    </w:p>
    <w:p>
      <w:pPr>
        <w:pStyle w:val="Heading2"/>
      </w:pPr>
      <w:r>
        <w:t>方法</w:t>
      </w:r>
    </w:p>
    <w:p>
      <w:pPr/>
      <w:r>
        <w:rPr>
          <w:rFonts w:ascii="Hiragino Sans GB" w:hAnsi="Hiragino Sans GB" w:eastAsia="Hiragino Sans GB"/>
          <w:color w:val="000000"/>
          <w:sz w:val="22"/>
        </w:rPr>
        <w:t>在不修改系统 Python、不安装 CUDA/cuDNN/NVIDIA 组件的条件下，测试 PyTorch 张量、自动微分、Linear、MultiheadAttention、scatter/index、cdist/topk 和 float32 一致性；另在隔离 Python 3.12 环境进行 torchCompactRadius/diffSPH 安装与导入预检。</w:t>
      </w:r>
    </w:p>
    <w:p>
      <w:pPr>
        <w:pStyle w:val="Heading2"/>
      </w:pPr>
      <w:r>
        <w:t>测试</w:t>
      </w:r>
    </w:p>
    <w:p>
      <w:pPr/>
      <w:r>
        <w:rPr>
          <w:rFonts w:ascii="Hiragino Sans GB" w:hAnsi="Hiragino Sans GB" w:eastAsia="Hiragino Sans GB"/>
          <w:color w:val="000000"/>
          <w:sz w:val="22"/>
        </w:rPr>
        <w:t>CPU 与 MPS 均执行算术、反向传播、注意力、邻域聚合相关算子和矩阵一致性；性能测试采用 3 次 warm-up、8 次测量；diffSPH 仅测试安装、import 和 PointCloud naive neighbor query。</w:t>
      </w:r>
    </w:p>
    <w:p>
      <w:pPr>
        <w:pStyle w:val="Heading2"/>
      </w:pPr>
      <w:r>
        <w:t>结果</w:t>
      </w:r>
    </w:p>
    <w:p>
      <w:pPr/>
      <w:r>
        <w:rPr>
          <w:rFonts w:ascii="Hiragino Sans GB" w:hAnsi="Hiragino Sans GB" w:eastAsia="Hiragino Sans GB"/>
          <w:color w:val="000000"/>
          <w:sz w:val="22"/>
        </w:rPr>
        <w:t>torch 2.13.0 报告 MPS built/available，所请求 CPU/MPS 操作全部 PASS；测试输入的 float32 矩阵输出 max_abs_error=0。1024×1024 matmul 中 MPS 约 1.285 ms、CPU 2.205 ms；N=1024、K=32、C=32 邻域聚合中 CPU 约 0.340 ms、MPS 1.343 ms。建议初始 N≤1024、batch=1、32 neighbors、float32，并以 CPU reference 为主。</w:t>
      </w:r>
    </w:p>
    <w:p>
      <w:pPr>
        <w:pStyle w:val="Heading2"/>
      </w:pPr>
      <w:r>
        <w:t>失败与限制</w:t>
      </w:r>
    </w:p>
    <w:p>
      <w:pPr/>
      <w:r>
        <w:rPr>
          <w:rFonts w:ascii="Hiragino Sans GB" w:hAnsi="Hiragino Sans GB" w:eastAsia="Hiragino Sans GB"/>
          <w:color w:val="000000"/>
          <w:sz w:val="22"/>
        </w:rPr>
        <w:t>MPS memory advisory 约 11.84 GiB 不是安全可用保证。diffSPH 虽安装/import/naive neighbor 预检通过，但没有运行官方二维 solver，故完整执行为 INCOMPLETE；两个隔离 probe 错误分别来自故意 no-deps 缺 NumPy 和错误 API 参数，不被美化为 solver PASS。</w:t>
      </w:r>
    </w:p>
    <w:p>
      <w:pPr>
        <w:pStyle w:val="Heading2"/>
      </w:pPr>
      <w:r>
        <w:t>科学意义</w:t>
      </w:r>
    </w:p>
    <w:p>
      <w:pPr/>
      <w:r>
        <w:rPr>
          <w:rFonts w:ascii="Hiragino Sans GB" w:hAnsi="Hiragino Sans GB" w:eastAsia="Hiragino Sans GB"/>
          <w:color w:val="000000"/>
          <w:sz w:val="22"/>
        </w:rPr>
        <w:t>环境验证将算子可用性与真实求解器可用性分开，避免根据 GPU 可见或包可导入就推断完整数值路线可靠。</w:t>
      </w:r>
    </w:p>
    <w:p>
      <w:pPr>
        <w:pStyle w:val="Heading2"/>
      </w:pPr>
      <w:r>
        <w:t>对论文贡献</w:t>
      </w:r>
    </w:p>
    <w:p>
      <w:pPr/>
      <w:r>
        <w:rPr>
          <w:rFonts w:ascii="Hiragino Sans GB" w:hAnsi="Hiragino Sans GB" w:eastAsia="Hiragino Sans GB"/>
          <w:color w:val="000000"/>
          <w:sz w:val="22"/>
        </w:rPr>
        <w:t>可在计算环境小节报告 Apple Silicon、PyTorch 版本、CPU 参考策略和保守粒子规模，并把 backend 选择描述为由真实数据布局决定。</w:t>
      </w:r>
    </w:p>
    <w:p>
      <w:pPr>
        <w:pStyle w:val="Heading1"/>
      </w:pPr>
      <w:r>
        <w:t>4. Stage 01C 算子验证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EF3F8"/>
          </w:tcPr>
          <w:p>
            <w:pPr>
              <w:spacing w:after="0"/>
            </w:pPr>
            <w:r>
              <w:rPr>
                <w:rFonts w:ascii="Hiragino Sans GB" w:hAnsi="Hiragino Sans GB" w:eastAsia="Hiragino Sans GB"/>
                <w:b/>
                <w:color w:val="1F3A5F"/>
                <w:sz w:val="21"/>
              </w:rPr>
              <w:t xml:space="preserve">状态  </w:t>
            </w:r>
            <w:r>
              <w:rPr>
                <w:rFonts w:ascii="Hiragino Sans GB" w:hAnsi="Hiragino Sans GB" w:eastAsia="Hiragino Sans GB"/>
                <w:color w:val="000000"/>
                <w:sz w:val="21"/>
              </w:rPr>
              <w:t>PASS：C1_PASS_C2_PASS_C3_PASS_C4_PASS；未执行 V2 或 TGV。</w:t>
            </w:r>
          </w:p>
        </w:tc>
      </w:tr>
    </w:tbl>
    <w:p>
      <w:pPr>
        <w:spacing w:after="40"/>
      </w:pPr>
    </w:p>
    <w:p>
      <w:pPr>
        <w:pStyle w:val="Heading2"/>
      </w:pPr>
      <w:r>
        <w:t>目标</w:t>
      </w:r>
    </w:p>
    <w:p>
      <w:pPr/>
      <w:r>
        <w:rPr>
          <w:rFonts w:ascii="Hiragino Sans GB" w:hAnsi="Hiragino Sans GB" w:eastAsia="Hiragino Sans GB"/>
          <w:color w:val="000000"/>
          <w:sz w:val="22"/>
        </w:rPr>
        <w:t>对周期邻域、核/导数一致性、压力与黏性结构以及固定邻域原生 PyTorch 自动微分进行重资格，为后续动态求解建立可信算子基线。</w:t>
      </w:r>
    </w:p>
    <w:p>
      <w:pPr>
        <w:pStyle w:val="Heading2"/>
      </w:pPr>
      <w:r>
        <w:t>方法</w:t>
      </w:r>
    </w:p>
    <w:p>
      <w:pPr/>
      <w:r>
        <w:rPr>
          <w:rFonts w:ascii="Hiragino Sans GB" w:hAnsi="Hiragino Sans GB" w:eastAsia="Hiragino Sans GB"/>
          <w:color w:val="000000"/>
          <w:sz w:val="22"/>
        </w:rPr>
        <w:t>采用项目侧唯一 directed-edge 集合和 minimum-image pair 几何；比较 constant-neighbor 与 increasing-neighbor consistency families；用 10 个预登记种子的 ensemble 评估 regular、5% jitter、10% jitter；压力采用交换对称系数与径向 pair gradient，黏性采用对称非负 Γ_ij 和速度差作用；AD 与 centered FD 比较。</w:t>
      </w:r>
    </w:p>
    <w:p>
      <w:pPr>
        <w:pStyle w:val="Heading2"/>
      </w:pPr>
      <w:r>
        <w:t>测试</w:t>
      </w:r>
    </w:p>
    <w:p>
      <w:pPr/>
      <w:r>
        <w:rPr>
          <w:rFonts w:ascii="Hiragino Sans GB" w:hAnsi="Hiragino Sans GB" w:eastAsia="Hiragino Sans GB"/>
          <w:color w:val="000000"/>
          <w:sz w:val="22"/>
        </w:rPr>
        <w:t>正式矩阵包含 300 个 float64 静态配置、12 个精度隔离配置、2,496 行压力/黏性守恒记录和 20 行 AD–FD 记录；全项目回归为 87 passed。</w:t>
      </w:r>
    </w:p>
    <w:p>
      <w:pPr>
        <w:pStyle w:val="Heading2"/>
      </w:pPr>
      <w:r>
        <w:t>结果</w:t>
      </w:r>
    </w:p>
    <w:p>
      <w:pPr/>
      <w:r>
        <w:rPr>
          <w:rFonts w:ascii="Hiragino Sans GB" w:hAnsi="Hiragino Sans GB" w:eastAsia="Hiragino Sans GB"/>
          <w:color w:val="000000"/>
          <w:sz w:val="22"/>
        </w:rPr>
        <w:t>C1：300 行 duplicate、missing self、strict-support omission、nonreciprocal、unexpected edge 全为零，minimum-image Linf 最大 2.22×10⁻¹⁶。C2：selected S0/gradient/divergence/Laplacian 在 increasing-neighbor path 上均端点下降、正斜率且无系统性 N64 rebound；WLS 导数斜率约 1.35。C3：最大相对 pair residual 在 float64 为 7.30×10⁻¹⁸、float32 为 2.92×10⁻¹⁴；黏性功全部为负。C4：20/20 AD–FD finite/nonzero，短步最大相对差 1.62×10⁻⁵，低于 1%。</w:t>
      </w:r>
    </w:p>
    <w:tbl>
      <w:tblPr>
        <w:tblStyle w:val="TableGrid"/>
        <w:tblW w:type="dxa" w:w="9360"/>
        <w:jc w:val="left"/>
        <w:tblLayout w:type="fixed"/>
        <w:tblLook w:firstColumn="1" w:firstRow="1" w:lastColumn="0" w:lastRow="0" w:noHBand="0" w:noVBand="1" w:val="04A0"/>
        <w:tblInd w:w="120" w:type="dxa"/>
      </w:tblPr>
      <w:tblGrid>
        <w:gridCol w:w="900"/>
        <w:gridCol w:w="1100"/>
        <w:gridCol w:w="7360"/>
      </w:tblGrid>
      <w:tr>
        <w:trPr>
          <w:tblHeader w:val="true"/>
          <w:cantSplit w:val="true"/>
        </w:trPr>
        <w:tc>
          <w:tcPr>
            <w:tcW w:type="dxa" w:w="9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门</w:t>
            </w:r>
          </w:p>
        </w:tc>
        <w:tc>
          <w:tcPr>
            <w:tcW w:type="dxa" w:w="11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结果</w:t>
            </w:r>
          </w:p>
        </w:tc>
        <w:tc>
          <w:tcPr>
            <w:tcW w:type="dxa" w:w="736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核心证据</w:t>
            </w:r>
          </w:p>
        </w:tc>
      </w:tr>
      <w:tr>
        <w:trPr>
          <w:cantSplit w:val="true"/>
        </w:trPr>
        <w:tc>
          <w:tcPr>
            <w:tcW w:type="dxa" w:w="900"/>
          </w:tcPr>
          <w:p>
            <w:pPr>
              <w:spacing w:after="0"/>
              <w:jc w:val="center"/>
            </w:pPr>
            <w:r>
              <w:rPr>
                <w:rFonts w:ascii="Hiragino Sans GB" w:hAnsi="Hiragino Sans GB" w:eastAsia="Hiragino Sans GB"/>
                <w:color w:val="000000"/>
                <w:sz w:val="18"/>
              </w:rPr>
              <w:t>C1</w:t>
            </w:r>
          </w:p>
        </w:tc>
        <w:tc>
          <w:tcPr>
            <w:tcW w:type="dxa" w:w="1100"/>
          </w:tcPr>
          <w:p>
            <w:pPr>
              <w:spacing w:after="0"/>
              <w:jc w:val="left"/>
            </w:pPr>
            <w:r>
              <w:rPr>
                <w:rFonts w:ascii="Hiragino Sans GB" w:hAnsi="Hiragino Sans GB" w:eastAsia="Hiragino Sans GB"/>
                <w:color w:val="000000"/>
                <w:sz w:val="18"/>
              </w:rPr>
              <w:t>PASS</w:t>
            </w:r>
          </w:p>
        </w:tc>
        <w:tc>
          <w:tcPr>
            <w:tcW w:type="dxa" w:w="7360"/>
          </w:tcPr>
          <w:p>
            <w:pPr>
              <w:spacing w:after="0"/>
              <w:jc w:val="left"/>
            </w:pPr>
            <w:r>
              <w:rPr>
                <w:rFonts w:ascii="Hiragino Sans GB" w:hAnsi="Hiragino Sans GB" w:eastAsia="Hiragino Sans GB"/>
                <w:color w:val="000000"/>
                <w:sz w:val="18"/>
              </w:rPr>
              <w:t>300 配置零结构缺陷；minimum-image 误差在容差内</w:t>
            </w:r>
          </w:p>
        </w:tc>
      </w:tr>
      <w:tr>
        <w:trPr>
          <w:cantSplit w:val="true"/>
        </w:trPr>
        <w:tc>
          <w:tcPr>
            <w:tcW w:type="dxa" w:w="900"/>
          </w:tcPr>
          <w:p>
            <w:pPr>
              <w:spacing w:after="0"/>
              <w:jc w:val="center"/>
            </w:pPr>
            <w:r>
              <w:rPr>
                <w:rFonts w:ascii="Hiragino Sans GB" w:hAnsi="Hiragino Sans GB" w:eastAsia="Hiragino Sans GB"/>
                <w:color w:val="000000"/>
                <w:sz w:val="18"/>
              </w:rPr>
              <w:t>C2</w:t>
            </w:r>
          </w:p>
        </w:tc>
        <w:tc>
          <w:tcPr>
            <w:tcW w:type="dxa" w:w="1100"/>
          </w:tcPr>
          <w:p>
            <w:pPr>
              <w:spacing w:after="0"/>
              <w:jc w:val="left"/>
            </w:pPr>
            <w:r>
              <w:rPr>
                <w:rFonts w:ascii="Hiragino Sans GB" w:hAnsi="Hiragino Sans GB" w:eastAsia="Hiragino Sans GB"/>
                <w:color w:val="000000"/>
                <w:sz w:val="18"/>
              </w:rPr>
              <w:t>PASS</w:t>
            </w:r>
          </w:p>
        </w:tc>
        <w:tc>
          <w:tcPr>
            <w:tcW w:type="dxa" w:w="7360"/>
          </w:tcPr>
          <w:p>
            <w:pPr>
              <w:spacing w:after="0"/>
              <w:jc w:val="left"/>
            </w:pPr>
            <w:r>
              <w:rPr>
                <w:rFonts w:ascii="Hiragino Sans GB" w:hAnsi="Hiragino Sans GB" w:eastAsia="Hiragino Sans GB"/>
                <w:color w:val="000000"/>
                <w:sz w:val="18"/>
              </w:rPr>
              <w:t>selected 主量端点下降、正斜率、无系统性最高分辨率反弹</w:t>
            </w:r>
          </w:p>
        </w:tc>
      </w:tr>
      <w:tr>
        <w:trPr>
          <w:cantSplit w:val="true"/>
        </w:trPr>
        <w:tc>
          <w:tcPr>
            <w:tcW w:type="dxa" w:w="900"/>
          </w:tcPr>
          <w:p>
            <w:pPr>
              <w:spacing w:after="0"/>
              <w:jc w:val="center"/>
            </w:pPr>
            <w:r>
              <w:rPr>
                <w:rFonts w:ascii="Hiragino Sans GB" w:hAnsi="Hiragino Sans GB" w:eastAsia="Hiragino Sans GB"/>
                <w:color w:val="000000"/>
                <w:sz w:val="18"/>
              </w:rPr>
              <w:t>C3</w:t>
            </w:r>
          </w:p>
        </w:tc>
        <w:tc>
          <w:tcPr>
            <w:tcW w:type="dxa" w:w="1100"/>
          </w:tcPr>
          <w:p>
            <w:pPr>
              <w:spacing w:after="0"/>
              <w:jc w:val="left"/>
            </w:pPr>
            <w:r>
              <w:rPr>
                <w:rFonts w:ascii="Hiragino Sans GB" w:hAnsi="Hiragino Sans GB" w:eastAsia="Hiragino Sans GB"/>
                <w:color w:val="000000"/>
                <w:sz w:val="18"/>
              </w:rPr>
              <w:t>PASS</w:t>
            </w:r>
          </w:p>
        </w:tc>
        <w:tc>
          <w:tcPr>
            <w:tcW w:type="dxa" w:w="7360"/>
          </w:tcPr>
          <w:p>
            <w:pPr>
              <w:spacing w:after="0"/>
              <w:jc w:val="left"/>
            </w:pPr>
            <w:r>
              <w:rPr>
                <w:rFonts w:ascii="Hiragino Sans GB" w:hAnsi="Hiragino Sans GB" w:eastAsia="Hiragino Sans GB"/>
                <w:color w:val="000000"/>
                <w:sz w:val="18"/>
              </w:rPr>
              <w:t>mixed-sign pressure、variable density、双 dtype 守恒/耗散通过</w:t>
            </w:r>
          </w:p>
        </w:tc>
      </w:tr>
      <w:tr>
        <w:trPr>
          <w:cantSplit w:val="true"/>
        </w:trPr>
        <w:tc>
          <w:tcPr>
            <w:tcW w:type="dxa" w:w="900"/>
          </w:tcPr>
          <w:p>
            <w:pPr>
              <w:spacing w:after="0"/>
              <w:jc w:val="center"/>
            </w:pPr>
            <w:r>
              <w:rPr>
                <w:rFonts w:ascii="Hiragino Sans GB" w:hAnsi="Hiragino Sans GB" w:eastAsia="Hiragino Sans GB"/>
                <w:color w:val="000000"/>
                <w:sz w:val="18"/>
              </w:rPr>
              <w:t>C4</w:t>
            </w:r>
          </w:p>
        </w:tc>
        <w:tc>
          <w:tcPr>
            <w:tcW w:type="dxa" w:w="1100"/>
          </w:tcPr>
          <w:p>
            <w:pPr>
              <w:spacing w:after="0"/>
              <w:jc w:val="left"/>
            </w:pPr>
            <w:r>
              <w:rPr>
                <w:rFonts w:ascii="Hiragino Sans GB" w:hAnsi="Hiragino Sans GB" w:eastAsia="Hiragino Sans GB"/>
                <w:color w:val="000000"/>
                <w:sz w:val="18"/>
              </w:rPr>
              <w:t>PASS</w:t>
            </w:r>
          </w:p>
        </w:tc>
        <w:tc>
          <w:tcPr>
            <w:tcW w:type="dxa" w:w="7360"/>
          </w:tcPr>
          <w:p>
            <w:pPr>
              <w:spacing w:after="0"/>
              <w:jc w:val="left"/>
            </w:pPr>
            <w:r>
              <w:rPr>
                <w:rFonts w:ascii="Hiragino Sans GB" w:hAnsi="Hiragino Sans GB" w:eastAsia="Hiragino Sans GB"/>
                <w:color w:val="000000"/>
                <w:sz w:val="18"/>
              </w:rPr>
              <w:t>20/20 原生 AD–FD finite/nonzero</w:t>
            </w:r>
          </w:p>
        </w:tc>
      </w:tr>
    </w:tbl>
    <w:p>
      <w:pPr>
        <w:spacing w:after="20"/>
      </w:pPr>
    </w:p>
    <w:p>
      <w:pPr>
        <w:pStyle w:val="Heading2"/>
      </w:pPr>
      <w:r>
        <w:t>失败与限制</w:t>
      </w:r>
    </w:p>
    <w:p>
      <w:pPr/>
      <w:r>
        <w:rPr>
          <w:rFonts w:ascii="Hiragino Sans GB" w:hAnsi="Hiragino Sans GB" w:eastAsia="Hiragino Sans GB"/>
          <w:color w:val="000000"/>
          <w:sz w:val="22"/>
        </w:rPr>
        <w:t>Stage 01B 的重复边、不可达黏性参数和 upstream backward 缺陷被明确归类；原 variable-density viscosity 与 mixed-sign pressure 的非守恒属于离散结构限制。constant-neighbor raw S0 在 10% jitter 端点比 1.0157，不能作为一致性路线。黏性速度差作用不保证角动量，固定邻域 AD 不声明拓扑可微。</w:t>
      </w:r>
    </w:p>
    <w:p>
      <w:pPr>
        <w:pStyle w:val="Heading2"/>
      </w:pPr>
      <w:r>
        <w:t>科学意义</w:t>
      </w:r>
    </w:p>
    <w:p>
      <w:pPr/>
      <w:r>
        <w:rPr>
          <w:rFonts w:ascii="Hiragino Sans GB" w:hAnsi="Hiragino Sans GB" w:eastAsia="Hiragino Sans GB"/>
          <w:color w:val="000000"/>
          <w:sz w:val="22"/>
        </w:rPr>
        <w:t>结果证明可以同时保留 pair 线动量/耗散结构与无序环境下的可解释一致性路线，并说明高阶局部重构不应直接破坏 pair force 的对称结构。</w:t>
      </w:r>
    </w:p>
    <w:p>
      <w:pPr>
        <w:pStyle w:val="Heading2"/>
      </w:pPr>
      <w:r>
        <w:t>对论文贡献</w:t>
      </w:r>
    </w:p>
    <w:p>
      <w:pPr/>
      <w:r>
        <w:rPr>
          <w:rFonts w:ascii="Hiragino Sans GB" w:hAnsi="Hiragino Sans GB" w:eastAsia="Hiragino Sans GB"/>
          <w:color w:val="000000"/>
          <w:sz w:val="22"/>
        </w:rPr>
        <w:t>可形成方法论文的 SPH 基线与 code verification 小节，给出邻域拓扑、ensemble convergence、守恒恒等式和 AD 资格四类证据。</w:t>
      </w:r>
    </w:p>
    <w:p>
      <w:pPr>
        <w:pStyle w:val="Heading1"/>
      </w:pPr>
      <w:r>
        <w:t>5. Stage 01D 资源审计</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FAIL / INCOMPLETE / DIAGNOSTIC PASS 并存：V2_FAIL 与 STAGE01D2_V2_REQUALIFICATION_FAIL 均保持。</w:t>
            </w:r>
          </w:p>
        </w:tc>
      </w:tr>
    </w:tbl>
    <w:p>
      <w:pPr>
        <w:spacing w:after="40"/>
      </w:pPr>
    </w:p>
    <w:p>
      <w:pPr>
        <w:pStyle w:val="Heading2"/>
      </w:pPr>
      <w:r>
        <w:t>目标</w:t>
      </w:r>
    </w:p>
    <w:p>
      <w:pPr/>
      <w:r>
        <w:rPr>
          <w:rFonts w:ascii="Hiragino Sans GB" w:hAnsi="Hiragino Sans GB" w:eastAsia="Hiragino Sans GB"/>
          <w:color w:val="000000"/>
          <w:sz w:val="22"/>
        </w:rPr>
        <w:t>确定早期 N32 smoke 的 RSS 增长是 allocator warm-up、有界工作集、诊断保留、GC 延迟还是真实随 step 增长的 retention，并建立可执行的隔离资源政策后重新资格 V2。</w:t>
      </w:r>
    </w:p>
    <w:p>
      <w:pPr>
        <w:pStyle w:val="Heading2"/>
      </w:pPr>
      <w:r>
        <w:t>方法</w:t>
      </w:r>
    </w:p>
    <w:p>
      <w:pPr/>
      <w:r>
        <w:rPr>
          <w:rFonts w:ascii="Hiragino Sans GB" w:hAnsi="Hiragino Sans GB" w:eastAsia="Hiragino Sans GB"/>
          <w:color w:val="000000"/>
          <w:sz w:val="22"/>
        </w:rPr>
        <w:t>依次执行 Stage 01D-R 到 R5 的静态保留审计、A/B/C 变体、tensor/storage/weakref inventory、固定拓扑与支撑 margin control、retired/current 语义分类、GC default/disabled/periodic 对照和 instrumentation isolation。随后 Stage 01D-P 冻结独立子进程、默认 GC、no_grad、checkpoint-only 政策，Stage 01D2 在该政策下执行正式矩阵。</w:t>
      </w:r>
    </w:p>
    <w:p>
      <w:pPr>
        <w:pStyle w:val="Heading2"/>
      </w:pPr>
      <w:r>
        <w:t>测试</w:t>
      </w:r>
    </w:p>
    <w:p>
      <w:pPr/>
      <w:r>
        <w:rPr>
          <w:rFonts w:ascii="Hiragino Sans GB" w:hAnsi="Hiragino Sans GB" w:eastAsia="Hiragino Sans GB"/>
          <w:color w:val="000000"/>
          <w:sz w:val="22"/>
        </w:rPr>
        <w:t>01D-R 使用 N16/N32、A solver-minimal、B diagnostics、C diagnostics+archive 各三次 500-step；01D-R2/R3/R4/R5 进一步使用 2,000-step controls、泄漏 fixture、25 个独立 worker 与 GC schedule contrast。Stage 01D2 测试时间、空间、support、jitter、Mach、动态守恒、AD 和资源回收。</w:t>
      </w:r>
    </w:p>
    <w:p>
      <w:pPr>
        <w:pStyle w:val="Heading2"/>
      </w:pPr>
      <w:r>
        <w:t>结果</w:t>
      </w:r>
    </w:p>
    <w:p>
      <w:pPr/>
      <w:r>
        <w:rPr>
          <w:rFonts w:ascii="Hiragino Sans GB" w:hAnsi="Hiragino Sans GB" w:eastAsia="Hiragino Sans GB"/>
          <w:color w:val="000000"/>
          <w:sz w:val="22"/>
        </w:rPr>
        <w:t>初始 N32 smoke 从 233.8 MB 增至 324.4 MB，触发有效旧资源门。01D-R 的 REG 数值回归 PASS，但 N32 post-warm-up slope 仍为正，状态为 RESOURCE_FAIL_LINEAR_GROWTH。R2 证明 β_edge≈48 B/edge、β_step CI 包含零，但固定拓扑控制只通过 3/6，归因为 ATTRIBUTION_UNRESOLVED。R3 将 82940/82942/82944 edge 切换定位为 H/dx=5 与 q=5 截断壳层重合。R4 在非 GC steps 重新检出 retired old-survivor 峰值 [12,15,18] 与 same-slot 9 代。R5 显示 default GC 有界、GC disabled 约 10 storage/step 线性增长、periodic GC checkpoint 归零，最终为 R5_BOUNDED_GC_DELAY_CONFIRMED。</w:t>
      </w:r>
    </w:p>
    <w:p>
      <w:pPr/>
      <w:r>
        <w:rPr>
          <w:rFonts w:ascii="Hiragino Sans GB" w:hAnsi="Hiragino Sans GB" w:eastAsia="Hiragino Sans GB"/>
          <w:color w:val="000000"/>
          <w:sz w:val="22"/>
        </w:rPr>
        <w:t>Stage 01D2 的 prerequisite、T1–T4、S1–S6、Mach 完成、动态守恒和 20/20 AD 均 PASS；但动态无序为 D_FAIL，全部接受轨迹资源与回收总门 FAIL。6/6 jitter 的 RSS 相对增长 54.9%–61.7%，10% jitter velocity-error multiplier 中位数 9.338，最终状态为 STAGE01D2_V2_REQUALIFICATION_FAIL。</w:t>
      </w:r>
    </w:p>
    <w:tbl>
      <w:tblPr>
        <w:tblStyle w:val="TableGrid"/>
        <w:tblW w:type="dxa" w:w="9360"/>
        <w:jc w:val="left"/>
        <w:tblLayout w:type="fixed"/>
        <w:tblLook w:firstColumn="1" w:firstRow="1" w:lastColumn="0" w:lastRow="0" w:noHBand="0" w:noVBand="1" w:val="04A0"/>
        <w:tblInd w:w="120" w:type="dxa"/>
      </w:tblPr>
      <w:tblGrid>
        <w:gridCol w:w="1000"/>
        <w:gridCol w:w="3200"/>
        <w:gridCol w:w="5160"/>
      </w:tblGrid>
      <w:tr>
        <w:trPr>
          <w:tblHeader w:val="true"/>
          <w:cantSplit w:val="true"/>
        </w:trPr>
        <w:tc>
          <w:tcPr>
            <w:tcW w:type="dxa" w:w="10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阶段</w:t>
            </w:r>
          </w:p>
        </w:tc>
        <w:tc>
          <w:tcPr>
            <w:tcW w:type="dxa" w:w="32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精确状态</w:t>
            </w:r>
          </w:p>
        </w:tc>
        <w:tc>
          <w:tcPr>
            <w:tcW w:type="dxa" w:w="516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解释</w:t>
            </w:r>
          </w:p>
        </w:tc>
      </w:tr>
      <w:tr>
        <w:trPr>
          <w:cantSplit w:val="true"/>
        </w:trPr>
        <w:tc>
          <w:tcPr>
            <w:tcW w:type="dxa" w:w="1000"/>
          </w:tcPr>
          <w:p>
            <w:pPr>
              <w:spacing w:after="0"/>
              <w:jc w:val="center"/>
            </w:pPr>
            <w:r>
              <w:rPr>
                <w:rFonts w:ascii="Hiragino Sans GB" w:hAnsi="Hiragino Sans GB" w:eastAsia="Hiragino Sans GB"/>
                <w:color w:val="000000"/>
                <w:sz w:val="18"/>
              </w:rPr>
              <w:t>01D</w:t>
            </w:r>
          </w:p>
        </w:tc>
        <w:tc>
          <w:tcPr>
            <w:tcW w:type="dxa" w:w="3200"/>
          </w:tcPr>
          <w:p>
            <w:pPr>
              <w:spacing w:after="0"/>
              <w:jc w:val="left"/>
            </w:pPr>
            <w:r>
              <w:rPr>
                <w:rFonts w:ascii="Hiragino Sans GB" w:hAnsi="Hiragino Sans GB" w:eastAsia="Hiragino Sans GB"/>
                <w:color w:val="000000"/>
                <w:sz w:val="18"/>
              </w:rPr>
              <w:t>V2_FAIL</w:t>
            </w:r>
          </w:p>
        </w:tc>
        <w:tc>
          <w:tcPr>
            <w:tcW w:type="dxa" w:w="5160"/>
          </w:tcPr>
          <w:p>
            <w:pPr>
              <w:spacing w:after="0"/>
              <w:jc w:val="left"/>
            </w:pPr>
            <w:r>
              <w:rPr>
                <w:rFonts w:ascii="Hiragino Sans GB" w:hAnsi="Hiragino Sans GB" w:eastAsia="Hiragino Sans GB"/>
                <w:color w:val="000000"/>
                <w:sz w:val="18"/>
              </w:rPr>
              <w:t>旧资源门失败，永久保留</w:t>
            </w:r>
          </w:p>
        </w:tc>
      </w:tr>
      <w:tr>
        <w:trPr>
          <w:cantSplit w:val="true"/>
        </w:trPr>
        <w:tc>
          <w:tcPr>
            <w:tcW w:type="dxa" w:w="1000"/>
          </w:tcPr>
          <w:p>
            <w:pPr>
              <w:spacing w:after="0"/>
              <w:jc w:val="center"/>
            </w:pPr>
            <w:r>
              <w:rPr>
                <w:rFonts w:ascii="Hiragino Sans GB" w:hAnsi="Hiragino Sans GB" w:eastAsia="Hiragino Sans GB"/>
                <w:color w:val="000000"/>
                <w:sz w:val="18"/>
              </w:rPr>
              <w:t>01D-R</w:t>
            </w:r>
          </w:p>
        </w:tc>
        <w:tc>
          <w:tcPr>
            <w:tcW w:type="dxa" w:w="3200"/>
          </w:tcPr>
          <w:p>
            <w:pPr>
              <w:spacing w:after="0"/>
              <w:jc w:val="left"/>
            </w:pPr>
            <w:r>
              <w:rPr>
                <w:rFonts w:ascii="Hiragino Sans GB" w:hAnsi="Hiragino Sans GB" w:eastAsia="Hiragino Sans GB"/>
                <w:color w:val="000000"/>
                <w:sz w:val="18"/>
              </w:rPr>
              <w:t>RESOURCE_FAIL_LINEAR_GROWTH</w:t>
            </w:r>
          </w:p>
        </w:tc>
        <w:tc>
          <w:tcPr>
            <w:tcW w:type="dxa" w:w="5160"/>
          </w:tcPr>
          <w:p>
            <w:pPr>
              <w:spacing w:after="0"/>
              <w:jc w:val="left"/>
            </w:pPr>
            <w:r>
              <w:rPr>
                <w:rFonts w:ascii="Hiragino Sans GB" w:hAnsi="Hiragino Sans GB" w:eastAsia="Hiragino Sans GB"/>
                <w:color w:val="000000"/>
                <w:sz w:val="18"/>
              </w:rPr>
              <w:t>post-warm-up 资源资格失败</w:t>
            </w:r>
          </w:p>
        </w:tc>
      </w:tr>
      <w:tr>
        <w:trPr>
          <w:cantSplit w:val="true"/>
        </w:trPr>
        <w:tc>
          <w:tcPr>
            <w:tcW w:type="dxa" w:w="1000"/>
          </w:tcPr>
          <w:p>
            <w:pPr>
              <w:spacing w:after="0"/>
              <w:jc w:val="center"/>
            </w:pPr>
            <w:r>
              <w:rPr>
                <w:rFonts w:ascii="Hiragino Sans GB" w:hAnsi="Hiragino Sans GB" w:eastAsia="Hiragino Sans GB"/>
                <w:color w:val="000000"/>
                <w:sz w:val="18"/>
              </w:rPr>
              <w:t>01D-R2</w:t>
            </w:r>
          </w:p>
        </w:tc>
        <w:tc>
          <w:tcPr>
            <w:tcW w:type="dxa" w:w="3200"/>
          </w:tcPr>
          <w:p>
            <w:pPr>
              <w:spacing w:after="0"/>
              <w:jc w:val="left"/>
            </w:pPr>
            <w:r>
              <w:rPr>
                <w:rFonts w:ascii="Hiragino Sans GB" w:hAnsi="Hiragino Sans GB" w:eastAsia="Hiragino Sans GB"/>
                <w:color w:val="000000"/>
                <w:sz w:val="18"/>
              </w:rPr>
              <w:t>ATTRIBUTION_UNRESOLVED</w:t>
            </w:r>
          </w:p>
        </w:tc>
        <w:tc>
          <w:tcPr>
            <w:tcW w:type="dxa" w:w="5160"/>
          </w:tcPr>
          <w:p>
            <w:pPr>
              <w:spacing w:after="0"/>
              <w:jc w:val="left"/>
            </w:pPr>
            <w:r>
              <w:rPr>
                <w:rFonts w:ascii="Hiragino Sans GB" w:hAnsi="Hiragino Sans GB" w:eastAsia="Hiragino Sans GB"/>
                <w:color w:val="000000"/>
                <w:sz w:val="18"/>
              </w:rPr>
              <w:t>固定拓扑控制不足</w:t>
            </w:r>
          </w:p>
        </w:tc>
      </w:tr>
      <w:tr>
        <w:trPr>
          <w:cantSplit w:val="true"/>
        </w:trPr>
        <w:tc>
          <w:tcPr>
            <w:tcW w:type="dxa" w:w="1000"/>
          </w:tcPr>
          <w:p>
            <w:pPr>
              <w:spacing w:after="0"/>
              <w:jc w:val="center"/>
            </w:pPr>
            <w:r>
              <w:rPr>
                <w:rFonts w:ascii="Hiragino Sans GB" w:hAnsi="Hiragino Sans GB" w:eastAsia="Hiragino Sans GB"/>
                <w:color w:val="000000"/>
                <w:sz w:val="18"/>
              </w:rPr>
              <w:t>01D-R3</w:t>
            </w:r>
          </w:p>
        </w:tc>
        <w:tc>
          <w:tcPr>
            <w:tcW w:type="dxa" w:w="3200"/>
          </w:tcPr>
          <w:p>
            <w:pPr>
              <w:spacing w:after="0"/>
              <w:jc w:val="left"/>
            </w:pPr>
            <w:r>
              <w:rPr>
                <w:rFonts w:ascii="Hiragino Sans GB" w:hAnsi="Hiragino Sans GB" w:eastAsia="Hiragino Sans GB"/>
                <w:color w:val="000000"/>
                <w:sz w:val="18"/>
              </w:rPr>
              <w:t>R3_CONFIRMATION_UNRESOLVED</w:t>
            </w:r>
          </w:p>
        </w:tc>
        <w:tc>
          <w:tcPr>
            <w:tcW w:type="dxa" w:w="5160"/>
          </w:tcPr>
          <w:p>
            <w:pPr>
              <w:spacing w:after="0"/>
              <w:jc w:val="left"/>
            </w:pPr>
            <w:r>
              <w:rPr>
                <w:rFonts w:ascii="Hiragino Sans GB" w:hAnsi="Hiragino Sans GB" w:eastAsia="Hiragino Sans GB"/>
                <w:color w:val="000000"/>
                <w:sz w:val="18"/>
              </w:rPr>
              <w:t>壳层解释成立但旧门仍失败</w:t>
            </w:r>
          </w:p>
        </w:tc>
      </w:tr>
      <w:tr>
        <w:trPr>
          <w:cantSplit w:val="true"/>
        </w:trPr>
        <w:tc>
          <w:tcPr>
            <w:tcW w:type="dxa" w:w="1000"/>
          </w:tcPr>
          <w:p>
            <w:pPr>
              <w:spacing w:after="0"/>
              <w:jc w:val="center"/>
            </w:pPr>
            <w:r>
              <w:rPr>
                <w:rFonts w:ascii="Hiragino Sans GB" w:hAnsi="Hiragino Sans GB" w:eastAsia="Hiragino Sans GB"/>
                <w:color w:val="000000"/>
                <w:sz w:val="18"/>
              </w:rPr>
              <w:t>01D-R4</w:t>
            </w:r>
          </w:p>
        </w:tc>
        <w:tc>
          <w:tcPr>
            <w:tcW w:type="dxa" w:w="3200"/>
          </w:tcPr>
          <w:p>
            <w:pPr>
              <w:spacing w:after="0"/>
              <w:jc w:val="left"/>
            </w:pPr>
            <w:r>
              <w:rPr>
                <w:rFonts w:ascii="Hiragino Sans GB" w:hAnsi="Hiragino Sans GB" w:eastAsia="Hiragino Sans GB"/>
                <w:color w:val="000000"/>
                <w:sz w:val="18"/>
              </w:rPr>
              <w:t>R4_RETENTION_REDETECTED</w:t>
            </w:r>
          </w:p>
        </w:tc>
        <w:tc>
          <w:tcPr>
            <w:tcW w:type="dxa" w:w="5160"/>
          </w:tcPr>
          <w:p>
            <w:pPr>
              <w:spacing w:after="0"/>
              <w:jc w:val="left"/>
            </w:pPr>
            <w:r>
              <w:rPr>
                <w:rFonts w:ascii="Hiragino Sans GB" w:hAnsi="Hiragino Sans GB" w:eastAsia="Hiragino Sans GB"/>
                <w:color w:val="000000"/>
                <w:sz w:val="18"/>
              </w:rPr>
              <w:t>retired storage 信号重现</w:t>
            </w:r>
          </w:p>
        </w:tc>
      </w:tr>
      <w:tr>
        <w:trPr>
          <w:cantSplit w:val="true"/>
        </w:trPr>
        <w:tc>
          <w:tcPr>
            <w:tcW w:type="dxa" w:w="1000"/>
          </w:tcPr>
          <w:p>
            <w:pPr>
              <w:spacing w:after="0"/>
              <w:jc w:val="center"/>
            </w:pPr>
            <w:r>
              <w:rPr>
                <w:rFonts w:ascii="Hiragino Sans GB" w:hAnsi="Hiragino Sans GB" w:eastAsia="Hiragino Sans GB"/>
                <w:color w:val="000000"/>
                <w:sz w:val="18"/>
              </w:rPr>
              <w:t>01D-R5</w:t>
            </w:r>
          </w:p>
        </w:tc>
        <w:tc>
          <w:tcPr>
            <w:tcW w:type="dxa" w:w="3200"/>
          </w:tcPr>
          <w:p>
            <w:pPr>
              <w:spacing w:after="0"/>
              <w:jc w:val="left"/>
            </w:pPr>
            <w:r>
              <w:rPr>
                <w:rFonts w:ascii="Hiragino Sans GB" w:hAnsi="Hiragino Sans GB" w:eastAsia="Hiragino Sans GB"/>
                <w:color w:val="000000"/>
                <w:sz w:val="18"/>
              </w:rPr>
              <w:t>R5_BOUNDED_GC_DELAY_CONFIRMED</w:t>
            </w:r>
          </w:p>
        </w:tc>
        <w:tc>
          <w:tcPr>
            <w:tcW w:type="dxa" w:w="5160"/>
          </w:tcPr>
          <w:p>
            <w:pPr>
              <w:spacing w:after="0"/>
              <w:jc w:val="left"/>
            </w:pPr>
            <w:r>
              <w:rPr>
                <w:rFonts w:ascii="Hiragino Sans GB" w:hAnsi="Hiragino Sans GB" w:eastAsia="Hiragino Sans GB"/>
                <w:color w:val="000000"/>
                <w:sz w:val="18"/>
              </w:rPr>
              <w:t>有界 GC 延迟；无显式循环归因</w:t>
            </w:r>
          </w:p>
        </w:tc>
      </w:tr>
      <w:tr>
        <w:trPr>
          <w:cantSplit w:val="true"/>
        </w:trPr>
        <w:tc>
          <w:tcPr>
            <w:tcW w:type="dxa" w:w="1000"/>
          </w:tcPr>
          <w:p>
            <w:pPr>
              <w:spacing w:after="0"/>
              <w:jc w:val="center"/>
            </w:pPr>
            <w:r>
              <w:rPr>
                <w:rFonts w:ascii="Hiragino Sans GB" w:hAnsi="Hiragino Sans GB" w:eastAsia="Hiragino Sans GB"/>
                <w:color w:val="000000"/>
                <w:sz w:val="18"/>
              </w:rPr>
              <w:t>01D-P</w:t>
            </w:r>
          </w:p>
        </w:tc>
        <w:tc>
          <w:tcPr>
            <w:tcW w:type="dxa" w:w="3200"/>
          </w:tcPr>
          <w:p>
            <w:pPr>
              <w:spacing w:after="0"/>
              <w:jc w:val="left"/>
            </w:pPr>
            <w:r>
              <w:rPr>
                <w:rFonts w:ascii="Hiragino Sans GB" w:hAnsi="Hiragino Sans GB" w:eastAsia="Hiragino Sans GB"/>
                <w:color w:val="000000"/>
                <w:sz w:val="18"/>
              </w:rPr>
              <w:t>POLICY_PASS_ISOLATED_DEFAULT_GC</w:t>
            </w:r>
          </w:p>
        </w:tc>
        <w:tc>
          <w:tcPr>
            <w:tcW w:type="dxa" w:w="5160"/>
          </w:tcPr>
          <w:p>
            <w:pPr>
              <w:spacing w:after="0"/>
              <w:jc w:val="left"/>
            </w:pPr>
            <w:r>
              <w:rPr>
                <w:rFonts w:ascii="Hiragino Sans GB" w:hAnsi="Hiragino Sans GB" w:eastAsia="Hiragino Sans GB"/>
                <w:color w:val="000000"/>
                <w:sz w:val="18"/>
              </w:rPr>
              <w:t>执行政策资格</w:t>
            </w:r>
          </w:p>
        </w:tc>
      </w:tr>
      <w:tr>
        <w:trPr>
          <w:cantSplit w:val="true"/>
        </w:trPr>
        <w:tc>
          <w:tcPr>
            <w:tcW w:type="dxa" w:w="1000"/>
          </w:tcPr>
          <w:p>
            <w:pPr>
              <w:spacing w:after="0"/>
              <w:jc w:val="center"/>
            </w:pPr>
            <w:r>
              <w:rPr>
                <w:rFonts w:ascii="Hiragino Sans GB" w:hAnsi="Hiragino Sans GB" w:eastAsia="Hiragino Sans GB"/>
                <w:color w:val="000000"/>
                <w:sz w:val="18"/>
              </w:rPr>
              <w:t>01D2</w:t>
            </w:r>
          </w:p>
        </w:tc>
        <w:tc>
          <w:tcPr>
            <w:tcW w:type="dxa" w:w="3200"/>
          </w:tcPr>
          <w:p>
            <w:pPr>
              <w:spacing w:after="0"/>
              <w:jc w:val="left"/>
            </w:pPr>
            <w:r>
              <w:rPr>
                <w:rFonts w:ascii="Hiragino Sans GB" w:hAnsi="Hiragino Sans GB" w:eastAsia="Hiragino Sans GB"/>
                <w:color w:val="000000"/>
                <w:sz w:val="18"/>
              </w:rPr>
              <w:t>STAGE01D2_V2_REQUALIFICATION_FAIL</w:t>
            </w:r>
          </w:p>
        </w:tc>
        <w:tc>
          <w:tcPr>
            <w:tcW w:type="dxa" w:w="5160"/>
          </w:tcPr>
          <w:p>
            <w:pPr>
              <w:spacing w:after="0"/>
              <w:jc w:val="left"/>
            </w:pPr>
            <w:r>
              <w:rPr>
                <w:rFonts w:ascii="Hiragino Sans GB" w:hAnsi="Hiragino Sans GB" w:eastAsia="Hiragino Sans GB"/>
                <w:color w:val="000000"/>
                <w:sz w:val="18"/>
              </w:rPr>
              <w:t>jitter 与资源硬门失败</w:t>
            </w:r>
          </w:p>
        </w:tc>
      </w:tr>
    </w:tbl>
    <w:p>
      <w:pPr>
        <w:spacing w:after="20"/>
      </w:pPr>
    </w:p>
    <w:p>
      <w:pPr>
        <w:pStyle w:val="Heading2"/>
      </w:pPr>
      <w:r>
        <w:t>失败与限制</w:t>
      </w:r>
    </w:p>
    <w:p>
      <w:pPr/>
      <w:r>
        <w:rPr>
          <w:rFonts w:ascii="Hiragino Sans GB" w:hAnsi="Hiragino Sans GB" w:eastAsia="Hiragino Sans GB"/>
          <w:color w:val="000000"/>
          <w:sz w:val="22"/>
        </w:rPr>
        <w:t>R5 未定位 explicit cycle 或唯一 owner/referrer，instrumentation isolation 门为 False；periodic GC 不能冒充代码修复。Stage 01D2 空间主序列含 N48 仍非单调，GCI not justified。任何诊断 PASS 都不撤销 Stage 01D 的 V2_FAIL、R/R2/R3/R4 状态或 Stage 01D2 FAIL。</w:t>
      </w:r>
    </w:p>
    <w:p>
      <w:pPr>
        <w:pStyle w:val="Heading2"/>
      </w:pPr>
      <w:r>
        <w:t>科学意义</w:t>
      </w:r>
    </w:p>
    <w:p>
      <w:pPr/>
      <w:r>
        <w:rPr>
          <w:rFonts w:ascii="Hiragino Sans GB" w:hAnsi="Hiragino Sans GB" w:eastAsia="Hiragino Sans GB"/>
          <w:color w:val="000000"/>
          <w:sz w:val="22"/>
        </w:rPr>
        <w:t>资源审计证明 RSS 增长不能直接等同于数值发散或单一泄漏；必须分离 allocator、current working set、retired storage 和 GC schedule。它也表明资源门是科学可复现性的组成，而不是可忽略的工程附录。</w:t>
      </w:r>
    </w:p>
    <w:p>
      <w:pPr>
        <w:pStyle w:val="Heading2"/>
      </w:pPr>
      <w:r>
        <w:t>对论文贡献</w:t>
      </w:r>
    </w:p>
    <w:p>
      <w:pPr/>
      <w:r>
        <w:rPr>
          <w:rFonts w:ascii="Hiragino Sans GB" w:hAnsi="Hiragino Sans GB" w:eastAsia="Hiragino Sans GB"/>
          <w:color w:val="000000"/>
          <w:sz w:val="22"/>
        </w:rPr>
        <w:t>论文可将资源审计作为可信计算与 failure analysis 小节，报告子进程隔离、默认 GC、no-overwrite、弱引用语义和失败保留策略。</w:t>
      </w:r>
    </w:p>
    <w:p>
      <w:pPr>
        <w:pStyle w:val="Heading1"/>
      </w:pPr>
      <w:r>
        <w:t>6. Stage 01E 模型误差分析</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PASS（诊断完成）：E_MODEL_FORM_ALIGNMENT_DOMINANT；Stage 01D2 FAIL 不变。</w:t>
            </w:r>
          </w:p>
        </w:tc>
      </w:tr>
    </w:tbl>
    <w:p>
      <w:pPr>
        <w:spacing w:after="40"/>
      </w:pPr>
    </w:p>
    <w:p>
      <w:pPr>
        <w:pStyle w:val="Heading2"/>
      </w:pPr>
      <w:r>
        <w:t>目标</w:t>
      </w:r>
    </w:p>
    <w:p>
      <w:pPr/>
      <w:r>
        <w:rPr>
          <w:rFonts w:ascii="Hiragino Sans GB" w:hAnsi="Hiragino Sans GB" w:eastAsia="Hiragino Sans GB"/>
          <w:color w:val="000000"/>
          <w:sz w:val="22"/>
        </w:rPr>
        <w:t>解释 Stage 01D2 TGV 误差与无序放大的主要科学机制，区分时间误差、SPH operator residual、EOS 初始化不相容、支撑路径和资源效应。</w:t>
      </w:r>
    </w:p>
    <w:p>
      <w:pPr>
        <w:pStyle w:val="Heading2"/>
      </w:pPr>
      <w:r>
        <w:t>方法</w:t>
      </w:r>
    </w:p>
    <w:p>
      <w:pPr/>
      <w:r>
        <w:rPr>
          <w:rFonts w:ascii="Hiragino Sans GB" w:hAnsi="Hiragino Sans GB" w:eastAsia="Hiragino Sans GB"/>
          <w:color w:val="000000"/>
          <w:sz w:val="22"/>
        </w:rPr>
        <w:t>重新审计冻结 TGV 时间/空间/jitter/Mach 数据；验证解析压力与材料加速度；在 210 个 t=0 cases 分解 pressure operator、EOS initialization、viscosity 和 total residual；执行不构成新 V2 证据的 40-step 短程误差增长诊断；分析无序与 EOS/total residual 的相关性。</w:t>
      </w:r>
    </w:p>
    <w:p>
      <w:pPr>
        <w:pStyle w:val="Heading2"/>
      </w:pPr>
      <w:r>
        <w:t>测试</w:t>
      </w:r>
    </w:p>
    <w:p>
      <w:pPr/>
      <w:r>
        <w:rPr>
          <w:rFonts w:ascii="Hiragino Sans GB" w:hAnsi="Hiragino Sans GB" w:eastAsia="Hiragino Sans GB"/>
          <w:color w:val="000000"/>
          <w:sz w:val="22"/>
        </w:rPr>
        <w:t>时间步从 1e-3 到 1.25e-4；increasing family N16/24/32/48；constant family N16/24/32；5%/10% jitter 各三条正式轨迹并补充短程多 seed；c_s=10/20/40 的 Mach audit。</w:t>
      </w:r>
    </w:p>
    <w:p>
      <w:pPr>
        <w:pStyle w:val="Heading2"/>
      </w:pPr>
      <w:r>
        <w:t>结果</w:t>
      </w:r>
    </w:p>
    <w:p>
      <w:pPr/>
      <w:r>
        <w:rPr>
          <w:rFonts w:ascii="Hiragino Sans GB" w:hAnsi="Hiragino Sans GB" w:eastAsia="Hiragino Sans GB"/>
          <w:color w:val="000000"/>
          <w:sz w:val="22"/>
        </w:rPr>
        <w:t>时间细化下 velocity L2 从 0.015718 降至 0.014985，显示时间误差不是主导。increasing path 的 velocity L2 为 0.018656、0.004907、0.014985、0.019456，非单调；Mach 降低时 velocity L2 改善至 0.006809。t=0 残差分解 210/210 闭合，最大 Linf 8.36×10⁻¹⁴。N32 increasing jitter 的 EOS/operator 中位 L2 比为 144.053；中位 R_EOS_initialization_L2≈24.058，显著大于 pressure operator≈0.167 和 viscosity≈0.0148。</w:t>
      </w:r>
    </w:p>
    <w:p>
      <w:pPr/>
      <w:r>
        <w:rPr>
          <w:rFonts w:ascii="Hiragino Sans GB" w:hAnsi="Hiragino Sans GB" w:eastAsia="Hiragino Sans GB"/>
          <w:color w:val="000000"/>
          <w:sz w:val="22"/>
        </w:rPr>
        <w:t>短程 regular/jitter 的 velocity error 从零逐步积累，而 step 0 已存在 density/EOS/material residual；EOS/total residual 对无序幅度相关系数约 0.9985，冻结 Stage 01D2 六轨迹约 0.9429。唯一机制分类为 E_MODEL_FORM_ALIGNMENT_DOMINANT。</w:t>
      </w:r>
    </w:p>
    <w:p>
      <w:pPr>
        <w:pStyle w:val="Heading2"/>
      </w:pPr>
      <w:r>
        <w:t>失败与限制</w:t>
      </w:r>
    </w:p>
    <w:p>
      <w:pPr/>
      <w:r>
        <w:rPr>
          <w:rFonts w:ascii="Hiragino Sans GB" w:hAnsi="Hiragino Sans GB" w:eastAsia="Hiragino Sans GB"/>
          <w:color w:val="000000"/>
          <w:sz w:val="22"/>
        </w:rPr>
        <w:t>two-term asymptotic fit 不可辨识，increasing path 不报告标准空间阶；相关性不构成因果证明。Stage 01E 的 40-step 轨迹不进入 V2，资源解释不产生新资源 PASS。不可压 TGV exact field 未强制满足冻结 weakly-compressible/EOS 初始化，因此不能继续作为唯一 exact-reference benchmark。</w:t>
      </w:r>
    </w:p>
    <w:p>
      <w:pPr>
        <w:pStyle w:val="Heading2"/>
      </w:pPr>
      <w:r>
        <w:t>科学意义</w:t>
      </w:r>
    </w:p>
    <w:p>
      <w:pPr/>
      <w:r>
        <w:rPr>
          <w:rFonts w:ascii="Hiragino Sans GB" w:hAnsi="Hiragino Sans GB" w:eastAsia="Hiragino Sans GB"/>
          <w:color w:val="000000"/>
          <w:sz w:val="22"/>
        </w:rPr>
        <w:t>该阶段把“大误差”等价为“坏离散算子”的简单解释否定：主导项可能来自连续模型、EOS 和初始化合同不对齐。这个结论直接决定未来学习标签必须排除 model-form mismatch。</w:t>
      </w:r>
    </w:p>
    <w:p>
      <w:pPr>
        <w:pStyle w:val="Heading2"/>
      </w:pPr>
      <w:r>
        <w:t>对论文贡献</w:t>
      </w:r>
    </w:p>
    <w:p>
      <w:pPr/>
      <w:r>
        <w:rPr>
          <w:rFonts w:ascii="Hiragino Sans GB" w:hAnsi="Hiragino Sans GB" w:eastAsia="Hiragino Sans GB"/>
          <w:color w:val="000000"/>
          <w:sz w:val="22"/>
        </w:rPr>
        <w:t>可形成误差归因章节，用残差预算和短程增长证据说明为什么后续转向 WCSPH-compatible MMS，并支撑 Stage 02 的 reference-class 标签设计。</w:t>
      </w:r>
    </w:p>
    <w:p>
      <w:pPr>
        <w:pStyle w:val="Heading1"/>
      </w:pPr>
      <w:r>
        <w:t>7. Stage 01F MMS 验证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PASS / FAIL / INCOMPLETE 链：MMS 规范与实现 PASS；两次收敛资格 FAIL；CT2 归因为 INCOMPLETE；plateau-aware 协议/设计完成。</w:t>
            </w:r>
          </w:p>
        </w:tc>
      </w:tr>
    </w:tbl>
    <w:p>
      <w:pPr>
        <w:spacing w:after="40"/>
      </w:pPr>
    </w:p>
    <w:p>
      <w:pPr>
        <w:pStyle w:val="Heading2"/>
      </w:pPr>
      <w:r>
        <w:t>目标</w:t>
      </w:r>
    </w:p>
    <w:p>
      <w:pPr/>
      <w:r>
        <w:rPr>
          <w:rFonts w:ascii="Hiragino Sans GB" w:hAnsi="Hiragino Sans GB" w:eastAsia="Hiragino Sans GB"/>
          <w:color w:val="000000"/>
          <w:sz w:val="22"/>
        </w:rPr>
        <w:t>建立与冻结 WCSPH 连续方程、EOS 和 source 合同一致的制造解，验证 source 注入、半离散参考、RK2 时间阶、空间 consistency path、守恒、资源和不确定性。</w:t>
      </w:r>
    </w:p>
    <w:p>
      <w:pPr>
        <w:pStyle w:val="Heading2"/>
      </w:pPr>
      <w:r>
        <w:t>方法</w:t>
      </w:r>
    </w:p>
    <w:p>
      <w:pPr/>
      <w:r>
        <w:rPr>
          <w:rFonts w:ascii="Hiragino Sans GB" w:hAnsi="Hiragino Sans GB" w:eastAsia="Hiragino Sans GB"/>
          <w:color w:val="000000"/>
          <w:sz w:val="22"/>
        </w:rPr>
        <w:t>Stage 01F 定义 MMS-A 平移密度波与 MMS-B 衰减涡旋，手工公式与 autograd 交叉验证；01F2 在 numerical positions 和 physical stage time 上于 RK2 start/midpoint 重算 source；01F3 采用 DOP853 半离散参考；01F3-R 引入 independent dense all-pairs RHS 解释合法 cutoff crossing；01F3B 执行正式时间/空间矩阵；01F3C 分解 total/space/time 向量与交叉项；01F4/F5/F5-P/F5-Q 前瞻设计 plateau-aware 重资格。</w:t>
      </w:r>
    </w:p>
    <w:p>
      <w:pPr>
        <w:pStyle w:val="Heading2"/>
      </w:pPr>
      <w:r>
        <w:t>测试</w:t>
      </w:r>
    </w:p>
    <w:p>
      <w:pPr/>
      <w:r>
        <w:rPr>
          <w:rFonts w:ascii="Hiragino Sans GB" w:hAnsi="Hiragino Sans GB" w:eastAsia="Hiragino Sans GB"/>
          <w:color w:val="000000"/>
          <w:sz w:val="22"/>
        </w:rPr>
        <w:t>连续闭合使用 10,000 random points 与 boundary-near points；manual/autograd 最大差 7.11×10⁻¹⁵。01F2 的 source AD/FD 最大相对差 4.08×10⁻¹⁰，短程最终 velocity relative L2 最大 9.30×10⁻³。01F3-R 在 461 个状态检查 sparse/dense 等价，total acceleration 最大绝对差 5.44×10⁻¹⁵；01F3B 运行 46 条子进程轨迹并进行确定性重复。</w:t>
      </w:r>
    </w:p>
    <w:p>
      <w:pPr>
        <w:pStyle w:val="Heading2"/>
      </w:pPr>
      <w:r>
        <w:t>结果</w:t>
      </w:r>
    </w:p>
    <w:p>
      <w:pPr/>
      <w:r>
        <w:rPr>
          <w:rFonts w:ascii="Hiragino Sans GB" w:hAnsi="Hiragino Sans GB" w:eastAsia="Hiragino Sans GB"/>
          <w:color w:val="000000"/>
          <w:sz w:val="22"/>
        </w:rPr>
        <w:t>01F 为 MMS_SPECIFICATION_PASS，01F2 为 MMS_IMPLEMENTATION_VERIFIED_PASS。01F3 因 MMS-B 动态 reference 出现 28/27 edge identities，违反当时冻结的 identity 硬门，状态 MMS_CONVERGENCE_VERIFICATION_FAIL；随后 01F3-R 证明这些是 reciprocal cutoff crossings、结构缺陷为零，获得 SEMIDISCRETE_REFERENCE_QUALIFIED_DENSE_EQUIVALENT。</w:t>
      </w:r>
    </w:p>
    <w:p>
      <w:pPr/>
      <w:r>
        <w:rPr>
          <w:rFonts w:ascii="Hiragino Sans GB" w:hAnsi="Hiragino Sans GB" w:eastAsia="Hiragino Sans GB"/>
          <w:color w:val="000000"/>
          <w:sz w:val="22"/>
        </w:rPr>
        <w:t>01F3B 的 semidiscrete RK2 position/velocity fitted order 约 1.967–2.012，formal space 八条主路径全部下降，global slopes 1.389–1.724，资源/守恒/确定性通过；但连续时间 total exact velocity error 随 dt 细化轻微增加（MMS-A +0.01195%，MMS-B +0.00312%），严格 CT2 必要门失败，最终仍为 FAIL。01F3C 的 N32/held-out cancellation gates 失败，唯一状态 CT2_MIXED_OR_UNRESOLVED。</w:t>
      </w:r>
    </w:p>
    <w:p>
      <w:pPr/>
      <w:r>
        <w:rPr>
          <w:rFonts w:ascii="Hiragino Sans GB" w:hAnsi="Hiragino Sans GB" w:eastAsia="Hiragino Sans GB"/>
          <w:color w:val="000000"/>
          <w:sz w:val="22"/>
        </w:rPr>
        <w:t>01F4 将时间误差直接定义为 RK2 对 qualified semidiscrete reference，并将 total exact error 只用于 plateau；协议状态 PLATEAU_AWARE_PROTOCOL_APPROVED。01F5 设计状态 PASS、数值运行数 0。01F5-P 因 formal-space t_final 无唯一 provenance 而 EXECUTION_MANIFEST_INCOMPLETE；01F5-Q 以新前瞻决定冻结 t_final=0.02、69 行无歧义解析，状态 FORMAL_SPACE_EXECUTION_BUNDLE_READY，数值运行数仍为 0。</w:t>
      </w:r>
    </w:p>
    <w:p>
      <w:pPr>
        <w:pStyle w:val="Heading2"/>
      </w:pPr>
      <w:r>
        <w:t>失败与限制</w:t>
      </w:r>
    </w:p>
    <w:p>
      <w:pPr/>
      <w:r>
        <w:rPr>
          <w:rFonts w:ascii="Hiragino Sans GB" w:hAnsi="Hiragino Sans GB" w:eastAsia="Hiragino Sans GB"/>
          <w:color w:val="000000"/>
          <w:sz w:val="22"/>
        </w:rPr>
        <w:t>01F3 和 01F3B 的 FAIL 均被保留。01F3C 没有把小幅 CT2 失败改写为 PASS；F5-P 不猜测缺失参数。01F3B 对 position/density/pressure 的 GCI 前置稳定性不足，写明 GCI not justified；velocity 的路径 GCI 约 142% 且很宽，不能扩大为 fixed-stencil GCI。</w:t>
      </w:r>
    </w:p>
    <w:p>
      <w:pPr>
        <w:pStyle w:val="Heading2"/>
      </w:pPr>
      <w:r>
        <w:t>科学意义</w:t>
      </w:r>
    </w:p>
    <w:p>
      <w:pPr/>
      <w:r>
        <w:rPr>
          <w:rFonts w:ascii="Hiragino Sans GB" w:hAnsi="Hiragino Sans GB" w:eastAsia="Hiragino Sans GB"/>
          <w:color w:val="000000"/>
          <w:sz w:val="22"/>
        </w:rPr>
        <w:t>MMS 链条显示参考合同、动态拓扑、半离散时间误差和连续空间平台必须分别定义。接近空间平台时，total exact error 的轻微上升不等价于 RK2 时间不收敛，但旧必要门仍须诚实判 FAIL，之后只能通过前瞻新协议重资格。</w:t>
      </w:r>
    </w:p>
    <w:p>
      <w:pPr>
        <w:pStyle w:val="Heading2"/>
      </w:pPr>
      <w:r>
        <w:t>对论文贡献</w:t>
      </w:r>
    </w:p>
    <w:p>
      <w:pPr/>
      <w:r>
        <w:rPr>
          <w:rFonts w:ascii="Hiragino Sans GB" w:hAnsi="Hiragino Sans GB" w:eastAsia="Hiragino Sans GB"/>
          <w:color w:val="000000"/>
          <w:sz w:val="22"/>
        </w:rPr>
        <w:t>可形成 verification methodology 章节：解析闭合、source adapter、dense/sparse reference、时间/空间分解、平台感知门和 GCI 资格边界。</w:t>
      </w:r>
    </w:p>
    <w:p>
      <w:pPr>
        <w:pStyle w:val="Heading1"/>
      </w:pPr>
      <w:r>
        <w:t>8. Stage 01F5B plateau-aware 重新资格</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PASS：PLATEAU_AWARE_MMS_REQUALIFICATION_PASS；原始 N64 smoke raw FAIL 原样保留。</w:t>
            </w:r>
          </w:p>
        </w:tc>
      </w:tr>
    </w:tbl>
    <w:p>
      <w:pPr>
        <w:spacing w:after="40"/>
      </w:pPr>
    </w:p>
    <w:p>
      <w:pPr>
        <w:pStyle w:val="Heading2"/>
      </w:pPr>
      <w:r>
        <w:t>目标</w:t>
      </w:r>
    </w:p>
    <w:p>
      <w:pPr/>
      <w:r>
        <w:rPr>
          <w:rFonts w:ascii="Hiragino Sans GB" w:hAnsi="Hiragino Sans GB" w:eastAsia="Hiragino Sans GB"/>
          <w:color w:val="000000"/>
          <w:sz w:val="22"/>
        </w:rPr>
        <w:t>在不复用旧失败数据、不放宽旧 CT2、不修改科学门的条件下，一次性执行前瞻冻结的 plateau-aware 时间、平台、held-out、空间和条件 N64 重资格。</w:t>
      </w:r>
    </w:p>
    <w:p>
      <w:pPr>
        <w:pStyle w:val="Heading2"/>
      </w:pPr>
      <w:r>
        <w:t>方法</w:t>
      </w:r>
    </w:p>
    <w:p>
      <w:pPr/>
      <w:r>
        <w:rPr>
          <w:rFonts w:ascii="Hiragino Sans GB" w:hAnsi="Hiragino Sans GB" w:eastAsia="Hiragino Sans GB"/>
          <w:color w:val="000000"/>
          <w:sz w:val="22"/>
        </w:rPr>
        <w:t>基于冻结 69 行 execution bundle v3：三层 production sparse RHS + DOP853 reference；N20 main time、N28 held-out、space-step isolation、N16/24/32/48 formal space、determinism repeats、MMS-B spatial references 和条件 N64 DAG。每个 run 保留 source、守恒、拓扑、资源与 provenance。</w:t>
      </w:r>
    </w:p>
    <w:p>
      <w:pPr>
        <w:pStyle w:val="Heading2"/>
      </w:pPr>
      <w:r>
        <w:t>测试</w:t>
      </w:r>
    </w:p>
    <w:p>
      <w:pPr/>
      <w:r>
        <w:rPr>
          <w:rFonts w:ascii="Hiragino Sans GB" w:hAnsi="Hiragino Sans GB" w:eastAsia="Hiragino Sans GB"/>
          <w:color w:val="000000"/>
          <w:sz w:val="22"/>
        </w:rPr>
        <w:t>P1–P3 平台门、T1–T5 半离散时间门、H1–H5 held-out 门、S1–S4 increasing-neighbor spatial gates、reference qualification、preflight、provenance、determinism 和 N64 branch。</w:t>
      </w:r>
    </w:p>
    <w:p>
      <w:pPr>
        <w:pStyle w:val="Heading2"/>
      </w:pPr>
      <w:r>
        <w:t>结果</w:t>
      </w:r>
    </w:p>
    <w:p>
      <w:pPr/>
      <w:r>
        <w:rPr>
          <w:rFonts w:ascii="Hiragino Sans GB" w:hAnsi="Hiragino Sans GB" w:eastAsia="Hiragino Sans GB"/>
          <w:color w:val="000000"/>
          <w:sz w:val="22"/>
        </w:rPr>
        <w:t>所有 reference qualification、P/T/H/S、unconditional hard/reference runs、determinism、preflight、provenance、space-step decision 和 conditional N64 branch 均 PASS。六组 deterministic pairs 整体 PASS；formal spatial claim 仅限 increasing-neighbor consistency-path convergence。</w:t>
      </w:r>
    </w:p>
    <w:p>
      <w:pPr/>
      <w:r>
        <w:rPr>
          <w:rFonts w:ascii="Hiragino Sans GB" w:hAnsi="Hiragino Sans GB" w:eastAsia="Hiragino Sans GB"/>
          <w:color w:val="000000"/>
          <w:sz w:val="22"/>
        </w:rPr>
        <w:t>原始 f5_n64_smoke_a 在启动 solver 前发生 infrastructure failure，raw status 保持 FAIL 且未生成 numerical state。唯一授权的 f5_n64_smoke_a_infra_retry1 单独记录为 PASS；evaluator 只做参数身份和 provenance reconciliation，不重新分类任何科学失败。最终唯一状态为 PLATEAU_AWARE_MMS_REQUALIFICATION_PASS。</w:t>
      </w:r>
    </w:p>
    <w:tbl>
      <w:tblPr>
        <w:tblStyle w:val="TableGrid"/>
        <w:tblW w:type="dxa" w:w="9360"/>
        <w:jc w:val="left"/>
        <w:tblLayout w:type="fixed"/>
        <w:tblLook w:firstColumn="1" w:firstRow="1" w:lastColumn="0" w:lastRow="0" w:noHBand="0" w:noVBand="1" w:val="04A0"/>
        <w:tblInd w:w="120" w:type="dxa"/>
      </w:tblPr>
      <w:tblGrid>
        <w:gridCol w:w="1200"/>
        <w:gridCol w:w="1100"/>
        <w:gridCol w:w="7060"/>
      </w:tblGrid>
      <w:tr>
        <w:trPr>
          <w:tblHeader w:val="true"/>
          <w:cantSplit w:val="true"/>
        </w:trPr>
        <w:tc>
          <w:tcPr>
            <w:tcW w:type="dxa" w:w="12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门组</w:t>
            </w:r>
          </w:p>
        </w:tc>
        <w:tc>
          <w:tcPr>
            <w:tcW w:type="dxa" w:w="11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结果</w:t>
            </w:r>
          </w:p>
        </w:tc>
        <w:tc>
          <w:tcPr>
            <w:tcW w:type="dxa" w:w="706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声明边界</w:t>
            </w:r>
          </w:p>
        </w:tc>
      </w:tr>
      <w:tr>
        <w:trPr>
          <w:cantSplit w:val="true"/>
        </w:trPr>
        <w:tc>
          <w:tcPr>
            <w:tcW w:type="dxa" w:w="1200"/>
          </w:tcPr>
          <w:p>
            <w:pPr>
              <w:spacing w:after="0"/>
              <w:jc w:val="center"/>
            </w:pPr>
            <w:r>
              <w:rPr>
                <w:rFonts w:ascii="Hiragino Sans GB" w:hAnsi="Hiragino Sans GB" w:eastAsia="Hiragino Sans GB"/>
                <w:color w:val="000000"/>
                <w:sz w:val="18"/>
              </w:rPr>
              <w:t>P1–P3</w:t>
            </w:r>
          </w:p>
        </w:tc>
        <w:tc>
          <w:tcPr>
            <w:tcW w:type="dxa" w:w="1100"/>
          </w:tcPr>
          <w:p>
            <w:pPr>
              <w:spacing w:after="0"/>
              <w:jc w:val="left"/>
            </w:pPr>
            <w:r>
              <w:rPr>
                <w:rFonts w:ascii="Hiragino Sans GB" w:hAnsi="Hiragino Sans GB" w:eastAsia="Hiragino Sans GB"/>
                <w:color w:val="000000"/>
                <w:sz w:val="18"/>
              </w:rPr>
              <w:t>PASS</w:t>
            </w:r>
          </w:p>
        </w:tc>
        <w:tc>
          <w:tcPr>
            <w:tcW w:type="dxa" w:w="7060"/>
          </w:tcPr>
          <w:p>
            <w:pPr>
              <w:spacing w:after="0"/>
              <w:jc w:val="left"/>
            </w:pPr>
            <w:r>
              <w:rPr>
                <w:rFonts w:ascii="Hiragino Sans GB" w:hAnsi="Hiragino Sans GB" w:eastAsia="Hiragino Sans GB"/>
                <w:color w:val="000000"/>
                <w:sz w:val="18"/>
              </w:rPr>
              <w:t>total exact error 仅用于平台进入/有界性</w:t>
            </w:r>
          </w:p>
        </w:tc>
      </w:tr>
      <w:tr>
        <w:trPr>
          <w:cantSplit w:val="true"/>
        </w:trPr>
        <w:tc>
          <w:tcPr>
            <w:tcW w:type="dxa" w:w="1200"/>
          </w:tcPr>
          <w:p>
            <w:pPr>
              <w:spacing w:after="0"/>
              <w:jc w:val="center"/>
            </w:pPr>
            <w:r>
              <w:rPr>
                <w:rFonts w:ascii="Hiragino Sans GB" w:hAnsi="Hiragino Sans GB" w:eastAsia="Hiragino Sans GB"/>
                <w:color w:val="000000"/>
                <w:sz w:val="18"/>
              </w:rPr>
              <w:t>T1–T5</w:t>
            </w:r>
          </w:p>
        </w:tc>
        <w:tc>
          <w:tcPr>
            <w:tcW w:type="dxa" w:w="1100"/>
          </w:tcPr>
          <w:p>
            <w:pPr>
              <w:spacing w:after="0"/>
              <w:jc w:val="left"/>
            </w:pPr>
            <w:r>
              <w:rPr>
                <w:rFonts w:ascii="Hiragino Sans GB" w:hAnsi="Hiragino Sans GB" w:eastAsia="Hiragino Sans GB"/>
                <w:color w:val="000000"/>
                <w:sz w:val="18"/>
              </w:rPr>
              <w:t>PASS</w:t>
            </w:r>
          </w:p>
        </w:tc>
        <w:tc>
          <w:tcPr>
            <w:tcW w:type="dxa" w:w="7060"/>
          </w:tcPr>
          <w:p>
            <w:pPr>
              <w:spacing w:after="0"/>
              <w:jc w:val="left"/>
            </w:pPr>
            <w:r>
              <w:rPr>
                <w:rFonts w:ascii="Hiragino Sans GB" w:hAnsi="Hiragino Sans GB" w:eastAsia="Hiragino Sans GB"/>
                <w:color w:val="000000"/>
                <w:sz w:val="18"/>
              </w:rPr>
              <w:t>RK2 对 qualified semidiscrete reference</w:t>
            </w:r>
          </w:p>
        </w:tc>
      </w:tr>
      <w:tr>
        <w:trPr>
          <w:cantSplit w:val="true"/>
        </w:trPr>
        <w:tc>
          <w:tcPr>
            <w:tcW w:type="dxa" w:w="1200"/>
          </w:tcPr>
          <w:p>
            <w:pPr>
              <w:spacing w:after="0"/>
              <w:jc w:val="center"/>
            </w:pPr>
            <w:r>
              <w:rPr>
                <w:rFonts w:ascii="Hiragino Sans GB" w:hAnsi="Hiragino Sans GB" w:eastAsia="Hiragino Sans GB"/>
                <w:color w:val="000000"/>
                <w:sz w:val="18"/>
              </w:rPr>
              <w:t>H1–H5</w:t>
            </w:r>
          </w:p>
        </w:tc>
        <w:tc>
          <w:tcPr>
            <w:tcW w:type="dxa" w:w="1100"/>
          </w:tcPr>
          <w:p>
            <w:pPr>
              <w:spacing w:after="0"/>
              <w:jc w:val="left"/>
            </w:pPr>
            <w:r>
              <w:rPr>
                <w:rFonts w:ascii="Hiragino Sans GB" w:hAnsi="Hiragino Sans GB" w:eastAsia="Hiragino Sans GB"/>
                <w:color w:val="000000"/>
                <w:sz w:val="18"/>
              </w:rPr>
              <w:t>PASS</w:t>
            </w:r>
          </w:p>
        </w:tc>
        <w:tc>
          <w:tcPr>
            <w:tcW w:type="dxa" w:w="7060"/>
          </w:tcPr>
          <w:p>
            <w:pPr>
              <w:spacing w:after="0"/>
              <w:jc w:val="left"/>
            </w:pPr>
            <w:r>
              <w:rPr>
                <w:rFonts w:ascii="Hiragino Sans GB" w:hAnsi="Hiragino Sans GB" w:eastAsia="Hiragino Sans GB"/>
                <w:color w:val="000000"/>
                <w:sz w:val="18"/>
              </w:rPr>
              <w:t>N28 全新 held-out</w:t>
            </w:r>
          </w:p>
        </w:tc>
      </w:tr>
      <w:tr>
        <w:trPr>
          <w:cantSplit w:val="true"/>
        </w:trPr>
        <w:tc>
          <w:tcPr>
            <w:tcW w:type="dxa" w:w="1200"/>
          </w:tcPr>
          <w:p>
            <w:pPr>
              <w:spacing w:after="0"/>
              <w:jc w:val="center"/>
            </w:pPr>
            <w:r>
              <w:rPr>
                <w:rFonts w:ascii="Hiragino Sans GB" w:hAnsi="Hiragino Sans GB" w:eastAsia="Hiragino Sans GB"/>
                <w:color w:val="000000"/>
                <w:sz w:val="18"/>
              </w:rPr>
              <w:t>S1–S4</w:t>
            </w:r>
          </w:p>
        </w:tc>
        <w:tc>
          <w:tcPr>
            <w:tcW w:type="dxa" w:w="1100"/>
          </w:tcPr>
          <w:p>
            <w:pPr>
              <w:spacing w:after="0"/>
              <w:jc w:val="left"/>
            </w:pPr>
            <w:r>
              <w:rPr>
                <w:rFonts w:ascii="Hiragino Sans GB" w:hAnsi="Hiragino Sans GB" w:eastAsia="Hiragino Sans GB"/>
                <w:color w:val="000000"/>
                <w:sz w:val="18"/>
              </w:rPr>
              <w:t>PASS</w:t>
            </w:r>
          </w:p>
        </w:tc>
        <w:tc>
          <w:tcPr>
            <w:tcW w:type="dxa" w:w="7060"/>
          </w:tcPr>
          <w:p>
            <w:pPr>
              <w:spacing w:after="0"/>
              <w:jc w:val="left"/>
            </w:pPr>
            <w:r>
              <w:rPr>
                <w:rFonts w:ascii="Hiragino Sans GB" w:hAnsi="Hiragino Sans GB" w:eastAsia="Hiragino Sans GB"/>
                <w:color w:val="000000"/>
                <w:sz w:val="18"/>
              </w:rPr>
              <w:t>increasing-neighbor consistency path</w:t>
            </w:r>
          </w:p>
        </w:tc>
      </w:tr>
      <w:tr>
        <w:trPr>
          <w:cantSplit w:val="true"/>
        </w:trPr>
        <w:tc>
          <w:tcPr>
            <w:tcW w:type="dxa" w:w="1200"/>
          </w:tcPr>
          <w:p>
            <w:pPr>
              <w:spacing w:after="0"/>
              <w:jc w:val="center"/>
            </w:pPr>
            <w:r>
              <w:rPr>
                <w:rFonts w:ascii="Hiragino Sans GB" w:hAnsi="Hiragino Sans GB" w:eastAsia="Hiragino Sans GB"/>
                <w:color w:val="000000"/>
                <w:sz w:val="18"/>
              </w:rPr>
              <w:t>N64</w:t>
            </w:r>
          </w:p>
        </w:tc>
        <w:tc>
          <w:tcPr>
            <w:tcW w:type="dxa" w:w="1100"/>
          </w:tcPr>
          <w:p>
            <w:pPr>
              <w:spacing w:after="0"/>
              <w:jc w:val="left"/>
            </w:pPr>
            <w:r>
              <w:rPr>
                <w:rFonts w:ascii="Hiragino Sans GB" w:hAnsi="Hiragino Sans GB" w:eastAsia="Hiragino Sans GB"/>
                <w:color w:val="000000"/>
                <w:sz w:val="18"/>
              </w:rPr>
              <w:t>PASS</w:t>
            </w:r>
          </w:p>
        </w:tc>
        <w:tc>
          <w:tcPr>
            <w:tcW w:type="dxa" w:w="7060"/>
          </w:tcPr>
          <w:p>
            <w:pPr>
              <w:spacing w:after="0"/>
              <w:jc w:val="left"/>
            </w:pPr>
            <w:r>
              <w:rPr>
                <w:rFonts w:ascii="Hiragino Sans GB" w:hAnsi="Hiragino Sans GB" w:eastAsia="Hiragino Sans GB"/>
                <w:color w:val="000000"/>
                <w:sz w:val="18"/>
              </w:rPr>
              <w:t>条件 DAG 完整；raw infra FAIL 保留</w:t>
            </w:r>
          </w:p>
        </w:tc>
      </w:tr>
    </w:tbl>
    <w:p>
      <w:pPr>
        <w:spacing w:after="20"/>
      </w:pPr>
    </w:p>
    <w:p>
      <w:pPr>
        <w:pStyle w:val="Heading2"/>
      </w:pPr>
      <w:r>
        <w:t>失败与限制</w:t>
      </w:r>
    </w:p>
    <w:p>
      <w:pPr/>
      <w:r>
        <w:rPr>
          <w:rFonts w:ascii="Hiragino Sans GB" w:hAnsi="Hiragino Sans GB" w:eastAsia="Hiragino Sans GB"/>
          <w:color w:val="000000"/>
          <w:sz w:val="22"/>
        </w:rPr>
        <w:t>GCI 按变量独立评价；前置失败时只写 GCI not justified。成功不改变 Stage 01D2、01F3、01F3B、01F3C 或 01F5-P 的历史状态。one-shot/no-overwrite 规则要求不利结果和基础设施失败继续存在。</w:t>
      </w:r>
    </w:p>
    <w:p>
      <w:pPr>
        <w:pStyle w:val="Heading2"/>
      </w:pPr>
      <w:r>
        <w:t>科学意义</w:t>
      </w:r>
    </w:p>
    <w:p>
      <w:pPr/>
      <w:r>
        <w:rPr>
          <w:rFonts w:ascii="Hiragino Sans GB" w:hAnsi="Hiragino Sans GB" w:eastAsia="Hiragino Sans GB"/>
          <w:color w:val="000000"/>
          <w:sz w:val="22"/>
        </w:rPr>
        <w:t>这是 Stage 01 最完整的 solution verification 证据，证明 plateau-aware 设计能在空间平台主导时正确验证 RK2 半离散时间误差，同时保留 held-out、资源和确定性门。</w:t>
      </w:r>
    </w:p>
    <w:p>
      <w:pPr>
        <w:pStyle w:val="Heading2"/>
      </w:pPr>
      <w:r>
        <w:t>对论文贡献</w:t>
      </w:r>
    </w:p>
    <w:p>
      <w:pPr/>
      <w:r>
        <w:rPr>
          <w:rFonts w:ascii="Hiragino Sans GB" w:hAnsi="Hiragino Sans GB" w:eastAsia="Hiragino Sans GB"/>
          <w:color w:val="000000"/>
          <w:sz w:val="22"/>
        </w:rPr>
        <w:t>可作为核心解验证结果章节，展示前瞻协议、主/held-out 双矩阵、空间路径、受控条件分支和失败保留方法。</w:t>
      </w:r>
    </w:p>
    <w:p>
      <w:pPr>
        <w:pStyle w:val="Heading1"/>
      </w:pPr>
      <w:r>
        <w:t>9. Stage 01G 独立验证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最终 FAIL：V2_QUALIFICATION_FAIL；此前 V2_QUALIFICATION_EVIDENCE_INCOMPLETE 历史状态保留。</w:t>
            </w:r>
          </w:p>
        </w:tc>
      </w:tr>
    </w:tbl>
    <w:p>
      <w:pPr>
        <w:spacing w:after="40"/>
      </w:pPr>
    </w:p>
    <w:p>
      <w:pPr>
        <w:pStyle w:val="Heading2"/>
      </w:pPr>
      <w:r>
        <w:t>目标</w:t>
      </w:r>
    </w:p>
    <w:p>
      <w:pPr/>
      <w:r>
        <w:rPr>
          <w:rFonts w:ascii="Hiragino Sans GB" w:hAnsi="Hiragino Sans GB" w:eastAsia="Hiragino Sans GB"/>
          <w:color w:val="000000"/>
          <w:sz w:val="22"/>
        </w:rPr>
        <w:t>用不依赖 MMS source、训练数据或 SPH residual correction 的 source-free benchmarks 对冻结 SPH 进行独立确认性验证，并形成 V2 资格。</w:t>
      </w:r>
    </w:p>
    <w:p>
      <w:pPr>
        <w:pStyle w:val="Heading2"/>
      </w:pPr>
      <w:r>
        <w:t>方法</w:t>
      </w:r>
    </w:p>
    <w:p>
      <w:pPr/>
      <w:r>
        <w:rPr>
          <w:rFonts w:ascii="Hiragino Sans GB" w:hAnsi="Hiragino Sans GB" w:eastAsia="Hiragino Sans GB"/>
          <w:color w:val="000000"/>
          <w:sz w:val="22"/>
        </w:rPr>
        <w:t>Benchmark A 为周期 viscous transverse shear wave，解析速度衰减与粒子轨迹；Benchmark B 为低幅 acoustic standing wave，参考来自独立 linear theory。设计冻结 N24/32/48、H/dx、dt、12 个 run IDs、SHEAR1–8、ACOUSTIC1–10、hard safety、uncertainty 与 provenance。</w:t>
      </w:r>
    </w:p>
    <w:p>
      <w:pPr>
        <w:pStyle w:val="Heading2"/>
      </w:pPr>
      <w:r>
        <w:t>测试</w:t>
      </w:r>
    </w:p>
    <w:p>
      <w:pPr/>
      <w:r>
        <w:rPr>
          <w:rFonts w:ascii="Hiragino Sans GB" w:hAnsi="Hiragino Sans GB" w:eastAsia="Hiragino Sans GB"/>
          <w:color w:val="000000"/>
          <w:sz w:val="22"/>
        </w:rPr>
        <w:t>Stage 01G design 数值运行数为 0。第一次执行 preflight 因缺少可执行 evaluator 或权威 expected SHA-256，在任何 benchmark 前停止，状态 V2_QUALIFICATION_EVIDENCE_INCOMPLETE。其后三次接口错误（TypeError、KeyError、AttributeError）被 Stage 01G-R 定位为 runner/diagnostic defects；修复只在独立 infrastructure bundle 中进行，12/12 dry-run 与一个 one-step smoke PASS，solver/source/gates 零修改。正式 reapplication_01 最终 12/12 evidence complete、child reclaimed。</w:t>
      </w:r>
    </w:p>
    <w:p>
      <w:pPr>
        <w:pStyle w:val="Heading2"/>
      </w:pPr>
      <w:r>
        <w:t>结果</w:t>
      </w:r>
    </w:p>
    <w:p>
      <w:pPr/>
      <w:r>
        <w:rPr>
          <w:rFonts w:ascii="Hiragino Sans GB" w:hAnsi="Hiragino Sans GB" w:eastAsia="Hiragino Sans GB"/>
          <w:color w:val="000000"/>
          <w:sz w:val="22"/>
        </w:rPr>
        <w:t>正式执行中 SHEAR1–SHEAR8 总体 FAIL，ACOUSTIC1–ACOUSTIC10 PASS，hard safety 与 determinism PASS，uncertainty/provenance complete，executed evidence 12/12。唯一 V2 状态为 V2_QUALIFICATION_FAIL，next-stage qualified=False。</w:t>
      </w:r>
    </w:p>
    <w:tbl>
      <w:tblPr>
        <w:tblStyle w:val="TableGrid"/>
        <w:tblW w:type="dxa" w:w="9360"/>
        <w:jc w:val="left"/>
        <w:tblLayout w:type="fixed"/>
        <w:tblLook w:firstColumn="1" w:firstRow="1" w:lastColumn="0" w:lastRow="0" w:noHBand="0" w:noVBand="1" w:val="04A0"/>
        <w:tblInd w:w="120" w:type="dxa"/>
      </w:tblPr>
      <w:tblGrid>
        <w:gridCol w:w="1600"/>
        <w:gridCol w:w="1100"/>
        <w:gridCol w:w="6660"/>
      </w:tblGrid>
      <w:tr>
        <w:trPr>
          <w:tblHeader w:val="true"/>
          <w:cantSplit w:val="true"/>
        </w:trPr>
        <w:tc>
          <w:tcPr>
            <w:tcW w:type="dxa" w:w="16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证据组</w:t>
            </w:r>
          </w:p>
        </w:tc>
        <w:tc>
          <w:tcPr>
            <w:tcW w:type="dxa" w:w="110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结果</w:t>
            </w:r>
          </w:p>
        </w:tc>
        <w:tc>
          <w:tcPr>
            <w:tcW w:type="dxa" w:w="6660"/>
            <w:vAlign w:val="center"/>
            <w:tcMar>
              <w:top w:w="80" w:type="dxa"/>
              <w:start w:w="120" w:type="dxa"/>
              <w:bottom w:w="80" w:type="dxa"/>
              <w:end w:w="120" w:type="dxa"/>
            </w:tcMar>
            <w:shd w:fill="F2F4F7"/>
          </w:tcPr>
          <w:p>
            <w:pPr>
              <w:jc w:val="center"/>
            </w:pPr>
            <w:r>
              <w:rPr>
                <w:rFonts w:ascii="Hiragino Sans GB" w:hAnsi="Hiragino Sans GB" w:eastAsia="Hiragino Sans GB"/>
                <w:b/>
                <w:color w:val="0B2545"/>
                <w:sz w:val="19"/>
              </w:rPr>
              <w:t>说明</w:t>
            </w:r>
          </w:p>
        </w:tc>
      </w:tr>
      <w:tr>
        <w:trPr>
          <w:cantSplit w:val="true"/>
        </w:trPr>
        <w:tc>
          <w:tcPr>
            <w:tcW w:type="dxa" w:w="1600"/>
          </w:tcPr>
          <w:p>
            <w:pPr>
              <w:spacing w:after="0"/>
              <w:jc w:val="center"/>
            </w:pPr>
            <w:r>
              <w:rPr>
                <w:rFonts w:ascii="Hiragino Sans GB" w:hAnsi="Hiragino Sans GB" w:eastAsia="Hiragino Sans GB"/>
                <w:color w:val="000000"/>
                <w:sz w:val="18"/>
              </w:rPr>
              <w:t>12/12 execution</w:t>
            </w:r>
          </w:p>
        </w:tc>
        <w:tc>
          <w:tcPr>
            <w:tcW w:type="dxa" w:w="1100"/>
          </w:tcPr>
          <w:p>
            <w:pPr>
              <w:spacing w:after="0"/>
              <w:jc w:val="left"/>
            </w:pPr>
            <w:r>
              <w:rPr>
                <w:rFonts w:ascii="Hiragino Sans GB" w:hAnsi="Hiragino Sans GB" w:eastAsia="Hiragino Sans GB"/>
                <w:color w:val="000000"/>
                <w:sz w:val="18"/>
              </w:rPr>
              <w:t>PASS</w:t>
            </w:r>
          </w:p>
        </w:tc>
        <w:tc>
          <w:tcPr>
            <w:tcW w:type="dxa" w:w="6660"/>
          </w:tcPr>
          <w:p>
            <w:pPr>
              <w:spacing w:after="0"/>
              <w:jc w:val="left"/>
            </w:pPr>
            <w:r>
              <w:rPr>
                <w:rFonts w:ascii="Hiragino Sans GB" w:hAnsi="Hiragino Sans GB" w:eastAsia="Hiragino Sans GB"/>
                <w:color w:val="000000"/>
                <w:sz w:val="18"/>
              </w:rPr>
              <w:t>所有 run evidence complete，子进程回收</w:t>
            </w:r>
          </w:p>
        </w:tc>
      </w:tr>
      <w:tr>
        <w:trPr>
          <w:cantSplit w:val="true"/>
        </w:trPr>
        <w:tc>
          <w:tcPr>
            <w:tcW w:type="dxa" w:w="1600"/>
          </w:tcPr>
          <w:p>
            <w:pPr>
              <w:spacing w:after="0"/>
              <w:jc w:val="center"/>
            </w:pPr>
            <w:r>
              <w:rPr>
                <w:rFonts w:ascii="Hiragino Sans GB" w:hAnsi="Hiragino Sans GB" w:eastAsia="Hiragino Sans GB"/>
                <w:color w:val="000000"/>
                <w:sz w:val="18"/>
              </w:rPr>
              <w:t>SHEAR1–8</w:t>
            </w:r>
          </w:p>
        </w:tc>
        <w:tc>
          <w:tcPr>
            <w:tcW w:type="dxa" w:w="1100"/>
          </w:tcPr>
          <w:p>
            <w:pPr>
              <w:spacing w:after="0"/>
              <w:jc w:val="left"/>
            </w:pPr>
            <w:r>
              <w:rPr>
                <w:rFonts w:ascii="Hiragino Sans GB" w:hAnsi="Hiragino Sans GB" w:eastAsia="Hiragino Sans GB"/>
                <w:color w:val="000000"/>
                <w:sz w:val="18"/>
              </w:rPr>
              <w:t>FAIL</w:t>
            </w:r>
          </w:p>
        </w:tc>
        <w:tc>
          <w:tcPr>
            <w:tcW w:type="dxa" w:w="6660"/>
          </w:tcPr>
          <w:p>
            <w:pPr>
              <w:spacing w:after="0"/>
              <w:jc w:val="left"/>
            </w:pPr>
            <w:r>
              <w:rPr>
                <w:rFonts w:ascii="Hiragino Sans GB" w:hAnsi="Hiragino Sans GB" w:eastAsia="Hiragino Sans GB"/>
                <w:color w:val="000000"/>
                <w:sz w:val="18"/>
              </w:rPr>
              <w:t>SHEAR3 衰减率相对误差超阈值</w:t>
            </w:r>
          </w:p>
        </w:tc>
      </w:tr>
      <w:tr>
        <w:trPr>
          <w:cantSplit w:val="true"/>
        </w:trPr>
        <w:tc>
          <w:tcPr>
            <w:tcW w:type="dxa" w:w="1600"/>
          </w:tcPr>
          <w:p>
            <w:pPr>
              <w:spacing w:after="0"/>
              <w:jc w:val="center"/>
            </w:pPr>
            <w:r>
              <w:rPr>
                <w:rFonts w:ascii="Hiragino Sans GB" w:hAnsi="Hiragino Sans GB" w:eastAsia="Hiragino Sans GB"/>
                <w:color w:val="000000"/>
                <w:sz w:val="18"/>
              </w:rPr>
              <w:t>ACOUSTIC1–10</w:t>
            </w:r>
          </w:p>
        </w:tc>
        <w:tc>
          <w:tcPr>
            <w:tcW w:type="dxa" w:w="1100"/>
          </w:tcPr>
          <w:p>
            <w:pPr>
              <w:spacing w:after="0"/>
              <w:jc w:val="left"/>
            </w:pPr>
            <w:r>
              <w:rPr>
                <w:rFonts w:ascii="Hiragino Sans GB" w:hAnsi="Hiragino Sans GB" w:eastAsia="Hiragino Sans GB"/>
                <w:color w:val="000000"/>
                <w:sz w:val="18"/>
              </w:rPr>
              <w:t>PASS</w:t>
            </w:r>
          </w:p>
        </w:tc>
        <w:tc>
          <w:tcPr>
            <w:tcW w:type="dxa" w:w="6660"/>
          </w:tcPr>
          <w:p>
            <w:pPr>
              <w:spacing w:after="0"/>
              <w:jc w:val="left"/>
            </w:pPr>
            <w:r>
              <w:rPr>
                <w:rFonts w:ascii="Hiragino Sans GB" w:hAnsi="Hiragino Sans GB" w:eastAsia="Hiragino Sans GB"/>
                <w:color w:val="000000"/>
                <w:sz w:val="18"/>
              </w:rPr>
              <w:t>线性声学范围内全部通过</w:t>
            </w:r>
          </w:p>
        </w:tc>
      </w:tr>
      <w:tr>
        <w:trPr>
          <w:cantSplit w:val="true"/>
        </w:trPr>
        <w:tc>
          <w:tcPr>
            <w:tcW w:type="dxa" w:w="1600"/>
          </w:tcPr>
          <w:p>
            <w:pPr>
              <w:spacing w:after="0"/>
              <w:jc w:val="center"/>
            </w:pPr>
            <w:r>
              <w:rPr>
                <w:rFonts w:ascii="Hiragino Sans GB" w:hAnsi="Hiragino Sans GB" w:eastAsia="Hiragino Sans GB"/>
                <w:color w:val="000000"/>
                <w:sz w:val="18"/>
              </w:rPr>
              <w:t>Hard safety</w:t>
            </w:r>
          </w:p>
        </w:tc>
        <w:tc>
          <w:tcPr>
            <w:tcW w:type="dxa" w:w="1100"/>
          </w:tcPr>
          <w:p>
            <w:pPr>
              <w:spacing w:after="0"/>
              <w:jc w:val="left"/>
            </w:pPr>
            <w:r>
              <w:rPr>
                <w:rFonts w:ascii="Hiragino Sans GB" w:hAnsi="Hiragino Sans GB" w:eastAsia="Hiragino Sans GB"/>
                <w:color w:val="000000"/>
                <w:sz w:val="18"/>
              </w:rPr>
              <w:t>PASS</w:t>
            </w:r>
          </w:p>
        </w:tc>
        <w:tc>
          <w:tcPr>
            <w:tcW w:type="dxa" w:w="6660"/>
          </w:tcPr>
          <w:p>
            <w:pPr>
              <w:spacing w:after="0"/>
              <w:jc w:val="left"/>
            </w:pPr>
            <w:r>
              <w:rPr>
                <w:rFonts w:ascii="Hiragino Sans GB" w:hAnsi="Hiragino Sans GB" w:eastAsia="Hiragino Sans GB"/>
                <w:color w:val="000000"/>
                <w:sz w:val="18"/>
              </w:rPr>
              <w:t>执行安全门通过</w:t>
            </w:r>
          </w:p>
        </w:tc>
      </w:tr>
      <w:tr>
        <w:trPr>
          <w:cantSplit w:val="true"/>
        </w:trPr>
        <w:tc>
          <w:tcPr>
            <w:tcW w:type="dxa" w:w="1600"/>
          </w:tcPr>
          <w:p>
            <w:pPr>
              <w:spacing w:after="0"/>
              <w:jc w:val="center"/>
            </w:pPr>
            <w:r>
              <w:rPr>
                <w:rFonts w:ascii="Hiragino Sans GB" w:hAnsi="Hiragino Sans GB" w:eastAsia="Hiragino Sans GB"/>
                <w:color w:val="000000"/>
                <w:sz w:val="18"/>
              </w:rPr>
              <w:t>Determinism</w:t>
            </w:r>
          </w:p>
        </w:tc>
        <w:tc>
          <w:tcPr>
            <w:tcW w:type="dxa" w:w="1100"/>
          </w:tcPr>
          <w:p>
            <w:pPr>
              <w:spacing w:after="0"/>
              <w:jc w:val="left"/>
            </w:pPr>
            <w:r>
              <w:rPr>
                <w:rFonts w:ascii="Hiragino Sans GB" w:hAnsi="Hiragino Sans GB" w:eastAsia="Hiragino Sans GB"/>
                <w:color w:val="000000"/>
                <w:sz w:val="18"/>
              </w:rPr>
              <w:t>PASS</w:t>
            </w:r>
          </w:p>
        </w:tc>
        <w:tc>
          <w:tcPr>
            <w:tcW w:type="dxa" w:w="6660"/>
          </w:tcPr>
          <w:p>
            <w:pPr>
              <w:spacing w:after="0"/>
              <w:jc w:val="left"/>
            </w:pPr>
            <w:r>
              <w:rPr>
                <w:rFonts w:ascii="Hiragino Sans GB" w:hAnsi="Hiragino Sans GB" w:eastAsia="Hiragino Sans GB"/>
                <w:color w:val="000000"/>
                <w:sz w:val="18"/>
              </w:rPr>
              <w:t>重复确定性通过</w:t>
            </w:r>
          </w:p>
        </w:tc>
      </w:tr>
      <w:tr>
        <w:trPr>
          <w:cantSplit w:val="true"/>
        </w:trPr>
        <w:tc>
          <w:tcPr>
            <w:tcW w:type="dxa" w:w="1600"/>
          </w:tcPr>
          <w:p>
            <w:pPr>
              <w:spacing w:after="0"/>
              <w:jc w:val="center"/>
            </w:pPr>
            <w:r>
              <w:rPr>
                <w:rFonts w:ascii="Hiragino Sans GB" w:hAnsi="Hiragino Sans GB" w:eastAsia="Hiragino Sans GB"/>
                <w:color w:val="000000"/>
                <w:sz w:val="18"/>
              </w:rPr>
              <w:t>V2</w:t>
            </w:r>
          </w:p>
        </w:tc>
        <w:tc>
          <w:tcPr>
            <w:tcW w:type="dxa" w:w="1100"/>
          </w:tcPr>
          <w:p>
            <w:pPr>
              <w:spacing w:after="0"/>
              <w:jc w:val="left"/>
            </w:pPr>
            <w:r>
              <w:rPr>
                <w:rFonts w:ascii="Hiragino Sans GB" w:hAnsi="Hiragino Sans GB" w:eastAsia="Hiragino Sans GB"/>
                <w:color w:val="000000"/>
                <w:sz w:val="18"/>
              </w:rPr>
              <w:t>FAIL</w:t>
            </w:r>
          </w:p>
        </w:tc>
        <w:tc>
          <w:tcPr>
            <w:tcW w:type="dxa" w:w="6660"/>
          </w:tcPr>
          <w:p>
            <w:pPr>
              <w:spacing w:after="0"/>
              <w:jc w:val="left"/>
            </w:pPr>
            <w:r>
              <w:rPr>
                <w:rFonts w:ascii="Hiragino Sans GB" w:hAnsi="Hiragino Sans GB" w:eastAsia="Hiragino Sans GB"/>
                <w:color w:val="000000"/>
                <w:sz w:val="18"/>
              </w:rPr>
              <w:t>核心门失败，不能进入下游</w:t>
            </w:r>
          </w:p>
        </w:tc>
      </w:tr>
    </w:tbl>
    <w:p>
      <w:pPr>
        <w:spacing w:after="20"/>
      </w:pPr>
    </w:p>
    <w:p>
      <w:pPr>
        <w:pStyle w:val="Heading2"/>
      </w:pPr>
      <w:r>
        <w:t>失败与限制</w:t>
      </w:r>
    </w:p>
    <w:p>
      <w:pPr/>
      <w:r>
        <w:rPr>
          <w:rFonts w:ascii="Hiragino Sans GB" w:hAnsi="Hiragino Sans GB" w:eastAsia="Hiragino Sans GB"/>
          <w:color w:val="000000"/>
          <w:sz w:val="22"/>
        </w:rPr>
        <w:t>唯一失败门是 SHEAR3：N48 decay-rate relative error=0.0279495032685，高于冻结阈值 0.02。该失败不是 infrastructure failure，也不能因 acoustic 全部通过而投票抵消。第一次 INCOMPLETE 与后续 V2 FAIL 是不同状态：前者缺证据，后者有完整证据且科学门失败。</w:t>
      </w:r>
    </w:p>
    <w:p>
      <w:pPr>
        <w:pStyle w:val="Heading2"/>
      </w:pPr>
      <w:r>
        <w:t>科学意义</w:t>
      </w:r>
    </w:p>
    <w:p>
      <w:pPr/>
      <w:r>
        <w:rPr>
          <w:rFonts w:ascii="Hiragino Sans GB" w:hAnsi="Hiragino Sans GB" w:eastAsia="Hiragino Sans GB"/>
          <w:color w:val="000000"/>
          <w:sz w:val="22"/>
        </w:rPr>
        <w:t>独立验证揭示 manufactured-solution PASS 不能保证 source-free 物理量全部通过。分离 infrastructure defects、evidence incomplete 与 benchmark scientific fail，是可靠 V&amp;V 的关键。</w:t>
      </w:r>
    </w:p>
    <w:p>
      <w:pPr>
        <w:pStyle w:val="Heading2"/>
      </w:pPr>
      <w:r>
        <w:t>对论文贡献</w:t>
      </w:r>
    </w:p>
    <w:p>
      <w:pPr/>
      <w:r>
        <w:rPr>
          <w:rFonts w:ascii="Hiragino Sans GB" w:hAnsi="Hiragino Sans GB" w:eastAsia="Hiragino Sans GB"/>
          <w:color w:val="000000"/>
          <w:sz w:val="22"/>
        </w:rPr>
        <w:t>论文结果章节必须并列展示 acoustic 成功与 shear 失败，解释独立性与 inverse-crime 防护，并将 V2 总结为 FAIL 而非选择性报告 PASS。</w:t>
      </w:r>
    </w:p>
    <w:p>
      <w:pPr>
        <w:pStyle w:val="Heading1"/>
      </w:pPr>
      <w:r>
        <w:t>10. Stage 01H 失败诊断</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状态  </w:t>
            </w:r>
            <w:r>
              <w:rPr>
                <w:rFonts w:ascii="Hiragino Sans GB" w:hAnsi="Hiragino Sans GB" w:eastAsia="Hiragino Sans GB"/>
                <w:color w:val="000000"/>
                <w:sz w:val="21"/>
              </w:rPr>
              <w:t>PASS（诊断完成）+ FAIL（V2 保持）：VISCOSITY_DIAGNOSIS_COMPLETE；V2_QUALIFICATION_FAIL 不变。</w:t>
            </w:r>
          </w:p>
        </w:tc>
      </w:tr>
    </w:tbl>
    <w:p>
      <w:pPr>
        <w:spacing w:after="40"/>
      </w:pPr>
    </w:p>
    <w:p>
      <w:pPr>
        <w:pStyle w:val="Heading2"/>
      </w:pPr>
      <w:r>
        <w:t>目标</w:t>
      </w:r>
    </w:p>
    <w:p>
      <w:pPr/>
      <w:r>
        <w:rPr>
          <w:rFonts w:ascii="Hiragino Sans GB" w:hAnsi="Hiragino Sans GB" w:eastAsia="Hiragino Sans GB"/>
          <w:color w:val="000000"/>
          <w:sz w:val="22"/>
        </w:rPr>
        <w:t>解释 Stage 01G shear 衰减率失败主要来自时间误差、参考错误、确定性、支撑路径、有限分辨率还是黏性 operator-form failure，并判断是否有证据要求改写黏性算子。</w:t>
      </w:r>
    </w:p>
    <w:p>
      <w:pPr>
        <w:pStyle w:val="Heading2"/>
      </w:pPr>
      <w:r>
        <w:t>方法</w:t>
      </w:r>
    </w:p>
    <w:p>
      <w:pPr/>
      <w:r>
        <w:rPr>
          <w:rFonts w:ascii="Hiragino Sans GB" w:hAnsi="Hiragino Sans GB" w:eastAsia="Hiragino Sans GB"/>
          <w:color w:val="000000"/>
          <w:sz w:val="22"/>
        </w:rPr>
        <w:t>冻结所有 Stage 01G 结果和阈值；对 N32 dt-halving、N24/32/48 空间改善、analytic reference identity、N48 repeat、effective viscosity 和 H/dx 共变进行分量化审计。</w:t>
      </w:r>
    </w:p>
    <w:p>
      <w:pPr>
        <w:pStyle w:val="Heading2"/>
      </w:pPr>
      <w:r>
        <w:t>测试</w:t>
      </w:r>
    </w:p>
    <w:p>
      <w:pPr/>
      <w:r>
        <w:rPr>
          <w:rFonts w:ascii="Hiragino Sans GB" w:hAnsi="Hiragino Sans GB" w:eastAsia="Hiragino Sans GB"/>
          <w:color w:val="000000"/>
          <w:sz w:val="22"/>
        </w:rPr>
        <w:t>计算时间步贡献、N32→N48 改善、N48 unresolved residual、ν_eff、support sensitivity、reference identity、bitwise repeat 和 component-wise uncertainty；GCI 前置不足时保留 GCI not justified。</w:t>
      </w:r>
    </w:p>
    <w:p>
      <w:pPr>
        <w:pStyle w:val="Heading2"/>
      </w:pPr>
      <w:r>
        <w:t>结果</w:t>
      </w:r>
    </w:p>
    <w:p>
      <w:pPr/>
      <w:r>
        <w:rPr>
          <w:rFonts w:ascii="Hiragino Sans GB" w:hAnsi="Hiragino Sans GB" w:eastAsia="Hiragino Sans GB"/>
          <w:color w:val="000000"/>
          <w:sz w:val="22"/>
        </w:rPr>
        <w:t>最大 dt-halving contribution 仅 6.40746195792×10⁻⁸，远小于 N48 decay residual 0.0279495032685；误差改善由空间路径主导。ν_eff 从 N24 的 0.0185664817405 增至 N48 的 0.0194410099346，但系统性低于目标 ν=0.02。analytic reference identity PASS，N48 repeat bitwise identical。最终分类为 FINITE_RESOLUTION_DOMINANT，唯一阶段状态 VISCOSITY_DIAGNOSIS_COMPLETE。</w:t>
      </w:r>
    </w:p>
    <w:p>
      <w:pPr>
        <w:pStyle w:val="Heading2"/>
      </w:pPr>
      <w:r>
        <w:t>失败与限制</w:t>
      </w:r>
    </w:p>
    <w:p>
      <w:pPr/>
      <w:r>
        <w:rPr>
          <w:rFonts w:ascii="Hiragino Sans GB" w:hAnsi="Hiragino Sans GB" w:eastAsia="Hiragino Sans GB"/>
          <w:color w:val="000000"/>
          <w:sz w:val="22"/>
        </w:rPr>
        <w:t>H/dx 随 N 共同变化，分辨率与支撑不能从冻结矩阵独立量化；因此不能唯一给出核支撑或分辨率的单独因果贡献。Stage 01H 未确认 viscosity operator form failure，也未授权修改 solver、门槛或 Stage 01G V2 状态。</w:t>
      </w:r>
    </w:p>
    <w:p>
      <w:pPr>
        <w:pStyle w:val="Heading2"/>
      </w:pPr>
      <w:r>
        <w:t>科学意义</w:t>
      </w:r>
    </w:p>
    <w:p>
      <w:pPr/>
      <w:r>
        <w:rPr>
          <w:rFonts w:ascii="Hiragino Sans GB" w:hAnsi="Hiragino Sans GB" w:eastAsia="Hiragino Sans GB"/>
          <w:color w:val="000000"/>
          <w:sz w:val="22"/>
        </w:rPr>
        <w:t>诊断表明低估有效黏性随分辨率改善，支持有限分辨率主导而非时间/参考/随机性解释；但“主导”不是“已证明唯一原因”，也不是 V2 重新资格。</w:t>
      </w:r>
    </w:p>
    <w:p>
      <w:pPr>
        <w:pStyle w:val="Heading2"/>
      </w:pPr>
      <w:r>
        <w:t>对论文贡献</w:t>
      </w:r>
    </w:p>
    <w:p>
      <w:pPr/>
      <w:r>
        <w:rPr>
          <w:rFonts w:ascii="Hiragino Sans GB" w:hAnsi="Hiragino Sans GB" w:eastAsia="Hiragino Sans GB"/>
          <w:color w:val="000000"/>
          <w:sz w:val="22"/>
        </w:rPr>
        <w:t>可形成诚实的 failure diagnosis 小节：定量排除时间、参考和确定性，报告 ν_eff 趋势与 support confounding，并明确不据此重设计黏性算子。</w:t>
      </w:r>
    </w:p>
    <w:p>
      <w:pPr>
        <w:pStyle w:val="Heading1"/>
      </w:pPr>
      <w:r>
        <w:t>跨阶段综合与 Stage 02 输入</w:t>
      </w:r>
    </w:p>
    <w:p>
      <w:pPr/>
      <w:r>
        <w:rPr>
          <w:rFonts w:ascii="Hiragino Sans GB" w:hAnsi="Hiragino Sans GB" w:eastAsia="Hiragino Sans GB"/>
          <w:color w:val="000000"/>
          <w:sz w:val="22"/>
        </w:rPr>
        <w:t>Stage 01 的核心结论不是“SPH 已通过所有验证”，而是建立了一个可复现的、失败不被覆盖的证据体系。结构保持算子和 MMS solution verification 已获得强证据；资源问题得到有界 GC 延迟解释并以隔离政策管理；独立 acoustic 通过；独立 shear 的冻结衰减率门失败，故最终 V2 仍 FAIL。</w:t>
      </w:r>
    </w:p>
    <w:p>
      <w:pPr/>
      <w:r>
        <w:rPr>
          <w:rFonts w:ascii="Hiragino Sans GB" w:hAnsi="Hiragino Sans GB" w:eastAsia="Hiragino Sans GB"/>
          <w:color w:val="000000"/>
          <w:sz w:val="22"/>
        </w:rPr>
        <w:t>对 Stage 02 而言，唯一科学合理的学习对象是经过参考资格和误差归因的加速度离散残差。不能把模型形式不一致、时间积分误差、参考误差、资源失败或独立 benchmark 失败未经分类地合并为训练标签。任何未来 PIO 结果必须同时相对于冻结 SPH 基线、守恒/对称性门、跨分辨率/无序泛化和独立 benchmark 进行评价。</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DF1F1"/>
          </w:tcPr>
          <w:p>
            <w:pPr>
              <w:spacing w:after="0"/>
            </w:pPr>
            <w:r>
              <w:rPr>
                <w:rFonts w:ascii="Hiragino Sans GB" w:hAnsi="Hiragino Sans GB" w:eastAsia="Hiragino Sans GB"/>
                <w:b/>
                <w:color w:val="9B1C1C"/>
                <w:sz w:val="21"/>
              </w:rPr>
              <w:t xml:space="preserve">不可变结论  </w:t>
            </w:r>
            <w:r>
              <w:rPr>
                <w:rFonts w:ascii="Hiragino Sans GB" w:hAnsi="Hiragino Sans GB" w:eastAsia="Hiragino Sans GB"/>
                <w:color w:val="000000"/>
                <w:sz w:val="21"/>
              </w:rPr>
              <w:t>Stage 01G 的 V2_QUALIFICATION_FAIL 与 Stage 01D / 01D2 的失败均保持。Stage 02 初始化不构成重新资格、模型有效性或训练授权。</w:t>
            </w:r>
          </w:p>
        </w:tc>
      </w:tr>
    </w:tbl>
    <w:p>
      <w:pPr>
        <w:spacing w:after="40"/>
      </w:pPr>
    </w:p>
    <w:p>
      <w:pPr>
        <w:pStyle w:val="Heading1"/>
      </w:pPr>
      <w:r>
        <w:t>主要事实源</w:t>
      </w:r>
    </w:p>
    <w:p>
      <w:pPr>
        <w:spacing w:after="160" w:line="280" w:lineRule="auto"/>
        <w:numPr>
          <w:ilvl w:val="0"/>
          <w:numId w:val="10"/>
        </w:numPr>
      </w:pPr>
      <w:r>
        <w:rPr>
          <w:rFonts w:ascii="Hiragino Sans GB" w:hAnsi="Hiragino Sans GB" w:eastAsia="Hiragino Sans GB"/>
          <w:color w:val="000000"/>
          <w:sz w:val="22"/>
        </w:rPr>
        <w:t>07_reports/stage_00_summary.md</w:t>
      </w:r>
    </w:p>
    <w:p>
      <w:pPr>
        <w:spacing w:after="160" w:line="280" w:lineRule="auto"/>
        <w:numPr>
          <w:ilvl w:val="0"/>
          <w:numId w:val="10"/>
        </w:numPr>
      </w:pPr>
      <w:r>
        <w:rPr>
          <w:rFonts w:ascii="Hiragino Sans GB" w:hAnsi="Hiragino Sans GB" w:eastAsia="Hiragino Sans GB"/>
          <w:color w:val="000000"/>
          <w:sz w:val="22"/>
        </w:rPr>
        <w:t>07_reports/stage_01c_final_requalification.md</w:t>
      </w:r>
    </w:p>
    <w:p>
      <w:pPr>
        <w:spacing w:after="160" w:line="280" w:lineRule="auto"/>
        <w:numPr>
          <w:ilvl w:val="0"/>
          <w:numId w:val="10"/>
        </w:numPr>
      </w:pPr>
      <w:r>
        <w:rPr>
          <w:rFonts w:ascii="Hiragino Sans GB" w:hAnsi="Hiragino Sans GB" w:eastAsia="Hiragino Sans GB"/>
          <w:color w:val="000000"/>
          <w:sz w:val="22"/>
        </w:rPr>
        <w:t>07_reports/stage_01dr_final_report.md；stage_01dr2/3/4/5_final_report.md</w:t>
      </w:r>
    </w:p>
    <w:p>
      <w:pPr>
        <w:spacing w:after="160" w:line="280" w:lineRule="auto"/>
        <w:numPr>
          <w:ilvl w:val="0"/>
          <w:numId w:val="10"/>
        </w:numPr>
      </w:pPr>
      <w:r>
        <w:rPr>
          <w:rFonts w:ascii="Hiragino Sans GB" w:hAnsi="Hiragino Sans GB" w:eastAsia="Hiragino Sans GB"/>
          <w:color w:val="000000"/>
          <w:sz w:val="22"/>
        </w:rPr>
        <w:t>07_reports/stage_01d2_final_v2_report.md</w:t>
      </w:r>
    </w:p>
    <w:p>
      <w:pPr>
        <w:spacing w:after="160" w:line="280" w:lineRule="auto"/>
        <w:numPr>
          <w:ilvl w:val="0"/>
          <w:numId w:val="10"/>
        </w:numPr>
      </w:pPr>
      <w:r>
        <w:rPr>
          <w:rFonts w:ascii="Hiragino Sans GB" w:hAnsi="Hiragino Sans GB" w:eastAsia="Hiragino Sans GB"/>
          <w:color w:val="000000"/>
          <w:sz w:val="22"/>
        </w:rPr>
        <w:t>07_reports/stage_01e_final_report.md</w:t>
      </w:r>
    </w:p>
    <w:p>
      <w:pPr>
        <w:spacing w:after="160" w:line="280" w:lineRule="auto"/>
        <w:numPr>
          <w:ilvl w:val="0"/>
          <w:numId w:val="10"/>
        </w:numPr>
      </w:pPr>
      <w:r>
        <w:rPr>
          <w:rFonts w:ascii="Hiragino Sans GB" w:hAnsi="Hiragino Sans GB" w:eastAsia="Hiragino Sans GB"/>
          <w:color w:val="000000"/>
          <w:sz w:val="22"/>
        </w:rPr>
        <w:t>07_reports/stage_01f_final_report.md；stage_01f2/3/3r/3b/3c/4/5/5p/5q_final_report.md</w:t>
      </w:r>
    </w:p>
    <w:p>
      <w:pPr>
        <w:spacing w:after="160" w:line="280" w:lineRule="auto"/>
        <w:numPr>
          <w:ilvl w:val="0"/>
          <w:numId w:val="10"/>
        </w:numPr>
      </w:pPr>
      <w:r>
        <w:rPr>
          <w:rFonts w:ascii="Hiragino Sans GB" w:hAnsi="Hiragino Sans GB" w:eastAsia="Hiragino Sans GB"/>
          <w:color w:val="000000"/>
          <w:sz w:val="22"/>
        </w:rPr>
        <w:t>07_reports/stage_01f5b_final_report.md</w:t>
      </w:r>
    </w:p>
    <w:p>
      <w:pPr>
        <w:spacing w:after="160" w:line="280" w:lineRule="auto"/>
        <w:numPr>
          <w:ilvl w:val="0"/>
          <w:numId w:val="10"/>
        </w:numPr>
      </w:pPr>
      <w:r>
        <w:rPr>
          <w:rFonts w:ascii="Hiragino Sans GB" w:hAnsi="Hiragino Sans GB" w:eastAsia="Hiragino Sans GB"/>
          <w:color w:val="000000"/>
          <w:sz w:val="22"/>
        </w:rPr>
        <w:t>07_reports/stage_01g_final_report.md；stage_01g_v2_qualification_report.md；stage01gr_final_report.md；stage01g_v2_qualification_report.md</w:t>
      </w:r>
    </w:p>
    <w:p>
      <w:pPr>
        <w:spacing w:after="160" w:line="280" w:lineRule="auto"/>
        <w:numPr>
          <w:ilvl w:val="0"/>
          <w:numId w:val="10"/>
        </w:numPr>
      </w:pPr>
      <w:r>
        <w:rPr>
          <w:rFonts w:ascii="Hiragino Sans GB" w:hAnsi="Hiragino Sans GB" w:eastAsia="Hiragino Sans GB"/>
          <w:color w:val="000000"/>
          <w:sz w:val="22"/>
        </w:rPr>
        <w:t>07_reports/stage01h_final_report.md</w:t>
      </w:r>
    </w:p>
    <w:p>
      <w:pPr>
        <w:pStyle w:val="Heading1"/>
      </w:pPr>
      <w:r>
        <w:t>记录终止状态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EF3F8"/>
          </w:tcPr>
          <w:p>
            <w:pPr>
              <w:spacing w:after="0"/>
            </w:pPr>
            <w:r>
              <w:rPr>
                <w:rFonts w:ascii="Hiragino Sans GB" w:hAnsi="Hiragino Sans GB" w:eastAsia="Hiragino Sans GB"/>
                <w:b/>
                <w:color w:val="1F3A5F"/>
                <w:sz w:val="21"/>
              </w:rPr>
              <w:t xml:space="preserve">Stage 02 初始化  </w:t>
            </w:r>
            <w:r>
              <w:rPr>
                <w:rFonts w:ascii="Hiragino Sans GB" w:hAnsi="Hiragino Sans GB" w:eastAsia="Hiragino Sans GB"/>
                <w:color w:val="000000"/>
                <w:sz w:val="21"/>
              </w:rPr>
              <w:t>STAGE02_INITIALIZATION_COMPLETE。该状态只说明准备文档与隔离目录完成，并确认本次未执行训练、数据生成、Transformer 实现、参数调节或 benchmark 修改。</w:t>
            </w:r>
          </w:p>
        </w:tc>
      </w:tr>
    </w:tbl>
    <w:p>
      <w:pPr>
        <w:spacing w:after="40"/>
      </w:pP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Hiragino Sans GB" w:hAnsi="Hiragino Sans GB" w:eastAsia="Hiragino Sans GB"/>
        <w:color w:val="5B6573"/>
        <w:sz w:val="18"/>
      </w:rPr>
      <w:t>SPH-PIO-PoC  |  Stage 01 Research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720"/>
        </w:tabs>
        <w:ind w:left="720" w:hanging="360"/>
      </w:pPr>
      <w:rPr>
        <w:rFonts w:ascii="Hiragino Sans GB" w:hAnsi="Hiragino Sans GB" w:eastAsia="Hiragino Sans GB"/>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Hiragino Sans GB" w:hAnsi="Hiragino Sans GB" w:eastAsia="Hiragino Sans GB"/>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Hiragino Sans GB" w:hAnsi="Hiragino Sans GB" w:eastAsia="Hiragino Sans GB"/>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Hiragino Sans GB" w:hAnsi="Hiragino Sans GB" w:eastAsia="Hiragino Sans GB"/>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Hiragino Sans GB" w:hAnsi="Hiragino Sans GB" w:eastAsia="Hiragino Sans GB"/>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Hiragino Sans GB" w:hAnsi="Hiragino Sans GB" w:eastAsia="Hiragino Sans GB"/>
      <w:b w:val="0"/>
      <w:bCs/>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