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840"/>
        <w:jc w:val="center"/>
      </w:pPr>
      <w:r>
        <w:rPr>
          <w:rFonts w:ascii="Calibri" w:hAnsi="Calibri" w:eastAsia="Heiti SC"/>
          <w:b/>
          <w:color w:val="7A5A00"/>
          <w:sz w:val="22"/>
        </w:rPr>
        <w:t>研究记录 · 路线封闭</w:t>
      </w:r>
    </w:p>
    <w:p>
      <w:pPr>
        <w:spacing w:before="280" w:after="160"/>
        <w:jc w:val="center"/>
      </w:pPr>
      <w:r>
        <w:rPr>
          <w:rFonts w:ascii="Calibri" w:hAnsi="Calibri" w:eastAsia="Heiti SC"/>
          <w:b/>
          <w:color w:val="203748"/>
          <w:sz w:val="60"/>
        </w:rPr>
        <w:t>Stage 04 Research Record</w:t>
      </w:r>
    </w:p>
    <w:p>
      <w:pPr>
        <w:spacing w:after="80"/>
        <w:jc w:val="center"/>
      </w:pPr>
      <w:r>
        <w:rPr>
          <w:rFonts w:ascii="Calibri" w:hAnsi="Calibri" w:eastAsia="Heiti SC"/>
          <w:b/>
          <w:color w:val="1F4D78"/>
          <w:sz w:val="30"/>
        </w:rPr>
        <w:t>局部因果动态训练路线：从假设、参考池到任务信号边界</w:t>
      </w:r>
    </w:p>
    <w:p>
      <w:pPr>
        <w:spacing w:after="880"/>
        <w:jc w:val="center"/>
      </w:pPr>
      <w:r>
        <w:rPr>
          <w:rFonts w:ascii="Calibri" w:hAnsi="Calibri" w:eastAsia="Heiti SC"/>
          <w:color w:val="5A626C"/>
          <w:sz w:val="21"/>
        </w:rPr>
        <w:t>SPH-PIO-PoC · Stage 04C-S · 2026-08-06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23560" cy="1249680"/>
            <wp:docPr id="1" name="Picture 1" descr="Stage 04A 到 Stage 04C-S 的证据时间线：合同、验证、参考池、梯度失败、混合归因与路线封闭。" title="Stage 04 evidence timelin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ge04_timelin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1249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Calibri" w:hAnsi="Calibri" w:eastAsia="Heiti SC"/>
          <w:b/>
          <w:color w:val="1F4D78"/>
          <w:sz w:val="19"/>
        </w:rPr>
        <w:t>图 1  Stage 04 证据链与非覆盖式状态演进</w:t>
      </w:r>
    </w:p>
    <w:p>
      <w:pPr>
        <w:spacing w:before="520"/>
        <w:jc w:val="center"/>
      </w:pPr>
      <w:r>
        <w:rPr>
          <w:rFonts w:ascii="Calibri" w:hAnsi="Calibri" w:eastAsia="Heiti SC"/>
          <w:b/>
          <w:color w:val="9B1C1C"/>
          <w:sz w:val="21"/>
        </w:rPr>
        <w:t>最终边界：STAGE04_ROUTE_PAUSED_TASK_SIGNAL_BOUNDARY_COMPLETE</w:t>
      </w:r>
    </w:p>
    <w:p>
      <w:r>
        <w:br w:type="page"/>
      </w:r>
    </w:p>
    <w:p>
      <w:pPr>
        <w:pStyle w:val="Heading1"/>
        <w:keepNext/>
      </w:pPr>
      <w:r>
        <w:t>内容索引</w:t>
      </w:r>
    </w:p>
    <w:p>
      <w:pPr>
        <w:pStyle w:val="Caption"/>
        <w:keepNext/>
      </w:pPr>
      <w:r>
        <w:rPr>
          <w:rFonts w:ascii="Calibri" w:hAnsi="Calibri" w:eastAsia="Heiti SC"/>
          <w:b/>
          <w:color w:val="1F4D78"/>
          <w:sz w:val="19"/>
        </w:rPr>
        <w:t>表 0  研究记录内容索引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rPr>
          <w:tblHeader w:val="true"/>
        </w:trPr>
        <w:tc>
          <w:tcPr>
            <w:tcW w:type="dxa" w:w="468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Heiti SC"/>
                <w:b/>
                <w:color w:val="203748"/>
                <w:sz w:val="18"/>
              </w:rPr>
              <w:t>前半部分</w:t>
            </w:r>
          </w:p>
        </w:tc>
        <w:tc>
          <w:tcPr>
            <w:tcW w:type="dxa" w:w="468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Heiti SC"/>
                <w:b/>
                <w:color w:val="203748"/>
                <w:sz w:val="18"/>
              </w:rPr>
              <w:t>后半部分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Heiti SC"/>
                <w:sz w:val="17"/>
              </w:rPr>
              <w:t>执行摘要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Heiti SC"/>
                <w:sz w:val="17"/>
              </w:rPr>
              <w:t>12. Full parameter gradients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Heiti SC"/>
                <w:sz w:val="17"/>
              </w:rPr>
              <w:t>1. Stage 04 新假设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Heiti SC"/>
                <w:sz w:val="17"/>
              </w:rPr>
              <w:t>13. Exact residual–Jacobian factorization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Heiti SC"/>
                <w:sz w:val="17"/>
              </w:rPr>
              <w:t>2. Stage 03 边界与继承关系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Heiti SC"/>
                <w:sz w:val="17"/>
              </w:rPr>
              <w:t>14. Random-direction projection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Heiti SC"/>
                <w:sz w:val="17"/>
              </w:rPr>
              <w:t>3. K=1 local-causal 训练定义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Heiti SC"/>
                <w:sz w:val="17"/>
              </w:rPr>
              <w:t>15. Network sensitivity chain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Heiti SC"/>
                <w:sz w:val="17"/>
              </w:rPr>
              <w:t>4. 新 reference formula pool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Heiti SC"/>
                <w:sz w:val="17"/>
              </w:rPr>
              <w:t>16. RK2 time attenuation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Heiti SC"/>
                <w:sz w:val="17"/>
              </w:rPr>
              <w:t>5. Analytic、DOP853 与 topology 资格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Heiti SC"/>
                <w:sz w:val="17"/>
              </w:rPr>
              <w:t>17. Mixed / unresolved attribution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Heiti SC"/>
                <w:sz w:val="17"/>
              </w:rPr>
              <w:t>6. Lineage split 与 sealed test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Heiti SC"/>
                <w:sz w:val="17"/>
              </w:rPr>
              <w:t>18. 为什么没有训练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Heiti SC"/>
                <w:sz w:val="17"/>
              </w:rPr>
              <w:t>7. Task-aligned component-vector loss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Heiti SC"/>
                <w:sz w:val="17"/>
              </w:rPr>
              <w:t>19. Supported / conditional / unsupported claims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Heiti SC"/>
                <w:sz w:val="17"/>
              </w:rPr>
              <w:t>8. D1/D2/D3 parameter groups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Heiti SC"/>
                <w:sz w:val="17"/>
              </w:rPr>
              <w:t>20. Stage 00–04 publication implications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Heiti SC"/>
                <w:sz w:val="17"/>
              </w:rPr>
              <w:t>9. 864 个正式 probes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Heiti SC"/>
                <w:sz w:val="17"/>
              </w:rPr>
              <w:t>附录 A. Evidence matrix 摘要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Heiti SC"/>
                <w:sz w:val="17"/>
              </w:rPr>
              <w:t>10. Reverse、JVP 与 central FD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Heiti SC"/>
                <w:sz w:val="17"/>
              </w:rPr>
              <w:t>附录 B. 潜在创新登记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Heiti SC"/>
                <w:sz w:val="17"/>
              </w:rPr>
              <w:t>11. All-near-zero 资格结果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Heiti SC"/>
                <w:sz w:val="17"/>
              </w:rPr>
              <w:t>附录 C. Artifact / hash index</w:t>
            </w:r>
          </w:p>
        </w:tc>
      </w:tr>
    </w:tbl>
    <w:p>
      <w:pPr>
        <w:spacing w:after="40"/>
      </w:pPr>
    </w:p>
    <w:p>
      <w:pPr>
        <w:spacing w:after="120" w:line="300" w:lineRule="auto"/>
      </w:pPr>
      <w:r>
        <w:rPr>
          <w:rFonts w:ascii="Calibri" w:hAnsi="Calibri" w:eastAsia="Heiti SC"/>
          <w:sz w:val="22"/>
        </w:rPr>
        <w:t>阅读说明：本记录保留每个阶段的独立 verdict。后续归因只扩展证据，不覆盖早期失败；所有“潜在创新”均需独立文献核验。</w:t>
      </w:r>
    </w:p>
    <w:p>
      <w:r>
        <w:br w:type="page"/>
      </w:r>
    </w:p>
    <w:p>
      <w:pPr>
        <w:pStyle w:val="Heading1"/>
        <w:keepNext/>
      </w:pPr>
      <w:r>
        <w:t>执行摘要</w:t>
      </w:r>
    </w:p>
    <w:p>
      <w:pPr>
        <w:spacing w:after="120" w:line="300" w:lineRule="auto"/>
      </w:pPr>
      <w:r>
        <w:rPr>
          <w:rFonts w:ascii="Calibri" w:hAnsi="Calibri" w:eastAsia="Heiti SC"/>
          <w:sz w:val="22"/>
        </w:rPr>
        <w:t>Stage 04 建立了新的 K=1 local-causal 动态训练假设、10 个 formula lineages 的角色预分配 reference pool，以及面向真实 optimizer 参数组的 task-aligned 梯度资格体系。Reference pool 完整通过，但 864 个正式 probes 均因三个 loss 分量同时低于可辨识门而失败。</w:t>
      </w:r>
    </w:p>
    <w:p>
      <w:pPr>
        <w:spacing w:after="120" w:line="300" w:lineRule="auto"/>
      </w:pPr>
      <w:r>
        <w:rPr>
          <w:rFonts w:ascii="Calibri" w:hAnsi="Calibri" w:eastAsia="Heiti SC"/>
          <w:sz w:val="22"/>
        </w:rPr>
        <w:t>Stage 04C-R 进一步证明网络输出、参数全梯度与状态 Jacobian 并非系统性死亡；失败由 MSE residual scale、随机组方向投影和合约内 RK2 时间尺度共同影响，且仍有 604 个 component rows 未能唯一解析。故 Stage 04D=false，训练未授权、未执行。</w:t>
      </w:r>
    </w:p>
    <w:p>
      <w:pPr>
        <w:pStyle w:val="Caption"/>
        <w:keepNext/>
      </w:pPr>
      <w:r>
        <w:rPr>
          <w:rFonts w:ascii="Calibri" w:hAnsi="Calibri" w:eastAsia="Heiti SC"/>
          <w:b/>
          <w:color w:val="1F4D78"/>
          <w:sz w:val="19"/>
        </w:rPr>
        <w:t>表 1  Stage 04 状态总览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300"/>
        <w:gridCol w:w="3600"/>
        <w:gridCol w:w="4460"/>
      </w:tblGrid>
      <w:tr>
        <w:trPr>
          <w:tblHeader w:val="true"/>
        </w:trPr>
        <w:tc>
          <w:tcPr>
            <w:tcW w:type="dxa" w:w="13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Heiti SC"/>
                <w:b/>
                <w:color w:val="203748"/>
                <w:sz w:val="18"/>
              </w:rPr>
              <w:t>阶段</w:t>
            </w:r>
          </w:p>
        </w:tc>
        <w:tc>
          <w:tcPr>
            <w:tcW w:type="dxa" w:w="3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Heiti SC"/>
                <w:b/>
                <w:color w:val="203748"/>
                <w:sz w:val="18"/>
              </w:rPr>
              <w:t>精确状态</w:t>
            </w:r>
          </w:p>
        </w:tc>
        <w:tc>
          <w:tcPr>
            <w:tcW w:type="dxa" w:w="44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Heiti SC"/>
                <w:b/>
                <w:color w:val="203748"/>
                <w:sz w:val="18"/>
              </w:rPr>
              <w:t>下游边界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Heiti SC"/>
                <w:sz w:val="17"/>
              </w:rPr>
              <w:t>Stage 04A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Heiti SC"/>
                <w:sz w:val="17"/>
              </w:rPr>
              <w:t>LOCAL_CAUSAL_TRAINING_HYPOTHESIS_CONTRACT_COMPLETE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Heiti SC"/>
                <w:sz w:val="17"/>
              </w:rPr>
              <w:t>Stage 04A Verification；通过后可进入 Stage 04B。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Heiti SC"/>
                <w:sz w:val="17"/>
              </w:rPr>
              <w:t>Stage 04A Verification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Heiti SC"/>
                <w:sz w:val="17"/>
              </w:rPr>
              <w:t>STAGE04A_TARGET_VERIFIED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Heiti SC"/>
                <w:sz w:val="17"/>
              </w:rPr>
              <w:t>Stage 04B reference-family pool。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Heiti SC"/>
                <w:sz w:val="17"/>
              </w:rPr>
              <w:t>Stage 04B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Heiti SC"/>
                <w:sz w:val="17"/>
              </w:rPr>
              <w:t>LOCAL_CAUSAL_REFERENCE_FAMILY_POOL_QUALIFIED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Heiti SC"/>
                <w:sz w:val="17"/>
              </w:rPr>
              <w:t>Stage 04C task-aligned gradient qualification。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Heiti SC"/>
                <w:sz w:val="17"/>
              </w:rPr>
              <w:t>Stage 04C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Heiti SC"/>
                <w:sz w:val="17"/>
              </w:rPr>
              <w:t>TASK_ALIGNED_PARAMETER_GRADIENT_NOT_QUALIFIED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Heiti SC"/>
                <w:sz w:val="17"/>
              </w:rPr>
              <w:t>仅 Stage 04C-R failure attribution；Stage 04D=false。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Heiti SC"/>
                <w:sz w:val="17"/>
              </w:rPr>
              <w:t>Stage 04C-R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Heiti SC"/>
                <w:sz w:val="17"/>
              </w:rPr>
              <w:t>TASK_GRADIENT_FAILURE_MIXED_OR_UNRESOLVED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Heiti SC"/>
                <w:sz w:val="17"/>
              </w:rPr>
              <w:t>Stage 04C-S route closure only；Stage 04D=false。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1. Stage 04 新假设</w:t>
      </w:r>
    </w:p>
    <w:p>
      <w:pPr>
        <w:spacing w:after="120" w:line="300" w:lineRule="auto"/>
      </w:pPr>
      <w:r>
        <w:rPr>
          <w:rFonts w:ascii="Calibri" w:hAnsi="Calibri" w:eastAsia="Heiti SC"/>
          <w:sz w:val="22"/>
        </w:rPr>
        <w:t>核心假设不是直接进行长时训练，而是先判断一个完整 K=1 RK2 state transition 的 task-aligned loss 是否能在实际 optimizer 参数空间中产生可检测、可复现并与有限差分一致的梯度。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Heiti SC"/>
          <w:sz w:val="22"/>
        </w:rPr>
        <w:t>局部因果：仅使用当前状态、已接受 prehistory 与当前/中点 graph。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Heiti SC"/>
          <w:sz w:val="22"/>
        </w:rPr>
        <w:t>任务对齐：梯度对象直接来自下一步位置、速度、密度状态误差。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Heiti SC"/>
          <w:sz w:val="22"/>
        </w:rPr>
        <w:t>资格优先：optimizer、training、checkpoint selection 与性能评价均置于梯度资格之后。</w:t>
      </w:r>
    </w:p>
    <w:p>
      <w:pPr>
        <w:pStyle w:val="Heading1"/>
        <w:keepNext/>
      </w:pPr>
      <w:r>
        <w:t>2. Stage 03 边界与继承关系</w:t>
      </w:r>
    </w:p>
    <w:p>
      <w:pPr>
        <w:spacing w:after="120" w:line="300" w:lineRule="auto"/>
      </w:pPr>
      <w:r>
        <w:rPr>
          <w:rFonts w:ascii="Calibri" w:hAnsi="Calibri" w:eastAsia="Heiti SC"/>
          <w:sz w:val="22"/>
        </w:rPr>
        <w:t>Stage 03D 的多步 AD/FD 与 history 梯度未资格化，Stage 03D-R 给出 mixed/unresolved 归因，Stage 03D-S 将路线暂停在梯度边界。Stage 04 不修复或覆盖这些结论，而是通过新的 TRAIN formula families 与 K=1 optimizer-variable loss 重新建立独立假设。</w:t>
      </w:r>
    </w:p>
    <w:p>
      <w:pPr>
        <w:spacing w:after="120" w:line="300" w:lineRule="auto"/>
      </w:pPr>
      <w:r>
        <w:rPr>
          <w:rFonts w:ascii="Calibri" w:hAnsi="Calibri" w:eastAsia="Heiti SC"/>
          <w:sz w:val="22"/>
        </w:rPr>
        <w:t>不变边界：Stage 03E 未授权；Stage 04 不得把 K=1 的实现一致性写成多步 rollout 梯度已经解决。</w:t>
      </w:r>
    </w:p>
    <w:p>
      <w:pPr>
        <w:pStyle w:val="Heading1"/>
        <w:keepNext/>
      </w:pPr>
      <w:r>
        <w:t>3. K=1 local-causal 训练定义</w:t>
      </w:r>
    </w:p>
    <w:p>
      <w:pPr>
        <w:spacing w:after="120" w:line="300" w:lineRule="auto"/>
      </w:pPr>
      <w:r>
        <w:rPr>
          <w:rFonts w:ascii="Calibri" w:hAnsi="Calibri" w:eastAsia="Heiti SC"/>
          <w:sz w:val="22"/>
        </w:rPr>
        <w:t>每个任务样本执行 start → midpoint → accept 的完整显式中点 RK2。Start 与 midpoint 分别重建 reciprocal graph；midpoint token 为 ephemeral；D2/D3 仅在 accept 后提交一次 history，midpoint commit count=0。</w:t>
      </w:r>
    </w:p>
    <w:p>
      <w:pPr>
        <w:spacing w:before="120" w:after="120"/>
        <w:jc w:val="center"/>
      </w:pPr>
      <w:r>
        <w:rPr>
          <w:rFonts w:ascii="Cambria Math" w:hAnsi="Cambria Math" w:eastAsia="Heiti SC"/>
          <w:sz w:val="22"/>
        </w:rPr>
        <w:t>Sⁿ → k₁(Sⁿ, Hⁿ; θ) → Sⁿ⁺¹ᐟ² → k₂(Sⁿ⁺¹ᐟ², Hⁿ; θ) → Sⁿ⁺¹</w:t>
      </w:r>
      <w:r>
        <w:rPr>
          <w:rFonts w:ascii="Calibri" w:hAnsi="Calibri" w:eastAsia="Heiti SC"/>
          <w:color w:val="5A626C"/>
          <w:sz w:val="20"/>
        </w:rPr>
        <w:t xml:space="preserve">    (3.1)</w:t>
      </w:r>
    </w:p>
    <w:p>
      <w:pPr>
        <w:pStyle w:val="Heading1"/>
        <w:keepNext/>
      </w:pPr>
      <w:r>
        <w:t>4. 新 reference formula pool</w:t>
      </w:r>
    </w:p>
    <w:p>
      <w:pPr>
        <w:spacing w:after="120" w:line="300" w:lineRule="auto"/>
      </w:pPr>
      <w:r>
        <w:rPr>
          <w:rFonts w:ascii="Calibri" w:hAnsi="Calibri" w:eastAsia="Heiti SC"/>
          <w:sz w:val="22"/>
        </w:rPr>
        <w:t>Stage 04B 构建 10 个公式血统，覆盖轴向压缩、旋转单元、斜向纵/横模态、多模态交叉与各向异性双模态。每个 lineage 具有 LOW/MAIN 变体与 N8/N12/N16 exact trajectories。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Heiti SC"/>
          <w:sz w:val="22"/>
        </w:rPr>
        <w:t>Analytic qualification：20/20 PASS。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Heiti SC"/>
          <w:sz w:val="22"/>
        </w:rPr>
        <w:t>Exact trajectories：60/60 PASS。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Heiti SC"/>
          <w:sz w:val="22"/>
        </w:rPr>
        <w:t>DOP853：20/20 PASS；fixed topology：10/10。</w:t>
      </w:r>
    </w:p>
    <w:p>
      <w:pPr>
        <w:pStyle w:val="Heading1"/>
        <w:keepNext/>
      </w:pPr>
      <w:r>
        <w:t>5. Analytic、DOP853 与 topology 资格</w:t>
      </w:r>
    </w:p>
    <w:p>
      <w:pPr>
        <w:spacing w:after="120" w:line="300" w:lineRule="auto"/>
      </w:pPr>
      <w:r>
        <w:rPr>
          <w:rFonts w:ascii="Calibri" w:hAnsi="Calibri" w:eastAsia="Heiti SC"/>
          <w:sz w:val="22"/>
        </w:rPr>
        <w:t>解析公式、半离散参考与图拓扑分别审计，避免将 analytic identity、时间积分一致性和固定拓扑平滑性混写为一个门。Stage 04C 的所有扰动路径再次验证了 start/midpoint/accepted edge identity，topology-changing epsilon=0。</w:t>
      </w:r>
    </w:p>
    <w:p>
      <w:pPr>
        <w:pStyle w:val="Heading1"/>
        <w:keepNext/>
      </w:pPr>
      <w:r>
        <w:t>6. Lineage split 与 sealed test</w:t>
      </w:r>
    </w:p>
    <w:p>
      <w:pPr>
        <w:spacing w:after="120" w:line="300" w:lineRule="auto"/>
      </w:pPr>
      <w:r>
        <w:rPr>
          <w:rFonts w:ascii="Calibri" w:hAnsi="Calibri" w:eastAsia="Heiti SC"/>
          <w:sz w:val="22"/>
        </w:rPr>
        <w:t>角色在科学结果之前冻结为 6 TRAIN、2 VALIDATION、2 SEALED_TEST。Stage 04C 与 04C-R 仅使用 TRAIN；validation target 及 sealed formula/state/target/origin 均保持零解码。</w:t>
      </w:r>
    </w:p>
    <w:p>
      <w:pPr>
        <w:pStyle w:val="Caption"/>
        <w:keepNext/>
      </w:pPr>
      <w:r>
        <w:rPr>
          <w:rFonts w:ascii="Calibri" w:hAnsi="Calibri" w:eastAsia="Heiti SC"/>
          <w:b/>
          <w:color w:val="1F4D78"/>
          <w:sz w:val="19"/>
        </w:rPr>
        <w:t>表 2  角色与访问边界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3300"/>
        <w:gridCol w:w="4560"/>
      </w:tblGrid>
      <w:tr>
        <w:trPr>
          <w:tblHeader w:val="true"/>
        </w:trPr>
        <w:tc>
          <w:tcPr>
            <w:tcW w:type="dxa" w:w="15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Heiti SC"/>
                <w:b/>
                <w:color w:val="203748"/>
                <w:sz w:val="18"/>
              </w:rPr>
              <w:t>角色</w:t>
            </w:r>
          </w:p>
        </w:tc>
        <w:tc>
          <w:tcPr>
            <w:tcW w:type="dxa" w:w="33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Heiti SC"/>
                <w:b/>
                <w:color w:val="203748"/>
                <w:sz w:val="18"/>
              </w:rPr>
              <w:t>Lineages</w:t>
            </w:r>
          </w:p>
        </w:tc>
        <w:tc>
          <w:tcPr>
            <w:tcW w:type="dxa" w:w="45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Heiti SC"/>
                <w:b/>
                <w:color w:val="203748"/>
                <w:sz w:val="18"/>
              </w:rPr>
              <w:t>Stage 04C/CR 访问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Heiti SC"/>
                <w:sz w:val="17"/>
              </w:rPr>
              <w:t>TRAIN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Heiti SC"/>
                <w:sz w:val="17"/>
              </w:rPr>
              <w:t>LCDF_01, 04, 05, 06, 07, 08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Heiti SC"/>
                <w:sz w:val="17"/>
              </w:rPr>
              <w:t>允许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Heiti SC"/>
                <w:sz w:val="17"/>
              </w:rPr>
              <w:t>VALIDATION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Heiti SC"/>
                <w:sz w:val="17"/>
              </w:rPr>
              <w:t>LCDF_02, 09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Heiti SC"/>
                <w:sz w:val="17"/>
              </w:rPr>
              <w:t>禁止解码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Heiti SC"/>
                <w:sz w:val="17"/>
              </w:rPr>
              <w:t>SEALED_TEST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Heiti SC"/>
                <w:sz w:val="17"/>
              </w:rPr>
              <w:t>LCDF_03, 10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Heiti SC"/>
                <w:sz w:val="17"/>
              </w:rPr>
              <w:t>公式/状态/目标/来源/图序列均禁止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7. Task-aligned component-vector loss</w:t>
      </w:r>
    </w:p>
    <w:p>
      <w:pPr>
        <w:spacing w:after="120" w:line="300" w:lineRule="auto"/>
      </w:pPr>
      <w:r>
        <w:rPr>
          <w:rFonts w:ascii="Calibri" w:hAnsi="Calibri" w:eastAsia="Heiti SC"/>
          <w:sz w:val="22"/>
        </w:rPr>
        <w:t>正式梯度对象是三个 loss components，而不是事后选择的加权和。Stage 04D 如未来提出固定非负权重，必须在新合同中进行线性组合核验。</w:t>
      </w:r>
    </w:p>
    <w:p>
      <w:pPr>
        <w:spacing w:before="120" w:after="120"/>
        <w:jc w:val="center"/>
      </w:pPr>
      <w:r>
        <w:rPr>
          <w:rFonts w:ascii="Cambria Math" w:hAnsi="Cambria Math" w:eastAsia="Heiti SC"/>
          <w:sz w:val="22"/>
        </w:rPr>
        <w:t>Lₓ = meanᵢ ‖minimum_image(xᵢⁿ⁺¹ − xᵢ,refⁿ⁺¹)‖² / L²</w:t>
      </w:r>
      <w:r>
        <w:rPr>
          <w:rFonts w:ascii="Calibri" w:hAnsi="Calibri" w:eastAsia="Heiti SC"/>
          <w:color w:val="5A626C"/>
          <w:sz w:val="20"/>
        </w:rPr>
        <w:t xml:space="preserve">    (7.1)</w:t>
      </w:r>
    </w:p>
    <w:p>
      <w:pPr>
        <w:spacing w:before="120" w:after="120"/>
        <w:jc w:val="center"/>
      </w:pPr>
      <w:r>
        <w:rPr>
          <w:rFonts w:ascii="Cambria Math" w:hAnsi="Cambria Math" w:eastAsia="Heiti SC"/>
          <w:sz w:val="22"/>
        </w:rPr>
        <w:t>Lᵥ = meanᵢ ‖vᵢⁿ⁺¹ − vᵢ,refⁿ⁺¹‖² / cₛ²</w:t>
      </w:r>
      <w:r>
        <w:rPr>
          <w:rFonts w:ascii="Calibri" w:hAnsi="Calibri" w:eastAsia="Heiti SC"/>
          <w:color w:val="5A626C"/>
          <w:sz w:val="20"/>
        </w:rPr>
        <w:t xml:space="preserve">    (7.2)</w:t>
      </w:r>
    </w:p>
    <w:p>
      <w:pPr>
        <w:spacing w:before="120" w:after="120"/>
        <w:jc w:val="center"/>
      </w:pPr>
      <w:r>
        <w:rPr>
          <w:rFonts w:ascii="Cambria Math" w:hAnsi="Cambria Math" w:eastAsia="Heiti SC"/>
          <w:sz w:val="22"/>
        </w:rPr>
        <w:t>Lρ = meanᵢ (ρᵢⁿ⁺¹ − ρᵢ,refⁿ⁺¹)² / ρ₀²</w:t>
      </w:r>
      <w:r>
        <w:rPr>
          <w:rFonts w:ascii="Calibri" w:hAnsi="Calibri" w:eastAsia="Heiti SC"/>
          <w:color w:val="5A626C"/>
          <w:sz w:val="20"/>
        </w:rPr>
        <w:t xml:space="preserve">    (7.3)</w:t>
      </w:r>
    </w:p>
    <w:p>
      <w:pPr>
        <w:pStyle w:val="Heading1"/>
        <w:keepNext/>
      </w:pPr>
      <w:r>
        <w:t>8. D1/D2/D3 parameter groups</w:t>
      </w:r>
    </w:p>
    <w:p>
      <w:pPr>
        <w:spacing w:after="120" w:line="300" w:lineRule="auto"/>
      </w:pPr>
      <w:r>
        <w:rPr>
          <w:rFonts w:ascii="Calibri" w:hAnsi="Calibri" w:eastAsia="Heiti SC"/>
          <w:sz w:val="22"/>
        </w:rPr>
        <w:t>参数组从 Stage 03C 实际 tensor paths 解析，所有 trainable elements 恰好分配一次。D3 合并的 in_proj_weight/bias 按 Q/K/V 不重叠 slices 冻结。</w:t>
      </w:r>
    </w:p>
    <w:p>
      <w:pPr>
        <w:pStyle w:val="Caption"/>
        <w:keepNext/>
      </w:pPr>
      <w:r>
        <w:rPr>
          <w:rFonts w:ascii="Calibri" w:hAnsi="Calibri" w:eastAsia="Heiti SC"/>
          <w:b/>
          <w:color w:val="1F4D78"/>
          <w:sz w:val="19"/>
        </w:rPr>
        <w:t>表 3  参数组与规模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200"/>
        <w:gridCol w:w="5960"/>
        <w:gridCol w:w="2200"/>
      </w:tblGrid>
      <w:tr>
        <w:trPr>
          <w:tblHeader w:val="true"/>
        </w:trPr>
        <w:tc>
          <w:tcPr>
            <w:tcW w:type="dxa" w:w="12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Heiti SC"/>
                <w:b/>
                <w:color w:val="203748"/>
                <w:sz w:val="18"/>
              </w:rPr>
              <w:t>Arm</w:t>
            </w:r>
          </w:p>
        </w:tc>
        <w:tc>
          <w:tcPr>
            <w:tcW w:type="dxa" w:w="59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Heiti SC"/>
                <w:b/>
                <w:color w:val="203748"/>
                <w:sz w:val="18"/>
              </w:rPr>
              <w:t>Groups</w:t>
            </w:r>
          </w:p>
        </w:tc>
        <w:tc>
          <w:tcPr>
            <w:tcW w:type="dxa" w:w="22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Heiti SC"/>
                <w:b/>
                <w:color w:val="203748"/>
                <w:sz w:val="18"/>
              </w:rPr>
              <w:t>参数总数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Heiti SC"/>
                <w:sz w:val="17"/>
              </w:rPr>
              <w:t>D1</w:t>
            </w:r>
          </w:p>
        </w:tc>
        <w:tc>
          <w:tcPr>
            <w:tcW w:type="dxa" w:w="5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Heiti SC"/>
                <w:sz w:val="17"/>
              </w:rPr>
              <w:t>TOKEN_ENCODER; PAIR_HEAD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Heiti SC"/>
                <w:sz w:val="17"/>
              </w:rPr>
              <w:t>5,762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Heiti SC"/>
                <w:sz w:val="17"/>
              </w:rPr>
              <w:t>D2</w:t>
            </w:r>
          </w:p>
        </w:tc>
        <w:tc>
          <w:tcPr>
            <w:tcW w:type="dxa" w:w="5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Heiti SC"/>
                <w:sz w:val="17"/>
              </w:rPr>
              <w:t>TOKEN_ENCODER; GRU; PAIR_HEAD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Heiti SC"/>
                <w:sz w:val="17"/>
              </w:rPr>
              <w:t>12,098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Heiti SC"/>
                <w:sz w:val="17"/>
              </w:rPr>
              <w:t>D3</w:t>
            </w:r>
          </w:p>
        </w:tc>
        <w:tc>
          <w:tcPr>
            <w:tcW w:type="dxa" w:w="5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Heiti SC"/>
                <w:sz w:val="17"/>
              </w:rPr>
              <w:t>TOKEN_ENCODER; ATTENTION Q/K/V/O; FEED_FORWARD; PAIR_HEAD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Heiti SC"/>
                <w:sz w:val="17"/>
              </w:rPr>
              <w:t>22,978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9. 864 个正式 probes</w:t>
      </w:r>
    </w:p>
    <w:p>
      <w:pPr>
        <w:spacing w:after="120" w:line="300" w:lineRule="auto"/>
      </w:pPr>
      <w:r>
        <w:rPr>
          <w:rFonts w:ascii="Calibri" w:hAnsi="Calibri" w:eastAsia="Heiti SC"/>
          <w:sz w:val="22"/>
        </w:rPr>
        <w:t>每个 arm 使用 6 lineages × 2 variants × 2 preregistered origins × 3 model seeds = 72 contexts，再与实际参数组组合形成 D1 144、D2 216、D3 504，总计 864 probes。所有 origin 与方向在 state decode 前通过 SHA-256 规则冻结。</w:t>
      </w:r>
    </w:p>
    <w:p>
      <w:pPr>
        <w:pStyle w:val="Heading1"/>
        <w:keepNext/>
      </w:pPr>
      <w:r>
        <w:t>10. Reverse、JVP 与 central FD</w:t>
      </w:r>
    </w:p>
    <w:p>
      <w:pPr>
        <w:spacing w:after="120" w:line="300" w:lineRule="auto"/>
      </w:pPr>
      <w:r>
        <w:rPr>
          <w:rFonts w:ascii="Calibri" w:hAnsi="Calibri" w:eastAsia="Heiti SC"/>
          <w:sz w:val="22"/>
        </w:rPr>
        <w:t>每个 probe 对 Lx/Lv/Lrho 分别执行 reverse VJP、真实 JVP 与 5 点 central-FD ladder；所有路径重复两次并处于 CPU float64 / explicit math-SDPA context。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Heiti SC"/>
          <w:sz w:val="22"/>
        </w:rPr>
        <w:t>Reverse/JVP component comparisons：2592/2592 PASS。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Heiti SC"/>
          <w:sz w:val="22"/>
        </w:rPr>
        <w:t>FD plus/minus paths：17280；topology changes：0。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Heiti SC"/>
          <w:sz w:val="22"/>
        </w:rPr>
        <w:t>Parameter mutation、access violation、finite/safety failure：0。</w:t>
      </w:r>
    </w:p>
    <w:p>
      <w:pPr>
        <w:pStyle w:val="Heading1"/>
        <w:keepNext/>
      </w:pPr>
      <w:r>
        <w:t>11. All-near-zero 资格结果</w:t>
      </w:r>
    </w:p>
    <w:p>
      <w:pPr>
        <w:spacing w:after="120" w:line="300" w:lineRule="auto"/>
      </w:pPr>
      <w:r>
        <w:rPr>
          <w:rFonts w:ascii="Calibri" w:hAnsi="Calibri" w:eastAsia="Heiti SC"/>
          <w:sz w:val="22"/>
        </w:rPr>
        <w:t>尽管 AD/JVP/FD 实现一致，2592 个 component directional derivatives 全部低于合同分辨率；864 probes 均为 all-near-zero，因此没有任何 probe 能满足“至少一个非零 stable component”。D1/D2/D3 pass rate 均为 0%，qualified parameter groups=0。</w:t>
      </w:r>
    </w:p>
    <w:p>
      <w:pPr>
        <w:spacing w:after="120" w:line="300" w:lineRule="auto"/>
      </w:pPr>
      <w:r>
        <w:rPr>
          <w:rFonts w:ascii="Calibri" w:hAnsi="Calibri" w:eastAsia="Heiti SC"/>
          <w:sz w:val="22"/>
        </w:rPr>
        <w:t>允许结论：预注册 K=1 task-aligned gradient qualification 未能在所有必要参数组上建立足够可检测的非零 task-loss sensitivities。禁止结论：模型或 Transformer 无法训练。</w:t>
      </w:r>
    </w:p>
    <w:p>
      <w:pPr>
        <w:pStyle w:val="Heading1"/>
        <w:keepNext/>
      </w:pPr>
      <w:r>
        <w:t>12. Full parameter gradients</w:t>
      </w:r>
    </w:p>
    <w:p>
      <w:pPr>
        <w:spacing w:after="120" w:line="300" w:lineRule="auto"/>
      </w:pPr>
      <w:r>
        <w:rPr>
          <w:rFonts w:ascii="Calibri" w:hAnsi="Calibri" w:eastAsia="Heiti SC"/>
          <w:sz w:val="22"/>
        </w:rPr>
        <w:t>Stage 04C-R 对 216 formal contexts 计算全部参数梯度，并按 864 group rows 报告 L2/RMS/Linf、符号平衡与 decade histogram。重复计算完全确定，parameter hashes 前后 bitwise 相等。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Heiti SC"/>
          <w:sz w:val="22"/>
        </w:rPr>
        <w:t>位置 full gradients 通常低于 1e−14。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Heiti SC"/>
          <w:sz w:val="22"/>
        </w:rPr>
        <w:t>速度 full gradients 通常可检测，部分达到或超过 1e−12。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Heiti SC"/>
          <w:sz w:val="22"/>
        </w:rPr>
        <w:t>密度 full gradients 位于检测边界，跨组表现混合。</w:t>
      </w:r>
    </w:p>
    <w:p>
      <w:pPr>
        <w:pStyle w:val="Heading1"/>
        <w:keepNext/>
      </w:pPr>
      <w:r>
        <w:t>13. Exact residual–Jacobian factorization</w:t>
      </w:r>
    </w:p>
    <w:p>
      <w:pPr>
        <w:spacing w:after="120" w:line="300" w:lineRule="auto"/>
      </w:pPr>
      <w:r>
        <w:rPr>
          <w:rFonts w:ascii="Calibri" w:hAnsi="Calibri" w:eastAsia="Heiti SC"/>
          <w:sz w:val="22"/>
        </w:rPr>
        <w:t>对原冻结方向 d，定义无量纲 residual e 与 state JVP z=Jd。所有 component 均满足以下恒等式，并与历史 reverse derivative 精确重建。</w:t>
      </w:r>
    </w:p>
    <w:p>
      <w:pPr>
        <w:spacing w:before="120" w:after="120"/>
        <w:jc w:val="center"/>
      </w:pPr>
      <w:r>
        <w:rPr>
          <w:rFonts w:ascii="Cambria Math" w:hAnsi="Cambria Math" w:eastAsia="Heiti SC"/>
          <w:sz w:val="22"/>
        </w:rPr>
        <w:t>dL_c / dε = 2 · mean(e_c · z_c)</w:t>
      </w:r>
      <w:r>
        <w:rPr>
          <w:rFonts w:ascii="Calibri" w:hAnsi="Calibri" w:eastAsia="Heiti SC"/>
          <w:color w:val="5A626C"/>
          <w:sz w:val="20"/>
        </w:rPr>
        <w:t xml:space="preserve">    (13.1)</w:t>
      </w:r>
    </w:p>
    <w:p>
      <w:pPr>
        <w:spacing w:after="120" w:line="300" w:lineRule="auto"/>
      </w:pPr>
      <w:r>
        <w:rPr>
          <w:rFonts w:ascii="Calibri" w:hAnsi="Calibri" w:eastAsia="Heiti SC"/>
          <w:sz w:val="22"/>
        </w:rPr>
        <w:t>2592/2592 factorization PASS，最大绝对重建误差处于 1e−24 量级。这排除了 Autograd 矛盾，并将极小任务梯度分解为 residual、state sensitivity 与 alignment 三因素。</w:t>
      </w:r>
    </w:p>
    <w:p>
      <w:pPr>
        <w:pStyle w:val="Heading1"/>
        <w:keepNext/>
      </w:pPr>
      <w:r>
        <w:t>14. Random-direction projection</w:t>
      </w:r>
    </w:p>
    <w:p>
      <w:pPr>
        <w:spacing w:after="120" w:line="300" w:lineRule="auto"/>
      </w:pPr>
      <w:r>
        <w:rPr>
          <w:rFonts w:ascii="Calibri" w:hAnsi="Calibri" w:eastAsia="Heiti SC"/>
          <w:sz w:val="22"/>
        </w:rPr>
        <w:t>当 full group gradient 明显非零时，原单位 Rademacher 方向的投影会按参数维数约以 1/√D 稀释。672/2592 components 被归为 projection-primary；detectable gradients 的 median scaled projection=0.655，与随机方向理论一致，但只解释 25.9%，不足以形成单一总体归因。</w:t>
      </w:r>
    </w:p>
    <w:p>
      <w:pPr>
        <w:pStyle w:val="Heading1"/>
        <w:keepNext/>
      </w:pPr>
      <w:r>
        <w:t>15. Network sensitivity chain</w:t>
      </w:r>
    </w:p>
    <w:p>
      <w:pPr>
        <w:spacing w:after="120" w:line="300" w:lineRule="auto"/>
      </w:pPr>
      <w:r>
        <w:rPr>
          <w:rFonts w:ascii="Calibri" w:hAnsi="Calibri" w:eastAsia="Heiti SC"/>
          <w:sz w:val="22"/>
        </w:rPr>
        <w:t>同一参数方向上的 hidden → alpha/beta → pair force → nodal correction acceleration → midpoint state → accepted state → final loss 链全部 finite。Hidden、coefficient、force 与 acceleration JVP 均显著非零；tanh saturation fraction=0；final head 非零；无 hidden collapse。</w:t>
      </w:r>
    </w:p>
    <w:p>
      <w:pPr>
        <w:spacing w:after="120" w:line="300" w:lineRule="auto"/>
      </w:pPr>
      <w:r>
        <w:rPr>
          <w:rFonts w:ascii="Calibri" w:hAnsi="Calibri" w:eastAsia="Heiti SC"/>
          <w:sz w:val="22"/>
        </w:rPr>
        <w:t>因此 dead network、zero head、saturation dead zone 与 parameterization-wide dead sensitivity 均被正式排除。</w:t>
      </w:r>
    </w:p>
    <w:p>
      <w:pPr>
        <w:pStyle w:val="Heading1"/>
        <w:keepNext/>
      </w:pPr>
      <w:r>
        <w:t>16. RK2 time attenuation</w:t>
      </w:r>
    </w:p>
    <w:p>
      <w:pPr>
        <w:spacing w:after="120" w:line="300" w:lineRule="auto"/>
      </w:pPr>
      <w:r>
        <w:rPr>
          <w:rFonts w:ascii="Calibri" w:hAnsi="Calibri" w:eastAsia="Heiti SC"/>
          <w:sz w:val="22"/>
        </w:rPr>
        <w:t>网络 acceleration JVP 进入 accepted state 时按积分合同被时间尺度压缩。中位比值 V_accept/(Δt A_mid)≈1，X_accept/(Δt² A_mid)≈0.5；这是显式中点 RK2 的预期关系，不是实现缺陷。</w:t>
      </w:r>
    </w:p>
    <w:p>
      <w:pPr>
        <w:spacing w:before="120" w:after="120"/>
        <w:jc w:val="center"/>
      </w:pPr>
      <w:r>
        <w:rPr>
          <w:rFonts w:ascii="Cambria Math" w:hAnsi="Cambria Math" w:eastAsia="Heiti SC"/>
          <w:sz w:val="22"/>
        </w:rPr>
        <w:t>δvⁿ⁺¹ ≈ Δt · δa_mid,     δxⁿ⁺¹ ≈ ½Δt² · δa_start</w:t>
      </w:r>
      <w:r>
        <w:rPr>
          <w:rFonts w:ascii="Calibri" w:hAnsi="Calibri" w:eastAsia="Heiti SC"/>
          <w:color w:val="5A626C"/>
          <w:sz w:val="20"/>
        </w:rPr>
        <w:t xml:space="preserve">    (16.1)</w:t>
      </w:r>
    </w:p>
    <w:p>
      <w:pPr>
        <w:pStyle w:val="Heading1"/>
        <w:keepNext/>
      </w:pPr>
      <w:r>
        <w:t>17. Mixed / unresolved attribution</w:t>
      </w:r>
    </w:p>
    <w:p>
      <w:pPr>
        <w:pStyle w:val="Caption"/>
        <w:keepNext/>
      </w:pPr>
      <w:r>
        <w:rPr>
          <w:rFonts w:ascii="Calibri" w:hAnsi="Calibri" w:eastAsia="Heiti SC"/>
          <w:b/>
          <w:color w:val="1F4D78"/>
          <w:sz w:val="19"/>
        </w:rPr>
        <w:t>表 4  归因构成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700"/>
        <w:gridCol w:w="1800"/>
        <w:gridCol w:w="2860"/>
      </w:tblGrid>
      <w:tr>
        <w:trPr>
          <w:tblHeader w:val="true"/>
        </w:trPr>
        <w:tc>
          <w:tcPr>
            <w:tcW w:type="dxa" w:w="4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Heiti SC"/>
                <w:b/>
                <w:color w:val="203748"/>
                <w:sz w:val="18"/>
              </w:rPr>
              <w:t>Primary reason</w:t>
            </w:r>
          </w:p>
        </w:tc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Heiti SC"/>
                <w:b/>
                <w:color w:val="203748"/>
                <w:sz w:val="18"/>
              </w:rPr>
              <w:t>Rows</w:t>
            </w:r>
          </w:p>
        </w:tc>
        <w:tc>
          <w:tcPr>
            <w:tcW w:type="dxa" w:w="28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Heiti SC"/>
                <w:b/>
                <w:color w:val="203748"/>
                <w:sz w:val="18"/>
              </w:rPr>
              <w:t>Share</w:t>
            </w:r>
          </w:p>
        </w:tc>
      </w:tr>
      <w:tr>
        <w:tc>
          <w:tcPr>
            <w:tcW w:type="dxa" w:w="4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Heiti SC"/>
                <w:sz w:val="17"/>
              </w:rPr>
              <w:t>TASK_RESIDUAL_TOO_SMALL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Heiti SC"/>
                <w:sz w:val="17"/>
              </w:rPr>
              <w:t>1316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Heiti SC"/>
                <w:sz w:val="17"/>
              </w:rPr>
              <w:t>50.8%</w:t>
            </w:r>
          </w:p>
        </w:tc>
      </w:tr>
      <w:tr>
        <w:tc>
          <w:tcPr>
            <w:tcW w:type="dxa" w:w="4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Heiti SC"/>
                <w:sz w:val="17"/>
              </w:rPr>
              <w:t>GROUP_DIRECTION_PROJECTION_DILUTION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Heiti SC"/>
                <w:sz w:val="17"/>
              </w:rPr>
              <w:t>672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Heiti SC"/>
                <w:sz w:val="17"/>
              </w:rPr>
              <w:t>25.9%</w:t>
            </w:r>
          </w:p>
        </w:tc>
      </w:tr>
      <w:tr>
        <w:tc>
          <w:tcPr>
            <w:tcW w:type="dxa" w:w="4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Heiti SC"/>
                <w:sz w:val="17"/>
              </w:rPr>
              <w:t>UNRESOLVED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Heiti SC"/>
                <w:sz w:val="17"/>
              </w:rPr>
              <w:t>604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Heiti SC"/>
                <w:sz w:val="17"/>
              </w:rPr>
              <w:t>23.3%</w:t>
            </w:r>
          </w:p>
        </w:tc>
      </w:tr>
    </w:tbl>
    <w:p>
      <w:pPr>
        <w:spacing w:after="40"/>
      </w:pPr>
    </w:p>
    <w:p>
      <w:pPr>
        <w:spacing w:after="120" w:line="300" w:lineRule="auto"/>
      </w:pPr>
      <w:r>
        <w:rPr>
          <w:rFonts w:ascii="Calibri" w:hAnsi="Calibri" w:eastAsia="Heiti SC"/>
          <w:sz w:val="22"/>
        </w:rPr>
        <w:t>位置 rows 全部 residual-limited；速度 rows 以 projection dilution 为主；密度 rows 在 residual-small 与 unresolved 之间分裂。无单因达到预注册的 80% 总体门，因此唯一总体状态为 TASK_GRADIENT_FAILURE_MIXED_OR_UNRESOLVED。</w:t>
      </w:r>
    </w:p>
    <w:p>
      <w:pPr>
        <w:pStyle w:val="Heading1"/>
        <w:keepNext/>
      </w:pPr>
      <w:r>
        <w:t>18. 为什么没有训练</w:t>
      </w:r>
    </w:p>
    <w:p>
      <w:pPr>
        <w:spacing w:after="120" w:line="300" w:lineRule="auto"/>
      </w:pPr>
      <w:r>
        <w:rPr>
          <w:rFonts w:ascii="Calibri" w:hAnsi="Calibri" w:eastAsia="Heiti SC"/>
          <w:sz w:val="22"/>
        </w:rPr>
        <w:t>Stage 04D 的必要授权是 Stage 04C task-gradient qualification PASS。该条件未满足，且 Stage 04C-R 没有形成唯一可前瞻修正的归因分支。因此直接缩放 loss、放宽 1e−10 门、改用 full-gradient training 或只训练“表现较好”的 arm 都属于事后改合同。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Heiti SC"/>
          <w:sz w:val="22"/>
        </w:rPr>
        <w:t>Optimizer instances=0；optimizer steps=0；parameter updates=0。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Heiti SC"/>
          <w:sz w:val="22"/>
        </w:rPr>
        <w:t>Training runs=0；neural rollout=0；performance evaluations=0。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Heiti SC"/>
          <w:sz w:val="22"/>
        </w:rPr>
        <w:t>Stage 04D authorization=false；Training=NOT_AUTHORIZED / NOT_EXECUTED。</w:t>
      </w:r>
    </w:p>
    <w:p>
      <w:pPr>
        <w:pStyle w:val="Heading1"/>
        <w:keepNext/>
      </w:pPr>
      <w:r>
        <w:t>19. Supported / conditional / unsupported claims</w:t>
      </w:r>
    </w:p>
    <w:p>
      <w:pPr>
        <w:pStyle w:val="Caption"/>
        <w:keepNext/>
      </w:pPr>
      <w:r>
        <w:rPr>
          <w:rFonts w:ascii="Calibri" w:hAnsi="Calibri" w:eastAsia="Heiti SC"/>
          <w:b/>
          <w:color w:val="1F4D78"/>
          <w:sz w:val="19"/>
        </w:rPr>
        <w:t>表 5  Claim boundary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7260"/>
      </w:tblGrid>
      <w:tr>
        <w:trPr>
          <w:tblHeader w:val="true"/>
        </w:trPr>
        <w:tc>
          <w:tcPr>
            <w:tcW w:type="dxa" w:w="21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Heiti SC"/>
                <w:b/>
                <w:color w:val="203748"/>
                <w:sz w:val="18"/>
              </w:rPr>
              <w:t>等级</w:t>
            </w:r>
          </w:p>
        </w:tc>
        <w:tc>
          <w:tcPr>
            <w:tcW w:type="dxa" w:w="72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Heiti SC"/>
                <w:b/>
                <w:color w:val="203748"/>
                <w:sz w:val="18"/>
              </w:rPr>
              <w:t>声明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Heiti SC"/>
                <w:sz w:val="17"/>
              </w:rPr>
              <w:t>SUPPORTED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Heiti SC"/>
                <w:sz w:val="17"/>
              </w:rPr>
              <w:t>Stage04B reference-family pool qualified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Heiti SC"/>
                <w:sz w:val="17"/>
              </w:rPr>
              <w:t>SUPPORTED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Heiti SC"/>
                <w:sz w:val="17"/>
              </w:rPr>
              <w:t>lineage leakage is zero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Heiti SC"/>
                <w:sz w:val="17"/>
              </w:rPr>
              <w:t>SUPPORTED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Heiti SC"/>
                <w:sz w:val="17"/>
              </w:rPr>
              <w:t>sealed decode is zero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Heiti SC"/>
                <w:sz w:val="17"/>
              </w:rPr>
              <w:t>SUPPORTED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Heiti SC"/>
                <w:sz w:val="17"/>
              </w:rPr>
              <w:t>reverse/JVP implementation is consistent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Heiti SC"/>
                <w:sz w:val="17"/>
              </w:rPr>
              <w:t>SUPPORTED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Heiti SC"/>
                <w:sz w:val="17"/>
              </w:rPr>
              <w:t>dynamic model outputs and Jacobians are nonzero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Heiti SC"/>
                <w:sz w:val="17"/>
              </w:rPr>
              <w:t>SUPPORTED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Heiti SC"/>
                <w:sz w:val="17"/>
              </w:rPr>
              <w:t>the K=1 task-gradient contract was not qualified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Heiti SC"/>
                <w:sz w:val="17"/>
              </w:rPr>
              <w:t>SUPPORTED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Heiti SC"/>
                <w:sz w:val="17"/>
              </w:rPr>
              <w:t>no training was executed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Heiti SC"/>
                <w:sz w:val="17"/>
              </w:rPr>
              <w:t>CONDITIONAL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Heiti SC"/>
                <w:sz w:val="17"/>
              </w:rPr>
              <w:t>MSE residual scale contributes substantially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Heiti SC"/>
                <w:sz w:val="17"/>
              </w:rPr>
              <w:t>CONDITIONAL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Heiti SC"/>
                <w:sz w:val="17"/>
              </w:rPr>
              <w:t>random direction projection contributes partially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Heiti SC"/>
                <w:sz w:val="17"/>
              </w:rPr>
              <w:t>CONDITIONAL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Heiti SC"/>
                <w:sz w:val="17"/>
              </w:rPr>
              <w:t>RK2 time scaling attenuates the accepted-state signal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Heiti SC"/>
                <w:sz w:val="17"/>
              </w:rPr>
              <w:t>CONDITIONAL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Heiti SC"/>
                <w:sz w:val="17"/>
              </w:rPr>
              <w:t>the velocity state-Jacobian path is detectable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Heiti SC"/>
                <w:sz w:val="17"/>
              </w:rPr>
              <w:t>UNSUPPORTED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Heiti SC"/>
                <w:sz w:val="17"/>
              </w:rPr>
              <w:t>the model is untrainable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Heiti SC"/>
                <w:sz w:val="17"/>
              </w:rPr>
              <w:t>UNSUPPORTED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Heiti SC"/>
                <w:sz w:val="17"/>
              </w:rPr>
              <w:t>the Transformer fails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Heiti SC"/>
                <w:sz w:val="17"/>
              </w:rPr>
              <w:t>UNSUPPORTED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Heiti SC"/>
                <w:sz w:val="17"/>
              </w:rPr>
              <w:t>loss scaling will solve the problem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Heiti SC"/>
                <w:sz w:val="17"/>
              </w:rPr>
              <w:t>UNSUPPORTED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Heiti SC"/>
                <w:sz w:val="17"/>
              </w:rPr>
              <w:t>full-gradient training will succeed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Heiti SC"/>
                <w:sz w:val="17"/>
              </w:rPr>
              <w:t>UNSUPPORTED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Heiti SC"/>
                <w:sz w:val="17"/>
              </w:rPr>
              <w:t>D3 is superior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Heiti SC"/>
                <w:sz w:val="17"/>
              </w:rPr>
              <w:t>UNSUPPORTED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Heiti SC"/>
                <w:sz w:val="17"/>
              </w:rPr>
              <w:t>rollout improves SPH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Heiti SC"/>
                <w:sz w:val="17"/>
              </w:rPr>
              <w:t>UNSUPPORTED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Heiti SC"/>
                <w:sz w:val="17"/>
              </w:rPr>
              <w:t>Stage01 V2 is restored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20. Stage 00–04 publication implications</w:t>
      </w:r>
    </w:p>
    <w:p>
      <w:pPr>
        <w:spacing w:after="120" w:line="300" w:lineRule="auto"/>
      </w:pPr>
      <w:r>
        <w:rPr>
          <w:rFonts w:ascii="Calibri" w:hAnsi="Calibri" w:eastAsia="Heiti SC"/>
          <w:sz w:val="22"/>
        </w:rPr>
        <w:t>本阶段仅更新证据，不作投稿合并/拆分的最终决定。</w:t>
      </w:r>
    </w:p>
    <w:p>
      <w:pPr>
        <w:pStyle w:val="Caption"/>
        <w:keepNext/>
      </w:pPr>
      <w:r>
        <w:rPr>
          <w:rFonts w:ascii="Calibri" w:hAnsi="Calibri" w:eastAsia="Heiti SC"/>
          <w:b/>
          <w:color w:val="1F4D78"/>
          <w:sz w:val="19"/>
        </w:rPr>
        <w:t>表 6  初步投稿选项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00"/>
        <w:gridCol w:w="2100"/>
        <w:gridCol w:w="2800"/>
        <w:gridCol w:w="3560"/>
      </w:tblGrid>
      <w:tr>
        <w:trPr>
          <w:tblHeader w:val="true"/>
        </w:trPr>
        <w:tc>
          <w:tcPr>
            <w:tcW w:type="dxa" w:w="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Heiti SC"/>
                <w:b/>
                <w:color w:val="203748"/>
                <w:sz w:val="18"/>
              </w:rPr>
              <w:t>Option</w:t>
            </w:r>
          </w:p>
        </w:tc>
        <w:tc>
          <w:tcPr>
            <w:tcW w:type="dxa" w:w="21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Heiti SC"/>
                <w:b/>
                <w:color w:val="203748"/>
                <w:sz w:val="18"/>
              </w:rPr>
              <w:t>Current support</w:t>
            </w:r>
          </w:p>
        </w:tc>
        <w:tc>
          <w:tcPr>
            <w:tcW w:type="dxa" w:w="2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Heiti SC"/>
                <w:b/>
                <w:color w:val="203748"/>
                <w:sz w:val="18"/>
              </w:rPr>
              <w:t>CMAME readiness</w:t>
            </w:r>
          </w:p>
        </w:tc>
        <w:tc>
          <w:tcPr>
            <w:tcW w:type="dxa" w:w="35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Heiti SC"/>
                <w:b/>
                <w:color w:val="203748"/>
                <w:sz w:val="18"/>
              </w:rPr>
              <w:t>边界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Heiti SC"/>
                <w:sz w:val="17"/>
              </w:rPr>
              <w:t>A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Heiti SC"/>
                <w:sz w:val="17"/>
              </w:rPr>
              <w:t>NOT_SUPPORTED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Heiti SC"/>
                <w:sz w:val="17"/>
              </w:rPr>
              <w:t>Not ready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Heiti SC"/>
                <w:sz w:val="17"/>
              </w:rPr>
              <w:t>No training, rollout or performance evidence.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Heiti SC"/>
                <w:sz w:val="17"/>
              </w:rPr>
              <w:t>B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Heiti SC"/>
                <w:sz w:val="17"/>
              </w:rPr>
              <w:t>PARTIAL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Heiti SC"/>
                <w:sz w:val="17"/>
              </w:rPr>
              <w:t>Stage04 training paper not ready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Heiti SC"/>
                <w:sz w:val="17"/>
              </w:rPr>
              <w:t>Stage04 cannot yet support a training paper; negative task-gradient evidence may join the methods paper or later generalize.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Heiti SC"/>
                <w:sz w:val="17"/>
              </w:rPr>
              <w:t>C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Heiti SC"/>
                <w:sz w:val="17"/>
              </w:rPr>
              <w:t>PROMISING_BUT_NOT_SELECTED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Heiti SC"/>
                <w:sz w:val="17"/>
              </w:rPr>
              <w:t>Potentially closer than A/B, not yet established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Heiti SC"/>
                <w:sz w:val="17"/>
              </w:rPr>
              <w:t>Best current narrative coherence, but no final submission decision is authorized.</w:t>
            </w:r>
          </w:p>
        </w:tc>
      </w:tr>
    </w:tbl>
    <w:p>
      <w:pPr>
        <w:spacing w:after="40"/>
      </w:pPr>
    </w:p>
    <w:p>
      <w:pPr>
        <w:spacing w:after="120" w:line="300" w:lineRule="auto"/>
      </w:pPr>
      <w:r>
        <w:rPr>
          <w:rFonts w:ascii="Calibri" w:hAnsi="Calibri" w:eastAsia="Heiti SC"/>
          <w:sz w:val="22"/>
        </w:rPr>
        <w:t>Option C 当前具有最强的方法论主线一致性，但仍需 literature verification 与跨案例普适性论证；不能因为叙事更完整就将其写成最终投稿选择。</w:t>
      </w:r>
    </w:p>
    <w:p>
      <w:pPr>
        <w:pStyle w:val="Heading1"/>
        <w:keepNext/>
      </w:pPr>
      <w:r>
        <w:t>附录 A. Evidence matrix 摘要</w:t>
      </w:r>
    </w:p>
    <w:p>
      <w:pPr>
        <w:pStyle w:val="Caption"/>
        <w:keepNext/>
      </w:pPr>
      <w:r>
        <w:rPr>
          <w:rFonts w:ascii="Calibri" w:hAnsi="Calibri" w:eastAsia="Heiti SC"/>
          <w:b/>
          <w:color w:val="1F4D78"/>
          <w:sz w:val="19"/>
        </w:rPr>
        <w:t>表 A1  Stage 04 证据状态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5260"/>
        <w:gridCol w:w="1800"/>
      </w:tblGrid>
      <w:tr>
        <w:trPr>
          <w:tblHeader w:val="true"/>
        </w:trPr>
        <w:tc>
          <w:tcPr>
            <w:tcW w:type="dxa" w:w="23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Heiti SC"/>
                <w:b/>
                <w:color w:val="203748"/>
                <w:sz w:val="18"/>
              </w:rPr>
              <w:t>Category</w:t>
            </w:r>
          </w:p>
        </w:tc>
        <w:tc>
          <w:tcPr>
            <w:tcW w:type="dxa" w:w="52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Heiti SC"/>
                <w:b/>
                <w:color w:val="203748"/>
                <w:sz w:val="18"/>
              </w:rPr>
              <w:t>Evidence</w:t>
            </w:r>
          </w:p>
        </w:tc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Heiti SC"/>
                <w:b/>
                <w:color w:val="203748"/>
                <w:sz w:val="18"/>
              </w:rPr>
              <w:t>Status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Heiti SC"/>
                <w:sz w:val="17"/>
              </w:rPr>
              <w:t>Training hypothesis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Heiti SC"/>
                <w:sz w:val="17"/>
              </w:rPr>
              <w:t>K=1 local-causal formulation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Heiti SC"/>
                <w:sz w:val="17"/>
              </w:rPr>
              <w:t>PASS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Heiti SC"/>
                <w:sz w:val="17"/>
              </w:rPr>
              <w:t>Training hypothesis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Heiti SC"/>
                <w:sz w:val="17"/>
              </w:rPr>
              <w:t>Complete start/midpoint/accept RK2 transition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Heiti SC"/>
                <w:sz w:val="17"/>
              </w:rPr>
              <w:t>PASS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Heiti SC"/>
                <w:sz w:val="17"/>
              </w:rPr>
              <w:t>Training hypothesis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Heiti SC"/>
                <w:sz w:val="17"/>
              </w:rPr>
              <w:t>Optimizer-variable gradient boundary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Heiti SC"/>
                <w:sz w:val="17"/>
              </w:rPr>
              <w:t>PASS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Heiti SC"/>
                <w:sz w:val="17"/>
              </w:rPr>
              <w:t>Training hypothesis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Heiti SC"/>
                <w:sz w:val="17"/>
              </w:rPr>
              <w:t>CPU float64 + explicit math SDPA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Heiti SC"/>
                <w:sz w:val="17"/>
              </w:rPr>
              <w:t>PASS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Heiti SC"/>
                <w:sz w:val="17"/>
              </w:rPr>
              <w:t>Reference family pool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Heiti SC"/>
                <w:sz w:val="17"/>
              </w:rPr>
              <w:t>10 formula lineages; 20/20 analytic; 60/60 trajectories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Heiti SC"/>
                <w:sz w:val="17"/>
              </w:rPr>
              <w:t>PASS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Heiti SC"/>
                <w:sz w:val="17"/>
              </w:rPr>
              <w:t>Reference family pool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Heiti SC"/>
                <w:sz w:val="17"/>
              </w:rPr>
              <w:t>20/20 DOP853; 10/10 fixed topology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Heiti SC"/>
                <w:sz w:val="17"/>
              </w:rPr>
              <w:t>PASS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Heiti SC"/>
                <w:sz w:val="17"/>
              </w:rPr>
              <w:t>Reference family pool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Heiti SC"/>
                <w:sz w:val="17"/>
              </w:rPr>
              <w:t>6/2/2 split; leakage=0; sealed formula/state/target decode=0/0/0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Heiti SC"/>
                <w:sz w:val="17"/>
              </w:rPr>
              <w:t>PASS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Heiti SC"/>
                <w:sz w:val="17"/>
              </w:rPr>
              <w:t>Task-gradient qualification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Heiti SC"/>
                <w:sz w:val="17"/>
              </w:rPr>
              <w:t>864 probes; 2592/2592 reverse/JVP; 17280 FD paths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Heiti SC"/>
                <w:sz w:val="17"/>
              </w:rPr>
              <w:t>PASS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Heiti SC"/>
                <w:sz w:val="17"/>
              </w:rPr>
              <w:t>Task-gradient qualification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Heiti SC"/>
                <w:sz w:val="17"/>
              </w:rPr>
              <w:t>2592 near-zero components; 864 all-near-zero failures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Heiti SC"/>
                <w:sz w:val="17"/>
              </w:rPr>
              <w:t>NOT_QUALIFIED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Heiti SC"/>
                <w:sz w:val="17"/>
              </w:rPr>
              <w:t>Task-gradient qualification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Heiti SC"/>
                <w:sz w:val="17"/>
              </w:rPr>
              <w:t>Parameter groups qualified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Heiti SC"/>
                <w:sz w:val="17"/>
              </w:rPr>
              <w:t>NOT_QUALIFIED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Heiti SC"/>
                <w:sz w:val="17"/>
              </w:rPr>
              <w:t>Attribution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Heiti SC"/>
                <w:sz w:val="17"/>
              </w:rPr>
              <w:t>Full gradients and nonzero coefficient/force/acceleration sensitivity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Heiti SC"/>
                <w:sz w:val="17"/>
              </w:rPr>
              <w:t>DIAGNOSTIC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Heiti SC"/>
                <w:sz w:val="17"/>
              </w:rPr>
              <w:t>Attribution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Heiti SC"/>
                <w:sz w:val="17"/>
              </w:rPr>
              <w:t>Exact residual-Jacobian factorization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Heiti SC"/>
                <w:sz w:val="17"/>
              </w:rPr>
              <w:t>PASS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Heiti SC"/>
                <w:sz w:val="17"/>
              </w:rPr>
              <w:t>Attribution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Heiti SC"/>
                <w:sz w:val="17"/>
              </w:rPr>
              <w:t>MSE residual factor 50.8%; direction projection 25.9%; RK2 dt/dt² attenuation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Heiti SC"/>
                <w:sz w:val="17"/>
              </w:rPr>
              <w:t>DIAGNOSTIC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Heiti SC"/>
                <w:sz w:val="17"/>
              </w:rPr>
              <w:t>Attribution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Heiti SC"/>
                <w:sz w:val="17"/>
              </w:rPr>
              <w:t>604 unresolved rows; mixed/unresolved verdict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Heiti SC"/>
                <w:sz w:val="17"/>
              </w:rPr>
              <w:t>UNRESOLVED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Heiti SC"/>
                <w:sz w:val="17"/>
              </w:rPr>
              <w:t>Route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Heiti SC"/>
                <w:sz w:val="17"/>
              </w:rPr>
              <w:t>Stage 04D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Heiti SC"/>
                <w:sz w:val="17"/>
              </w:rPr>
              <w:t>NOT_AUTHORIZED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Heiti SC"/>
                <w:sz w:val="17"/>
              </w:rPr>
              <w:t>Route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Heiti SC"/>
                <w:sz w:val="17"/>
              </w:rPr>
              <w:t>Training / rollout / performance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Heiti SC"/>
                <w:sz w:val="17"/>
              </w:rPr>
              <w:t>NOT_EXECUTED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附录 B. 潜在创新登记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Heiti SC"/>
          <w:sz w:val="22"/>
        </w:rPr>
        <w:t>1. Formula-lineage-level dynamic training pool — POTENTIAL_NOVELTY_REQUIRES_LITERATURE_VERIFICATION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Heiti SC"/>
          <w:sz w:val="22"/>
        </w:rPr>
        <w:t>2. Role assignment before scientific outcomes — POTENTIAL_NOVELTY_REQUIRES_LITERATURE_VERIFICATION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Heiti SC"/>
          <w:sz w:val="22"/>
        </w:rPr>
        <w:t>3. Sealed formula/state/target triple zero-decode — POTENTIAL_NOVELTY_REQUIRES_LITERATURE_VERIFICATION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Heiti SC"/>
          <w:sz w:val="22"/>
        </w:rPr>
        <w:t>4. Task-aligned optimizer-variable gradient boundary — POTENTIAL_NOVELTY_REQUIRES_LITERATURE_VERIFICATION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Heiti SC"/>
          <w:sz w:val="22"/>
        </w:rPr>
        <w:t>5. Component-vector loss qualification — POTENTIAL_NOVELTY_REQUIRES_LITERATURE_VERIFICATION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Heiti SC"/>
          <w:sz w:val="22"/>
        </w:rPr>
        <w:t>6. Complete actual parameter-group mapping — POTENTIAL_NOVELTY_REQUIRES_LITERATURE_VERIFICATION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Heiti SC"/>
          <w:sz w:val="22"/>
        </w:rPr>
        <w:t>7. Reverse/JVP/FD 864-probe system — POTENTIAL_NOVELTY_REQUIRES_LITERATURE_VERIFICATION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Heiti SC"/>
          <w:sz w:val="22"/>
        </w:rPr>
        <w:t>8. Full-gradient versus random-direction projection separation — POTENTIAL_NOVELTY_REQUIRES_LITERATURE_VERIFICATION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Heiti SC"/>
          <w:sz w:val="22"/>
        </w:rPr>
        <w:t>9. Exact residual-Jacobian loss factorization — POTENTIAL_NOVELTY_REQUIRES_LITERATURE_VERIFICATION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Heiti SC"/>
          <w:sz w:val="22"/>
        </w:rPr>
        <w:t>10. Hidden-to-coefficient-to-force-to-acceleration-to-RK2-state sensitivity chain — POTENTIAL_NOVELTY_REQUIRES_LITERATURE_VERIFICATION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Heiti SC"/>
          <w:sz w:val="22"/>
        </w:rPr>
        <w:t>11. Separation of genuine RK2 signal attenuation from implementation defects — POTENTIAL_NOVELTY_REQUIRES_LITERATURE_VERIFICATION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Heiti SC"/>
          <w:sz w:val="22"/>
        </w:rPr>
        <w:t>12. Transparent mixed/unresolved negative evidence — POTENTIAL_NOVELTY_REQUIRES_LITERATURE_VERIFICATION</w:t>
      </w:r>
    </w:p>
    <w:p>
      <w:pPr>
        <w:pStyle w:val="Heading1"/>
        <w:keepNext/>
      </w:pPr>
      <w:r>
        <w:t>附录 C. Artifact / hash index</w:t>
      </w:r>
    </w:p>
    <w:p>
      <w:pPr>
        <w:pStyle w:val="Caption"/>
        <w:keepNext/>
      </w:pPr>
      <w:r>
        <w:rPr>
          <w:rFonts w:ascii="Calibri" w:hAnsi="Calibri" w:eastAsia="Heiti SC"/>
          <w:b/>
          <w:color w:val="1F4D78"/>
          <w:sz w:val="19"/>
        </w:rPr>
        <w:t>表 C1  关键 artifact identities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4300"/>
        <w:gridCol w:w="3160"/>
      </w:tblGrid>
      <w:tr>
        <w:trPr>
          <w:tblHeader w:val="true"/>
        </w:trPr>
        <w:tc>
          <w:tcPr>
            <w:tcW w:type="dxa" w:w="1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Heiti SC"/>
                <w:b/>
                <w:color w:val="203748"/>
                <w:sz w:val="18"/>
              </w:rPr>
              <w:t>Artifact</w:t>
            </w:r>
          </w:p>
        </w:tc>
        <w:tc>
          <w:tcPr>
            <w:tcW w:type="dxa" w:w="43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Heiti SC"/>
                <w:b/>
                <w:color w:val="203748"/>
                <w:sz w:val="18"/>
              </w:rPr>
              <w:t>Path</w:t>
            </w:r>
          </w:p>
        </w:tc>
        <w:tc>
          <w:tcPr>
            <w:tcW w:type="dxa" w:w="31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Heiti SC"/>
                <w:b/>
                <w:color w:val="203748"/>
                <w:sz w:val="18"/>
              </w:rPr>
              <w:t>SHA-256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Heiti SC"/>
                <w:sz w:val="17"/>
              </w:rPr>
              <w:t>Stage04A final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Heiti SC"/>
                <w:sz w:val="17"/>
              </w:rPr>
              <w:t>stage_04_Local_Causal_Dynamic_Training/09_manifests/stage04a_final_manifest.json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Heiti SC"/>
                <w:sz w:val="17"/>
              </w:rPr>
              <w:t>sha256:fb7d11e94af8bf3c3a1bb09036f3599d5e61dbc42e7f8fe9d6529178b5976b0b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Heiti SC"/>
                <w:sz w:val="17"/>
              </w:rPr>
              <w:t>Stage04A verification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Heiti SC"/>
                <w:sz w:val="17"/>
              </w:rPr>
              <w:t>stage_04_Local_Causal_Dynamic_Training/00_stage04a_verification/manifests/stage04a_target_verification_manifest.json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Heiti SC"/>
                <w:sz w:val="17"/>
              </w:rPr>
              <w:t>sha256:0cffa51ceda4cc8b098a2a3bd329a1a636d24d239c1f38635b1b92cb4e8fad33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Heiti SC"/>
                <w:sz w:val="17"/>
              </w:rPr>
              <w:t>Stage04B final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Heiti SC"/>
                <w:sz w:val="17"/>
              </w:rPr>
              <w:t>stage_04_Local_Causal_Dynamic_Training/09_manifests/stage04b_final_manifest.json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Heiti SC"/>
                <w:sz w:val="17"/>
              </w:rPr>
              <w:t>sha256:ddad3b5a6f91b1e4a7dde1592e1e5a32803a1462648cb2106aef9f68bb8e2c6d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Heiti SC"/>
                <w:sz w:val="17"/>
              </w:rPr>
              <w:t>Stage04C final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Heiti SC"/>
                <w:sz w:val="17"/>
              </w:rPr>
              <w:t>stage_04_Local_Causal_Dynamic_Training/09_manifests/stage04c_final_manifest.json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Heiti SC"/>
                <w:sz w:val="17"/>
              </w:rPr>
              <w:t>sha256:cc250b4c1fb3a5ce7df2ef65f55e5e8c8060eeea043e1846525c1a7f8357e412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Heiti SC"/>
                <w:sz w:val="17"/>
              </w:rPr>
              <w:t>Stage04C-R final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Heiti SC"/>
                <w:sz w:val="17"/>
              </w:rPr>
              <w:t>stage_04_Local_Causal_Dynamic_Training/09_manifests/stage04cr_final_manifest.json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Heiti SC"/>
                <w:sz w:val="17"/>
              </w:rPr>
              <w:t>sha256:dbe2f0a7554188236f6b319649120f3bbb54c0a1ab2075faeae18545db0e2626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Heiti SC"/>
                <w:sz w:val="17"/>
              </w:rPr>
              <w:t>Stage04C 864 matrix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Heiti SC"/>
                <w:sz w:val="17"/>
              </w:rPr>
              <w:t>stage_04_Local_Causal_Dynamic_Training/05_task_aligned_gradient/stage04c/results/formal_864_probe_results.json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Heiti SC"/>
                <w:sz w:val="17"/>
              </w:rPr>
              <w:t>sha256:fea114278b89368bb05759ece536df9464f52db58d6603aef639e4feb9f659e5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Heiti SC"/>
                <w:sz w:val="17"/>
              </w:rPr>
              <w:t>Stage04C-R factorization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Heiti SC"/>
                <w:sz w:val="17"/>
              </w:rPr>
              <w:t>stage_04_Local_Causal_Dynamic_Training/05_task_aligned_gradient/stage04cr/loss_factorization/exact_loss_factorization.json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Heiti SC"/>
                <w:sz w:val="17"/>
              </w:rPr>
              <w:t>sha256:91781a24631134b9c73a0d4e5e59a287422afcf5c6fd2f2fe4e4da58195c4e0a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Heiti SC"/>
                <w:sz w:val="17"/>
              </w:rPr>
              <w:t>Stage04 status ledger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Heiti SC"/>
                <w:sz w:val="17"/>
              </w:rPr>
              <w:t>stage_04_Local_Causal_Dynamic_Training/10_route_closure/status_ledger/stage04_status_ledger.json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Heiti SC"/>
                <w:sz w:val="17"/>
              </w:rPr>
              <w:t>sha256:3abac842141bf4c98670220050127429eb40da09a94b771dcefefc76a4c98dc2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Heiti SC"/>
                <w:sz w:val="17"/>
              </w:rPr>
              <w:t>Stage04 evidence matrix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Heiti SC"/>
                <w:sz w:val="17"/>
              </w:rPr>
              <w:t>stage_04_Local_Causal_Dynamic_Training/10_route_closure/evidence_matrix/stage04_evidence_matrix.json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Heiti SC"/>
                <w:sz w:val="17"/>
              </w:rPr>
              <w:t>sha256:736d8668bbe00e57e163f4a1d87ddb3966182cc8e6da2a63115e75c6b1c06ac3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Heiti SC"/>
                <w:sz w:val="17"/>
              </w:rPr>
              <w:t>Project delta manifest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Heiti SC"/>
                <w:sz w:val="17"/>
              </w:rPr>
              <w:t>project_wide_synthesis/11_stage04_update_interface/stage04_completed_delta/stage04_delta_manifest.json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Heiti SC"/>
                <w:sz w:val="17"/>
              </w:rPr>
              <w:t>sha256:a40ab8414c2d57c4fd221c79785434a11143e44caff839ed50111e412b75492c</w:t>
            </w:r>
          </w:p>
        </w:tc>
      </w:tr>
    </w:tbl>
    <w:p>
      <w:pPr>
        <w:spacing w:after="40"/>
      </w:pPr>
    </w:p>
    <w:p>
      <w:pPr>
        <w:spacing w:after="120" w:line="300" w:lineRule="auto"/>
      </w:pPr>
      <w:r>
        <w:rPr>
          <w:rFonts w:ascii="Calibri" w:hAnsi="Calibri" w:eastAsia="Heiti SC"/>
          <w:sz w:val="22"/>
        </w:rPr>
        <w:t>完整历史冻结包含 314 个可读文件；另有 90 个 validation/sealed 私有文件保持不可读，其身份由 Stage 04B seal/trajectory/role manifests 锚定，受保护 payload read count=0。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Heiti SC"/>
        <w:color w:val="5A626C"/>
        <w:sz w:val="17"/>
      </w:rPr>
      <w:t xml:space="preserve">Stage 04 路线封闭研究记录  ·  </w:t>
    </w:r>
    <w:r>
      <w:fldChar w:fldCharType="begin"/>
      <w:instrText xml:space="preserve">PAGE</w:instrText>
      <w:fldChar w:fldCharType="separate"/>
      <w:t>1</w:t>
      <w:fldChar w:fldCharType="end"/>
    </w:r>
    <w:r>
      <w:rPr>
        <w:rFonts w:ascii="Calibri" w:hAnsi="Calibri" w:eastAsia="Heiti SC"/>
        <w:color w:val="5A626C"/>
        <w:sz w:val="17"/>
      </w:rPr>
      <w:t xml:space="preserve"> / </w:t>
    </w:r>
    <w:r>
      <w:fldChar w:fldCharType="begin"/>
      <w:instrText xml:space="preserve">NUMPAGES</w:instrText>
      <w:fldChar w:fldCharType="separate"/>
      <w:t>—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Calibri" w:hAnsi="Calibri" w:eastAsia="Heiti SC"/>
        <w:color w:val="5A626C"/>
        <w:sz w:val="17"/>
      </w:rPr>
      <w:t>SPH-PIO-PoC  |  Stage 04 Research Record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Heiti S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Heiti SC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Heiti SC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Heiti SC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contextualSpacing/>
    </w:pPr>
    <w:rPr>
      <w:rFonts w:ascii="Calibri" w:hAnsi="Calibri" w:eastAsia="Heiti SC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80" w:line="300" w:lineRule="auto"/>
      <w:contextualSpacing/>
    </w:pPr>
    <w:rPr>
      <w:rFonts w:ascii="Calibri" w:hAnsi="Calibri" w:eastAsia="Heiti SC"/>
      <w:sz w:val="22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before="80" w:after="80"/>
    </w:pPr>
    <w:rPr>
      <w:rFonts w:ascii="Calibri" w:hAnsi="Calibri" w:eastAsia="Heiti SC"/>
      <w:b/>
      <w:bCs/>
      <w:color w:val="1F4D78"/>
      <w:sz w:val="19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Stage 04 Research Record</dc:title>
  <dc:subject>Local-causal training route closure and evidence record</dc:subject>
  <dc:creator>SPH-PIO-PoC Project</dc:creator>
  <cp:keywords>SPH, task gradient, RK2, verification, negative evidence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