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ABC6" w14:textId="77777777" w:rsidR="00EE08A5" w:rsidRPr="00EE08A5" w:rsidRDefault="00EE08A5" w:rsidP="00EE08A5">
      <w:pPr>
        <w:rPr>
          <w:b/>
          <w:bCs/>
        </w:rPr>
      </w:pPr>
      <w:r w:rsidRPr="00EE08A5">
        <w:rPr>
          <w:b/>
          <w:bCs/>
        </w:rPr>
        <w:t>Ecosistema Digital para la Gestión de Inventario Alimentario y Monetización de Datos de Gran Consumo: Informe Técnico y Estratégico</w:t>
      </w:r>
    </w:p>
    <w:p w14:paraId="3FF378A3" w14:textId="77777777" w:rsidR="00EE08A5" w:rsidRPr="00EE08A5" w:rsidRDefault="00EE08A5" w:rsidP="00EE08A5">
      <w:pPr>
        <w:rPr>
          <w:b/>
          <w:bCs/>
        </w:rPr>
      </w:pPr>
      <w:r w:rsidRPr="00EE08A5">
        <w:rPr>
          <w:b/>
          <w:bCs/>
        </w:rPr>
        <w:t>1. Visión Estratégica y Contexto de Mercado</w:t>
      </w:r>
    </w:p>
    <w:p w14:paraId="7A67D768" w14:textId="77777777" w:rsidR="00EE08A5" w:rsidRPr="00EE08A5" w:rsidRDefault="00EE08A5" w:rsidP="00EE08A5">
      <w:r w:rsidRPr="00EE08A5">
        <w:t>La industria del Gran Consumo (CPG - Consumer Packaged Goods) y el sector minorista (Retail) atraviesan una transformación radical impulsada por la necesidad de datos granulares y accionables sobre el comportamiento del consumidor. Históricamente, la comprensión de qué ocurre dentro del hogar del consumidor —una vez que los productos abandonan el punto de venta (POS)— ha sido una "caja negra" accesible únicamente mediante paneles de consumidores costosos y de actualización lenta, como los gestionados por NielsenIQ o Kantar.</w:t>
      </w:r>
      <w:r w:rsidRPr="00EE08A5">
        <w:rPr>
          <w:vertAlign w:val="superscript"/>
        </w:rPr>
        <w:t>1</w:t>
      </w:r>
    </w:p>
    <w:p w14:paraId="7CBFBAF2" w14:textId="77777777" w:rsidR="00EE08A5" w:rsidRPr="00EE08A5" w:rsidRDefault="00EE08A5" w:rsidP="00EE08A5">
      <w:r w:rsidRPr="00EE08A5">
        <w:t>La propuesta de desarrollar una aplicación móvil que digitalice tickets de compra mediante OCR (Reconocimiento Óptico de Caracteres) no debe entenderse meramente como una herramienta de utilidad para el usuario final, sino como una infraestructura de captura de datos de "Nivel 3" (Level 3 Data). Mientras que los datos bancarios o de tarjetas de crédito proporcionan información de Nivel 2 (Comercio, Fecha, Monto Total), los datos de Nivel 3 desglosan la cesta de la compra ítem por ítem.</w:t>
      </w:r>
      <w:r w:rsidRPr="00EE08A5">
        <w:rPr>
          <w:vertAlign w:val="superscript"/>
        </w:rPr>
        <w:t>3</w:t>
      </w:r>
      <w:r w:rsidRPr="00EE08A5">
        <w:t xml:space="preserve"> Este nivel de granularidad permite identificar SKUs específicos, correlaciones de productos (Market Basket Analysis) y sensibilidad a promociones, activos de incalculable valor en un ecosistema post-cookies donde la data "Zero-Party" y "First-Party" se convierte en el estándar oro para la inteligencia de mercado.</w:t>
      </w:r>
    </w:p>
    <w:p w14:paraId="6273D404" w14:textId="77777777" w:rsidR="00EE08A5" w:rsidRPr="00EE08A5" w:rsidRDefault="00EE08A5" w:rsidP="00EE08A5">
      <w:pPr>
        <w:rPr>
          <w:b/>
          <w:bCs/>
        </w:rPr>
      </w:pPr>
      <w:r w:rsidRPr="00EE08A5">
        <w:rPr>
          <w:b/>
          <w:bCs/>
        </w:rPr>
        <w:t>1.1. La Oportunidad del Dato "Level 3" y la Desaparición de las Cookies</w:t>
      </w:r>
    </w:p>
    <w:p w14:paraId="10999245" w14:textId="77777777" w:rsidR="00EE08A5" w:rsidRPr="00EE08A5" w:rsidRDefault="00EE08A5" w:rsidP="00EE08A5">
      <w:r w:rsidRPr="00EE08A5">
        <w:t>El endurecimiento de las normativas de privacidad y las restricciones tecnológicas en el rastreo de usuarios (depreciación de cookies de terceros) han obligado a las marcas a buscar fuentes directas de información. Una aplicación que ofrece valor tangible al usuario —gestión de despensa, control de gastos, recetas personalizadas— a cambio de la digitalización de sus tickets, crea un intercambio de valor transparente.</w:t>
      </w:r>
    </w:p>
    <w:p w14:paraId="6E8D1B5C" w14:textId="77777777" w:rsidR="00EE08A5" w:rsidRPr="00EE08A5" w:rsidRDefault="00EE08A5" w:rsidP="00EE08A5">
      <w:r w:rsidRPr="00EE08A5">
        <w:t xml:space="preserve">El análisis de mercado indica que los minoristas y marcas de CPG requieren desesperadamente entender no solo </w:t>
      </w:r>
      <w:r w:rsidRPr="00EE08A5">
        <w:rPr>
          <w:i/>
          <w:iCs/>
        </w:rPr>
        <w:t>qué</w:t>
      </w:r>
      <w:r w:rsidRPr="00EE08A5">
        <w:t xml:space="preserve"> se vende, sino </w:t>
      </w:r>
      <w:r w:rsidRPr="00EE08A5">
        <w:rPr>
          <w:i/>
          <w:iCs/>
        </w:rPr>
        <w:t>quién</w:t>
      </w:r>
      <w:r w:rsidRPr="00EE08A5">
        <w:t xml:space="preserve"> lo compra y </w:t>
      </w:r>
      <w:r w:rsidRPr="00EE08A5">
        <w:rPr>
          <w:i/>
          <w:iCs/>
        </w:rPr>
        <w:t>con qué</w:t>
      </w:r>
      <w:r w:rsidRPr="00EE08A5">
        <w:t xml:space="preserve"> lo combina. Por ejemplo, identificar que un consumidor que compra leche de fórmula infantil cambia de marca ante una variación de precio del 5% es un insight que solo se puede obtener mediante el seguimiento longitudinal de tickets de compra.</w:t>
      </w:r>
      <w:r w:rsidRPr="00EE08A5">
        <w:rPr>
          <w:vertAlign w:val="superscript"/>
        </w:rPr>
        <w:t>4</w:t>
      </w:r>
      <w:r w:rsidRPr="00EE08A5">
        <w:t xml:space="preserve"> La arquitectura propuesta, que separa el inventario del usuario de la capa analítica, está diseñada específicamente para servir a este modelo de negocio dual: B2C (retención y utilidad) y B2B (monetización de inteligencia).</w:t>
      </w:r>
    </w:p>
    <w:p w14:paraId="365F7E66" w14:textId="77777777" w:rsidR="00EE08A5" w:rsidRPr="00EE08A5" w:rsidRDefault="00EE08A5" w:rsidP="00EE08A5">
      <w:pPr>
        <w:rPr>
          <w:b/>
          <w:bCs/>
        </w:rPr>
      </w:pPr>
      <w:r w:rsidRPr="00EE08A5">
        <w:rPr>
          <w:b/>
          <w:bCs/>
        </w:rPr>
        <w:t>1.2. Modelos de Comercialización de Datos (Data Monetization)</w:t>
      </w:r>
    </w:p>
    <w:p w14:paraId="0880F124" w14:textId="77777777" w:rsidR="00EE08A5" w:rsidRPr="00EE08A5" w:rsidRDefault="00EE08A5" w:rsidP="00EE08A5">
      <w:r w:rsidRPr="00EE08A5">
        <w:lastRenderedPageBreak/>
        <w:t>La viabilidad económica del proyecto se sustenta en la venta de productos de datos derivados. El diseño de la base de datos en MongoDB y los pipelines de procesamiento deben alinearse con los formatos de entrega que la industria demanda.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775"/>
        <w:gridCol w:w="1722"/>
        <w:gridCol w:w="2563"/>
      </w:tblGrid>
      <w:tr w:rsidR="00EE08A5" w:rsidRPr="00EE08A5" w14:paraId="74527C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F9CA3" w14:textId="77777777" w:rsidR="00EE08A5" w:rsidRPr="00EE08A5" w:rsidRDefault="00EE08A5" w:rsidP="00EE08A5">
            <w:r w:rsidRPr="00EE08A5">
              <w:rPr>
                <w:b/>
                <w:bCs/>
              </w:rPr>
              <w:t>Producto 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8F9A6" w14:textId="77777777" w:rsidR="00EE08A5" w:rsidRPr="00EE08A5" w:rsidRDefault="00EE08A5" w:rsidP="00EE08A5">
            <w:r w:rsidRPr="00EE08A5">
              <w:rPr>
                <w:b/>
                <w:bCs/>
              </w:rPr>
              <w:t>Descripción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E2660" w14:textId="77777777" w:rsidR="00EE08A5" w:rsidRPr="00EE08A5" w:rsidRDefault="00EE08A5" w:rsidP="00EE08A5">
            <w:r w:rsidRPr="00EE08A5">
              <w:rPr>
                <w:b/>
                <w:bCs/>
              </w:rPr>
              <w:t>Cliente Objetivo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31F3E" w14:textId="77777777" w:rsidR="00EE08A5" w:rsidRPr="00EE08A5" w:rsidRDefault="00EE08A5" w:rsidP="00EE08A5">
            <w:r w:rsidRPr="00EE08A5">
              <w:rPr>
                <w:b/>
                <w:bCs/>
              </w:rPr>
              <w:t>Requisito de Arquitectura</w:t>
            </w:r>
          </w:p>
        </w:tc>
      </w:tr>
      <w:tr w:rsidR="00EE08A5" w:rsidRPr="00EE08A5" w14:paraId="0CE8BE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7679A" w14:textId="77777777" w:rsidR="00EE08A5" w:rsidRPr="00EE08A5" w:rsidRDefault="00EE08A5" w:rsidP="00EE08A5">
            <w:r w:rsidRPr="00EE08A5">
              <w:rPr>
                <w:b/>
                <w:bCs/>
              </w:rPr>
              <w:t>Market Share Analytics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E40CF" w14:textId="77777777" w:rsidR="00EE08A5" w:rsidRPr="00EE08A5" w:rsidRDefault="00EE08A5" w:rsidP="00EE08A5">
            <w:r w:rsidRPr="00EE08A5">
              <w:t>Cuota de mercado por categoría, marca y región geográfica en tiempo 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91214" w14:textId="77777777" w:rsidR="00EE08A5" w:rsidRPr="00EE08A5" w:rsidRDefault="00EE08A5" w:rsidP="00EE08A5">
            <w:r w:rsidRPr="00EE08A5">
              <w:t>Marcas CPG (Nestlé, P&amp;G, Unilever)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74AAD" w14:textId="77777777" w:rsidR="00EE08A5" w:rsidRPr="00EE08A5" w:rsidRDefault="00EE08A5" w:rsidP="00EE08A5">
            <w:r w:rsidRPr="00EE08A5">
              <w:t>Agregación de series temporales de alta velocidad.</w:t>
            </w:r>
          </w:p>
        </w:tc>
      </w:tr>
      <w:tr w:rsidR="00EE08A5" w:rsidRPr="00EE08A5" w14:paraId="614BF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673B7" w14:textId="77777777" w:rsidR="00EE08A5" w:rsidRPr="00EE08A5" w:rsidRDefault="00EE08A5" w:rsidP="00EE08A5">
            <w:r w:rsidRPr="00EE08A5">
              <w:rPr>
                <w:b/>
                <w:bCs/>
              </w:rPr>
              <w:t>Brand Switching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22107" w14:textId="77777777" w:rsidR="00EE08A5" w:rsidRPr="00EE08A5" w:rsidRDefault="00EE08A5" w:rsidP="00EE08A5">
            <w:r w:rsidRPr="00EE08A5">
              <w:t>Detección de patrones de cambio de lealtad entre marcas competidoras a lo largo del tiempo.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9D272" w14:textId="77777777" w:rsidR="00EE08A5" w:rsidRPr="00EE08A5" w:rsidRDefault="00EE08A5" w:rsidP="00EE08A5">
            <w:r w:rsidRPr="00EE08A5">
              <w:t>Equipos de Marketing y Fidelización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B5580" w14:textId="77777777" w:rsidR="00EE08A5" w:rsidRPr="00EE08A5" w:rsidRDefault="00EE08A5" w:rsidP="00EE08A5">
            <w:r w:rsidRPr="00EE08A5">
              <w:t>Identificadores de usuario persistentes pero anonimizados (Hashed IDs).</w:t>
            </w:r>
          </w:p>
        </w:tc>
      </w:tr>
      <w:tr w:rsidR="00EE08A5" w:rsidRPr="00EE08A5" w14:paraId="56746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A6EB1" w14:textId="77777777" w:rsidR="00EE08A5" w:rsidRPr="00EE08A5" w:rsidRDefault="00EE08A5" w:rsidP="00EE08A5">
            <w:r w:rsidRPr="00EE08A5">
              <w:rPr>
                <w:b/>
                <w:bCs/>
              </w:rPr>
              <w:t>Price Elasticity Modeling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53E51" w14:textId="77777777" w:rsidR="00EE08A5" w:rsidRPr="00EE08A5" w:rsidRDefault="00EE08A5" w:rsidP="00EE08A5">
            <w:r w:rsidRPr="00EE08A5">
              <w:t>Correlación entre variaciones de precio unitario y volumen de ventas.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45DE0" w14:textId="77777777" w:rsidR="00EE08A5" w:rsidRPr="00EE08A5" w:rsidRDefault="00EE08A5" w:rsidP="00EE08A5">
            <w:r w:rsidRPr="00EE08A5">
              <w:t>Retailers y Consultoras de 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239E9" w14:textId="77777777" w:rsidR="00EE08A5" w:rsidRPr="00EE08A5" w:rsidRDefault="00EE08A5" w:rsidP="00EE08A5">
            <w:r w:rsidRPr="00EE08A5">
              <w:t>Extracción precisa de precios unitarios e importes totales por línea.</w:t>
            </w:r>
          </w:p>
        </w:tc>
      </w:tr>
      <w:tr w:rsidR="00EE08A5" w:rsidRPr="00EE08A5" w14:paraId="6332D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C96BF" w14:textId="77777777" w:rsidR="00EE08A5" w:rsidRPr="00EE08A5" w:rsidRDefault="00EE08A5" w:rsidP="00EE08A5">
            <w:r w:rsidRPr="00EE08A5">
              <w:rPr>
                <w:b/>
                <w:bCs/>
              </w:rPr>
              <w:t>Basket Affinity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00816" w14:textId="77777777" w:rsidR="00EE08A5" w:rsidRPr="00EE08A5" w:rsidRDefault="00EE08A5" w:rsidP="00EE08A5">
            <w:r w:rsidRPr="00EE08A5">
              <w:t>Reglas de asociación (e.g., "El 80% de compradores de pasta X compran vino 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300A5" w14:textId="77777777" w:rsidR="00EE08A5" w:rsidRPr="00EE08A5" w:rsidRDefault="00EE08A5" w:rsidP="00EE08A5">
            <w:r w:rsidRPr="00EE08A5">
              <w:t>Trade Marketing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C8CD0" w14:textId="77777777" w:rsidR="00EE08A5" w:rsidRPr="00EE08A5" w:rsidRDefault="00EE08A5" w:rsidP="00EE08A5">
            <w:r w:rsidRPr="00EE08A5">
              <w:t>Análisis de grafos o agrupaciones de co-ocurrencia.</w:t>
            </w:r>
          </w:p>
        </w:tc>
      </w:tr>
    </w:tbl>
    <w:p w14:paraId="3162C513" w14:textId="77777777" w:rsidR="00EE08A5" w:rsidRPr="00EE08A5" w:rsidRDefault="00EE08A5" w:rsidP="00EE08A5">
      <w:r w:rsidRPr="00EE08A5">
        <w:t>Este informe desglosa la implementación técnica necesaria para soportar estos objetivos estratégicos, garantizando al mismo tiempo una experiencia de usuario (UX) de primer nivel y un cumplimiento estricto de la normativa de protección de datos (RGPD).</w:t>
      </w:r>
    </w:p>
    <w:p w14:paraId="352F3BA6" w14:textId="77777777" w:rsidR="00EE08A5" w:rsidRPr="00EE08A5" w:rsidRDefault="00EE08A5" w:rsidP="00EE08A5">
      <w:r w:rsidRPr="00EE08A5">
        <w:pict w14:anchorId="103B4AD2">
          <v:rect id="_x0000_i1061" style="width:0;height:1.5pt" o:hralign="center" o:hrstd="t" o:hr="t" fillcolor="#a0a0a0" stroked="f"/>
        </w:pict>
      </w:r>
    </w:p>
    <w:p w14:paraId="70102FA9" w14:textId="77777777" w:rsidR="00EE08A5" w:rsidRPr="00EE08A5" w:rsidRDefault="00EE08A5" w:rsidP="00EE08A5">
      <w:pPr>
        <w:rPr>
          <w:b/>
          <w:bCs/>
        </w:rPr>
      </w:pPr>
      <w:r w:rsidRPr="00EE08A5">
        <w:rPr>
          <w:b/>
          <w:bCs/>
        </w:rPr>
        <w:t>2. Arquitectura de Captura y Experiencia de Usuario (Frontend)</w:t>
      </w:r>
    </w:p>
    <w:p w14:paraId="380156DD" w14:textId="77777777" w:rsidR="00EE08A5" w:rsidRPr="00EE08A5" w:rsidRDefault="00EE08A5" w:rsidP="00EE08A5">
      <w:r w:rsidRPr="00EE08A5">
        <w:t>La calidad de los datos analíticos depende directamente de la calidad de la captura. Si la experiencia de escaneo es frustrante, lenta o imprecisa, el usuario abandonará la aplicación, cortando el flujo de datos. Por tanto, la elección del framework de desarrollo y el diseño de la interfaz son decisiones críticas de negocio.</w:t>
      </w:r>
    </w:p>
    <w:p w14:paraId="266E287D" w14:textId="77777777" w:rsidR="00EE08A5" w:rsidRPr="00EE08A5" w:rsidRDefault="00EE08A5" w:rsidP="00EE08A5">
      <w:pPr>
        <w:rPr>
          <w:b/>
          <w:bCs/>
        </w:rPr>
      </w:pPr>
      <w:r w:rsidRPr="00EE08A5">
        <w:rPr>
          <w:b/>
          <w:bCs/>
        </w:rPr>
        <w:t>2.1. Selección del Framework: Flutter como Estándar de Excelencia</w:t>
      </w:r>
    </w:p>
    <w:p w14:paraId="6B1412D5" w14:textId="77777777" w:rsidR="00EE08A5" w:rsidRPr="00EE08A5" w:rsidRDefault="00EE08A5" w:rsidP="00EE08A5">
      <w:r w:rsidRPr="00EE08A5">
        <w:lastRenderedPageBreak/>
        <w:t xml:space="preserve">Tras evaluar las opciones predominantes en el mercado para 2025, </w:t>
      </w:r>
      <w:r w:rsidRPr="00EE08A5">
        <w:rPr>
          <w:b/>
          <w:bCs/>
        </w:rPr>
        <w:t>Flutter</w:t>
      </w:r>
      <w:r w:rsidRPr="00EE08A5">
        <w:t xml:space="preserve"> emerge como la solución superior frente a React Native para aplicaciones intensivas en uso de cámara y procesamiento de imagen.</w:t>
      </w:r>
      <w:r w:rsidRPr="00EE08A5">
        <w:rPr>
          <w:vertAlign w:val="superscript"/>
        </w:rPr>
        <w:t>6</w:t>
      </w:r>
    </w:p>
    <w:p w14:paraId="7C2363E5" w14:textId="77777777" w:rsidR="00EE08A5" w:rsidRPr="00EE08A5" w:rsidRDefault="00EE08A5" w:rsidP="00EE08A5">
      <w:pPr>
        <w:rPr>
          <w:b/>
          <w:bCs/>
        </w:rPr>
      </w:pPr>
      <w:r w:rsidRPr="00EE08A5">
        <w:rPr>
          <w:b/>
          <w:bCs/>
        </w:rPr>
        <w:t>2.1.1. Rendimiento Gráfico y Motor de Renderizado</w:t>
      </w:r>
    </w:p>
    <w:p w14:paraId="74BC4565" w14:textId="77777777" w:rsidR="00EE08A5" w:rsidRPr="00EE08A5" w:rsidRDefault="00EE08A5" w:rsidP="00EE08A5">
      <w:r w:rsidRPr="00EE08A5">
        <w:t xml:space="preserve">Flutter utiliza su propio motor de renderizado (Skia, transicionando a </w:t>
      </w:r>
      <w:r w:rsidRPr="00EE08A5">
        <w:rPr>
          <w:b/>
          <w:bCs/>
        </w:rPr>
        <w:t>Impeller</w:t>
      </w:r>
      <w:r w:rsidRPr="00EE08A5">
        <w:t xml:space="preserve"> en iOS y Android), lo que le permite dibujar cada píxel de la pantalla sin depender de los componentes nativos del sistema operativo. Esto es crucial para mantener animaciones fluidas a 60-120 fps, un estándar esperado en aplicaciones "profesionales" y de alta gama en 2025.</w:t>
      </w:r>
      <w:r w:rsidRPr="00EE08A5">
        <w:rPr>
          <w:vertAlign w:val="superscript"/>
        </w:rPr>
        <w:t>8</w:t>
      </w:r>
      <w:r w:rsidRPr="00EE08A5">
        <w:t xml:space="preserve"> A diferencia de React Native, que utiliza un puente (bridge) para comunicarse con módulos nativos —lo que puede introducir latencia en el procesamiento de streams de video—, Flutter compila a código máquina nativo (ARM64), permitiendo una comunicación más directa y eficiente con el hardware de la cámara.</w:t>
      </w:r>
    </w:p>
    <w:p w14:paraId="75BF219C" w14:textId="77777777" w:rsidR="00EE08A5" w:rsidRPr="00EE08A5" w:rsidRDefault="00EE08A5" w:rsidP="00EE08A5">
      <w:pPr>
        <w:rPr>
          <w:b/>
          <w:bCs/>
        </w:rPr>
      </w:pPr>
      <w:r w:rsidRPr="00EE08A5">
        <w:rPr>
          <w:b/>
          <w:bCs/>
        </w:rPr>
        <w:t>2.1.2. Consistencia y Diseño Personalizado</w:t>
      </w:r>
    </w:p>
    <w:p w14:paraId="4079497E" w14:textId="77777777" w:rsidR="00EE08A5" w:rsidRPr="00EE08A5" w:rsidRDefault="00EE08A5" w:rsidP="00EE08A5">
      <w:r w:rsidRPr="00EE08A5">
        <w:t>La solicitud de un "diseño profesional" implica una estética cuidada y uniforme. Flutter garantiza que la interfaz de usuario (UI) sea idéntica pixel-perfect en iOS y Android, reduciendo el tiempo de pruebas y asegurando que la identidad de marca se mantenga intacta. React Native, al depender de componentes nativos, a menudo requiere ajustes específicos para cada plataforma para lograr una apariencia uniforme.</w:t>
      </w:r>
      <w:r w:rsidRPr="00EE08A5">
        <w:rPr>
          <w:vertAlign w:val="superscript"/>
        </w:rPr>
        <w:t>9</w:t>
      </w:r>
    </w:p>
    <w:p w14:paraId="08054F4D" w14:textId="77777777" w:rsidR="00EE08A5" w:rsidRPr="00EE08A5" w:rsidRDefault="00EE08A5" w:rsidP="00EE08A5">
      <w:pPr>
        <w:rPr>
          <w:b/>
          <w:bCs/>
        </w:rPr>
      </w:pPr>
      <w:r w:rsidRPr="00EE08A5">
        <w:rPr>
          <w:b/>
          <w:bCs/>
        </w:rPr>
        <w:t>2.2. Implementación del Escáner de Tickets</w:t>
      </w:r>
    </w:p>
    <w:p w14:paraId="4EBFFF5C" w14:textId="77777777" w:rsidR="00EE08A5" w:rsidRPr="00EE08A5" w:rsidRDefault="00EE08A5" w:rsidP="00EE08A5">
      <w:r w:rsidRPr="00EE08A5">
        <w:t>El módulo de escaneo es el punto de entrada de los datos. No basta con tomar una foto; se requiere un pre-procesamiento inteligente en el dispositivo (Edge Computing) para garantizar la legibilidad del OCR.</w:t>
      </w:r>
    </w:p>
    <w:p w14:paraId="36B443B7" w14:textId="77777777" w:rsidR="00EE08A5" w:rsidRPr="00EE08A5" w:rsidRDefault="00EE08A5" w:rsidP="00EE08A5">
      <w:pPr>
        <w:rPr>
          <w:b/>
          <w:bCs/>
        </w:rPr>
      </w:pPr>
      <w:r w:rsidRPr="00EE08A5">
        <w:rPr>
          <w:b/>
          <w:bCs/>
        </w:rPr>
        <w:t>2.2.1. Detección de Bordes y Recorte Automático</w:t>
      </w:r>
    </w:p>
    <w:p w14:paraId="3C968E69" w14:textId="77777777" w:rsidR="00EE08A5" w:rsidRPr="00EE08A5" w:rsidRDefault="00EE08A5" w:rsidP="00EE08A5">
      <w:r w:rsidRPr="00EE08A5">
        <w:t xml:space="preserve">Para maximizar la precisión del OCR, la imagen enviada al servidor debe contener solo el ticket, eliminando el fondo. Se implementará una solución basada en paquetes como cunning_document_scanner o flutter_edge_detection </w:t>
      </w:r>
      <w:r w:rsidRPr="00EE08A5">
        <w:rPr>
          <w:vertAlign w:val="superscript"/>
        </w:rPr>
        <w:t>10</w:t>
      </w:r>
      <w:r w:rsidRPr="00EE08A5">
        <w:t>, que integran bibliotecas nativas (OpenCV o ML Kit de Google) para detectar los contornos del recibo en tiempo real.</w:t>
      </w:r>
    </w:p>
    <w:p w14:paraId="76E21E32" w14:textId="77777777" w:rsidR="00EE08A5" w:rsidRPr="00EE08A5" w:rsidRDefault="00EE08A5" w:rsidP="00EE08A5">
      <w:pPr>
        <w:numPr>
          <w:ilvl w:val="0"/>
          <w:numId w:val="1"/>
        </w:numPr>
      </w:pPr>
      <w:r w:rsidRPr="00EE08A5">
        <w:rPr>
          <w:b/>
          <w:bCs/>
        </w:rPr>
        <w:t>Feedback Visual:</w:t>
      </w:r>
      <w:r w:rsidRPr="00EE08A5">
        <w:t xml:space="preserve"> El usuario verá un cuadrilátero superpuesto en la vista de cámara que se ajusta magnéticamente a los bordes del papel.</w:t>
      </w:r>
    </w:p>
    <w:p w14:paraId="5BAD4C03" w14:textId="77777777" w:rsidR="00EE08A5" w:rsidRPr="00EE08A5" w:rsidRDefault="00EE08A5" w:rsidP="00EE08A5">
      <w:pPr>
        <w:numPr>
          <w:ilvl w:val="0"/>
          <w:numId w:val="1"/>
        </w:numPr>
      </w:pPr>
      <w:r w:rsidRPr="00EE08A5">
        <w:rPr>
          <w:b/>
          <w:bCs/>
        </w:rPr>
        <w:t>Disparo Automático:</w:t>
      </w:r>
      <w:r w:rsidRPr="00EE08A5">
        <w:t xml:space="preserve"> Al estabilizarse la detección y el enfoque, la app capturará la imagen automáticamente para evitar fotos borrosas por movimiento manual.</w:t>
      </w:r>
      <w:r w:rsidRPr="00EE08A5">
        <w:rPr>
          <w:vertAlign w:val="superscript"/>
        </w:rPr>
        <w:t>12</w:t>
      </w:r>
    </w:p>
    <w:p w14:paraId="224A0601" w14:textId="77777777" w:rsidR="00EE08A5" w:rsidRPr="00EE08A5" w:rsidRDefault="00EE08A5" w:rsidP="00EE08A5">
      <w:pPr>
        <w:rPr>
          <w:b/>
          <w:bCs/>
        </w:rPr>
      </w:pPr>
      <w:r w:rsidRPr="00EE08A5">
        <w:rPr>
          <w:b/>
          <w:bCs/>
        </w:rPr>
        <w:t>2.2.2. Pre-procesamiento de Imagen</w:t>
      </w:r>
    </w:p>
    <w:p w14:paraId="0CD511F5" w14:textId="77777777" w:rsidR="00EE08A5" w:rsidRPr="00EE08A5" w:rsidRDefault="00EE08A5" w:rsidP="00EE08A5">
      <w:r w:rsidRPr="00EE08A5">
        <w:lastRenderedPageBreak/>
        <w:t>Antes de la subida, la imagen se somete a un proceso de limpieza:</w:t>
      </w:r>
    </w:p>
    <w:p w14:paraId="651EA351" w14:textId="77777777" w:rsidR="00EE08A5" w:rsidRPr="00EE08A5" w:rsidRDefault="00EE08A5" w:rsidP="00EE08A5">
      <w:pPr>
        <w:numPr>
          <w:ilvl w:val="0"/>
          <w:numId w:val="2"/>
        </w:numPr>
      </w:pPr>
      <w:r w:rsidRPr="00EE08A5">
        <w:rPr>
          <w:b/>
          <w:bCs/>
        </w:rPr>
        <w:t>Deskewing (Corrección de Perspectiva):</w:t>
      </w:r>
      <w:r w:rsidRPr="00EE08A5">
        <w:t xml:space="preserve"> Transformación geométrica para "aplanar" la imagen si fue tomada en ángulo.</w:t>
      </w:r>
    </w:p>
    <w:p w14:paraId="636C46EC" w14:textId="77777777" w:rsidR="00EE08A5" w:rsidRPr="00EE08A5" w:rsidRDefault="00EE08A5" w:rsidP="00EE08A5">
      <w:pPr>
        <w:numPr>
          <w:ilvl w:val="0"/>
          <w:numId w:val="2"/>
        </w:numPr>
      </w:pPr>
      <w:r w:rsidRPr="00EE08A5">
        <w:rPr>
          <w:b/>
          <w:bCs/>
        </w:rPr>
        <w:t>Binarización:</w:t>
      </w:r>
      <w:r w:rsidRPr="00EE08A5">
        <w:t xml:space="preserve"> Conversión a escala de grises y aumento de contraste adaptativo para resaltar el texto negro sobre el papel térmico, eliminando sombras y ruido visual.</w:t>
      </w:r>
      <w:r w:rsidRPr="00EE08A5">
        <w:rPr>
          <w:vertAlign w:val="superscript"/>
        </w:rPr>
        <w:t>13</w:t>
      </w:r>
    </w:p>
    <w:p w14:paraId="4BE9A62C" w14:textId="77777777" w:rsidR="00EE08A5" w:rsidRPr="00EE08A5" w:rsidRDefault="00EE08A5" w:rsidP="00EE08A5">
      <w:pPr>
        <w:numPr>
          <w:ilvl w:val="0"/>
          <w:numId w:val="2"/>
        </w:numPr>
      </w:pPr>
      <w:r w:rsidRPr="00EE08A5">
        <w:rPr>
          <w:b/>
          <w:bCs/>
        </w:rPr>
        <w:t>Compresión:</w:t>
      </w:r>
      <w:r w:rsidRPr="00EE08A5">
        <w:t xml:space="preserve"> Optimización del archivo (JPEG/WebP) para equilibrar calidad y velocidad de subida, crucial para la experiencia de usuario en redes móviles.</w:t>
      </w:r>
    </w:p>
    <w:p w14:paraId="5D98C90A" w14:textId="77777777" w:rsidR="00EE08A5" w:rsidRPr="00EE08A5" w:rsidRDefault="00EE08A5" w:rsidP="00EE08A5">
      <w:pPr>
        <w:rPr>
          <w:b/>
          <w:bCs/>
        </w:rPr>
      </w:pPr>
      <w:r w:rsidRPr="00EE08A5">
        <w:rPr>
          <w:b/>
          <w:bCs/>
        </w:rPr>
        <w:t>2.3. Tendencias de Diseño UI/UX 2025: Glassmorphism y Minimalismo</w:t>
      </w:r>
    </w:p>
    <w:p w14:paraId="4965636B" w14:textId="77777777" w:rsidR="00EE08A5" w:rsidRPr="00EE08A5" w:rsidRDefault="00EE08A5" w:rsidP="00EE08A5">
      <w:r w:rsidRPr="00EE08A5">
        <w:t>Para cumplir con el requisito de "diseño profesional", la aplicación adoptará las tendencias visuales dominantes proyectadas para 2025.</w:t>
      </w:r>
      <w:r w:rsidRPr="00EE08A5">
        <w:rPr>
          <w:vertAlign w:val="superscript"/>
        </w:rPr>
        <w:t>14</w:t>
      </w:r>
    </w:p>
    <w:p w14:paraId="51A3D118" w14:textId="77777777" w:rsidR="00EE08A5" w:rsidRPr="00EE08A5" w:rsidRDefault="00EE08A5" w:rsidP="00EE08A5">
      <w:pPr>
        <w:rPr>
          <w:b/>
          <w:bCs/>
        </w:rPr>
      </w:pPr>
      <w:r w:rsidRPr="00EE08A5">
        <w:rPr>
          <w:b/>
          <w:bCs/>
        </w:rPr>
        <w:t>2.3.1. Glassmorphism (Vidrio Esmerilado)</w:t>
      </w:r>
    </w:p>
    <w:p w14:paraId="14995BAA" w14:textId="77777777" w:rsidR="00EE08A5" w:rsidRPr="00EE08A5" w:rsidRDefault="00EE08A5" w:rsidP="00EE08A5">
      <w:r w:rsidRPr="00EE08A5">
        <w:t>El uso de capas translúcidas con desenfoque de fondo (background blur) aporta profundidad y modernidad, evocando una sensación de alta tecnología y limpieza. En Flutter, esto se implementa eficientemente mediante el widget BackdropFilter o paquetes especializados como glassmorphic_ui_kit.</w:t>
      </w:r>
      <w:r w:rsidRPr="00EE08A5">
        <w:rPr>
          <w:vertAlign w:val="superscript"/>
        </w:rPr>
        <w:t>17</w:t>
      </w:r>
    </w:p>
    <w:p w14:paraId="5A5E4958" w14:textId="77777777" w:rsidR="00EE08A5" w:rsidRPr="00EE08A5" w:rsidRDefault="00EE08A5" w:rsidP="00EE08A5">
      <w:pPr>
        <w:numPr>
          <w:ilvl w:val="0"/>
          <w:numId w:val="3"/>
        </w:numPr>
      </w:pPr>
      <w:r w:rsidRPr="00EE08A5">
        <w:rPr>
          <w:b/>
          <w:bCs/>
        </w:rPr>
        <w:t>Aplicación:</w:t>
      </w:r>
      <w:r w:rsidRPr="00EE08A5">
        <w:t xml:space="preserve"> Los paneles de detalles de productos o las tarjetas de recetas flotarán sobre el inventario difuminado, creando una jerarquía visual clara sin perder contexto.</w:t>
      </w:r>
    </w:p>
    <w:p w14:paraId="6E30A4D6" w14:textId="77777777" w:rsidR="00EE08A5" w:rsidRPr="00EE08A5" w:rsidRDefault="00EE08A5" w:rsidP="00EE08A5">
      <w:pPr>
        <w:rPr>
          <w:b/>
          <w:bCs/>
        </w:rPr>
      </w:pPr>
      <w:r w:rsidRPr="00EE08A5">
        <w:rPr>
          <w:b/>
          <w:bCs/>
        </w:rPr>
        <w:t>2.3.2. Interfaz "Food Inventory" Minimalista</w:t>
      </w:r>
    </w:p>
    <w:p w14:paraId="5B3086D9" w14:textId="77777777" w:rsidR="00EE08A5" w:rsidRPr="00EE08A5" w:rsidRDefault="00EE08A5" w:rsidP="00EE08A5">
      <w:r w:rsidRPr="00EE08A5">
        <w:t>La gestión de inventarios tiende al desorden visual. La UI priorizará el espacio en blanco (whitespace) y la tipografía clara.</w:t>
      </w:r>
    </w:p>
    <w:p w14:paraId="6FB21C41" w14:textId="77777777" w:rsidR="00EE08A5" w:rsidRPr="00EE08A5" w:rsidRDefault="00EE08A5" w:rsidP="00EE08A5">
      <w:pPr>
        <w:numPr>
          <w:ilvl w:val="0"/>
          <w:numId w:val="4"/>
        </w:numPr>
      </w:pPr>
      <w:r w:rsidRPr="00EE08A5">
        <w:rPr>
          <w:b/>
          <w:bCs/>
        </w:rPr>
        <w:t>Categorización Visual:</w:t>
      </w:r>
      <w:r w:rsidRPr="00EE08A5">
        <w:t xml:space="preserve"> Uso de iconos y colores semánticos (verde para fresco, ámbar para próximo a caducar, rojo para caducado) para permitir un escaneo visual rápido.</w:t>
      </w:r>
      <w:r w:rsidRPr="00EE08A5">
        <w:rPr>
          <w:vertAlign w:val="superscript"/>
        </w:rPr>
        <w:t>18</w:t>
      </w:r>
    </w:p>
    <w:p w14:paraId="1EF2D942" w14:textId="77777777" w:rsidR="00EE08A5" w:rsidRPr="00EE08A5" w:rsidRDefault="00EE08A5" w:rsidP="00EE08A5">
      <w:pPr>
        <w:numPr>
          <w:ilvl w:val="0"/>
          <w:numId w:val="4"/>
        </w:numPr>
      </w:pPr>
      <w:r w:rsidRPr="00EE08A5">
        <w:rPr>
          <w:b/>
          <w:bCs/>
        </w:rPr>
        <w:t>Modo Oscuro (Dark Mode):</w:t>
      </w:r>
      <w:r w:rsidRPr="00EE08A5">
        <w:t xml:space="preserve"> Implementación nativa de temas oscuros, no solo por estética, sino por eficiencia energética en pantallas OLED y reducción de fatiga visual, un estándar esperado por los usuarios avanzados.</w:t>
      </w:r>
      <w:r w:rsidRPr="00EE08A5">
        <w:rPr>
          <w:vertAlign w:val="superscript"/>
        </w:rPr>
        <w:t>15</w:t>
      </w:r>
    </w:p>
    <w:p w14:paraId="65858554" w14:textId="77777777" w:rsidR="00EE08A5" w:rsidRPr="00EE08A5" w:rsidRDefault="00EE08A5" w:rsidP="00EE08A5">
      <w:r w:rsidRPr="00EE08A5">
        <w:pict w14:anchorId="4DB21987">
          <v:rect id="_x0000_i1062" style="width:0;height:1.5pt" o:hralign="center" o:hrstd="t" o:hr="t" fillcolor="#a0a0a0" stroked="f"/>
        </w:pict>
      </w:r>
    </w:p>
    <w:p w14:paraId="4E58C4E0" w14:textId="77777777" w:rsidR="00EE08A5" w:rsidRPr="00EE08A5" w:rsidRDefault="00EE08A5" w:rsidP="00EE08A5">
      <w:pPr>
        <w:rPr>
          <w:b/>
          <w:bCs/>
        </w:rPr>
      </w:pPr>
      <w:r w:rsidRPr="00EE08A5">
        <w:rPr>
          <w:b/>
          <w:bCs/>
        </w:rPr>
        <w:t>3. Tecnologías de Reconocimiento Óptico y Procesamiento de Documentos (OCR)</w:t>
      </w:r>
    </w:p>
    <w:p w14:paraId="3E85ABA7" w14:textId="77777777" w:rsidR="00EE08A5" w:rsidRPr="00EE08A5" w:rsidRDefault="00EE08A5" w:rsidP="00EE08A5">
      <w:r w:rsidRPr="00EE08A5">
        <w:lastRenderedPageBreak/>
        <w:t>El núcleo tecnológico que habilita el modelo de negocio es el motor OCR. La capacidad de extraer líneas de producto (Line Items) con alta precisión determina la utilidad de la app y el valor comercial de los datos.</w:t>
      </w:r>
    </w:p>
    <w:p w14:paraId="2916FD30" w14:textId="77777777" w:rsidR="00EE08A5" w:rsidRPr="00EE08A5" w:rsidRDefault="00EE08A5" w:rsidP="00EE08A5">
      <w:pPr>
        <w:rPr>
          <w:b/>
          <w:bCs/>
        </w:rPr>
      </w:pPr>
      <w:r w:rsidRPr="00EE08A5">
        <w:rPr>
          <w:b/>
          <w:bCs/>
        </w:rPr>
        <w:t>3.1. Evaluación Comparativa de Proveedores OCR</w:t>
      </w:r>
    </w:p>
    <w:p w14:paraId="71FBD3E8" w14:textId="77777777" w:rsidR="00EE08A5" w:rsidRPr="00EE08A5" w:rsidRDefault="00EE08A5" w:rsidP="00EE08A5">
      <w:r w:rsidRPr="00EE08A5">
        <w:t>El mercado ofrece soluciones genéricas (Google Vision, AWS Textract) y especializadas en recibos. Para este proyecto, las soluciones especializadas son mandatorias debido a la complejidad de los tickets de supermercado (papel térmico, abreviaturas, formatos variables).</w:t>
      </w:r>
    </w:p>
    <w:p w14:paraId="64FD5155" w14:textId="77777777" w:rsidR="00EE08A5" w:rsidRPr="00EE08A5" w:rsidRDefault="00EE08A5" w:rsidP="00EE08A5">
      <w:pPr>
        <w:rPr>
          <w:b/>
          <w:bCs/>
        </w:rPr>
      </w:pPr>
      <w:r w:rsidRPr="00EE08A5">
        <w:rPr>
          <w:b/>
          <w:bCs/>
        </w:rPr>
        <w:t>3.1.1. Veryfi: El Estándar de Oro en Precisión y Velocidad</w:t>
      </w:r>
    </w:p>
    <w:p w14:paraId="65261300" w14:textId="77777777" w:rsidR="00EE08A5" w:rsidRPr="00EE08A5" w:rsidRDefault="00EE08A5" w:rsidP="00EE08A5">
      <w:r w:rsidRPr="00EE08A5">
        <w:t>Veryfi destaca como la opción líder para aplicaciones que requieren extracción de datos en tiempo real y alta precisión sin intervención humana (HITL - Human in the Loop).</w:t>
      </w:r>
      <w:r w:rsidRPr="00EE08A5">
        <w:rPr>
          <w:vertAlign w:val="superscript"/>
        </w:rPr>
        <w:t>3</w:t>
      </w:r>
    </w:p>
    <w:p w14:paraId="00B3E123" w14:textId="77777777" w:rsidR="00EE08A5" w:rsidRPr="00EE08A5" w:rsidRDefault="00EE08A5" w:rsidP="00EE08A5">
      <w:pPr>
        <w:numPr>
          <w:ilvl w:val="0"/>
          <w:numId w:val="5"/>
        </w:numPr>
      </w:pPr>
      <w:r w:rsidRPr="00EE08A5">
        <w:rPr>
          <w:b/>
          <w:bCs/>
        </w:rPr>
        <w:t>Ventajas Técnicas:</w:t>
      </w:r>
      <w:r w:rsidRPr="00EE08A5">
        <w:t xml:space="preserve"> Ofrece "Day 1 Accuracy" para tickets en español, reconociendo automáticamente comercios como Mercadona, Carrefour o Lidl. Su velocidad de respuesta (~3 segundos) es superior a la competencia, lo que es vital para la retención del usuario.</w:t>
      </w:r>
      <w:r w:rsidRPr="00EE08A5">
        <w:rPr>
          <w:vertAlign w:val="superscript"/>
        </w:rPr>
        <w:t>3</w:t>
      </w:r>
    </w:p>
    <w:p w14:paraId="0FD0B20B" w14:textId="77777777" w:rsidR="00EE08A5" w:rsidRPr="00EE08A5" w:rsidRDefault="00EE08A5" w:rsidP="00EE08A5">
      <w:pPr>
        <w:numPr>
          <w:ilvl w:val="0"/>
          <w:numId w:val="5"/>
        </w:numPr>
      </w:pPr>
      <w:r w:rsidRPr="00EE08A5">
        <w:rPr>
          <w:b/>
          <w:bCs/>
        </w:rPr>
        <w:t>Extracción de Datos:</w:t>
      </w:r>
      <w:r w:rsidRPr="00EE08A5">
        <w:t xml:space="preserve"> Devuelve un JSON estructurado con detalles granulares: descripción del ítem, SKU (si está disponible), precio unitario, cantidad, descuentos aplicados e impuestos desglosados.</w:t>
      </w:r>
    </w:p>
    <w:p w14:paraId="544AF78F" w14:textId="77777777" w:rsidR="00EE08A5" w:rsidRPr="00EE08A5" w:rsidRDefault="00EE08A5" w:rsidP="00EE08A5">
      <w:pPr>
        <w:numPr>
          <w:ilvl w:val="0"/>
          <w:numId w:val="5"/>
        </w:numPr>
      </w:pPr>
      <w:r w:rsidRPr="00EE08A5">
        <w:rPr>
          <w:b/>
          <w:bCs/>
        </w:rPr>
        <w:t>Desventaja:</w:t>
      </w:r>
      <w:r w:rsidRPr="00EE08A5">
        <w:t xml:space="preserve"> El costo. Su modelo de precios puede ser elevado para una startup en fase inicial (~$0.08 por documento en planes bajos).</w:t>
      </w:r>
      <w:r w:rsidRPr="00EE08A5">
        <w:rPr>
          <w:vertAlign w:val="superscript"/>
        </w:rPr>
        <w:t>21</w:t>
      </w:r>
    </w:p>
    <w:p w14:paraId="5B080AB1" w14:textId="77777777" w:rsidR="00EE08A5" w:rsidRPr="00EE08A5" w:rsidRDefault="00EE08A5" w:rsidP="00EE08A5">
      <w:pPr>
        <w:rPr>
          <w:b/>
          <w:bCs/>
        </w:rPr>
      </w:pPr>
      <w:r w:rsidRPr="00EE08A5">
        <w:rPr>
          <w:b/>
          <w:bCs/>
        </w:rPr>
        <w:t>3.1.2. Tabscanner: La Alternativa Costo-Efectiva</w:t>
      </w:r>
    </w:p>
    <w:p w14:paraId="5E8F1372" w14:textId="77777777" w:rsidR="00EE08A5" w:rsidRPr="00EE08A5" w:rsidRDefault="00EE08A5" w:rsidP="00EE08A5">
      <w:r w:rsidRPr="00EE08A5">
        <w:t>Tabscanner se especializa exclusivamente en recibos POS, ofreciendo una precisión competitiva en la extracción de ítems de línea (98%+) a un costo significativamente menor.</w:t>
      </w:r>
      <w:r w:rsidRPr="00EE08A5">
        <w:rPr>
          <w:vertAlign w:val="superscript"/>
        </w:rPr>
        <w:t>23</w:t>
      </w:r>
    </w:p>
    <w:p w14:paraId="31E9F2E0" w14:textId="77777777" w:rsidR="00EE08A5" w:rsidRPr="00EE08A5" w:rsidRDefault="00EE08A5" w:rsidP="00EE08A5">
      <w:pPr>
        <w:numPr>
          <w:ilvl w:val="0"/>
          <w:numId w:val="6"/>
        </w:numPr>
      </w:pPr>
      <w:r w:rsidRPr="00EE08A5">
        <w:rPr>
          <w:b/>
          <w:bCs/>
        </w:rPr>
        <w:t>Soporte Global:</w:t>
      </w:r>
      <w:r w:rsidRPr="00EE08A5">
        <w:t xml:space="preserve"> Excelente manejo de formatos internacionales y lógicas específicas de cada país (impuestos incluidos vs. excluidos).</w:t>
      </w:r>
    </w:p>
    <w:p w14:paraId="77175BE1" w14:textId="77777777" w:rsidR="00EE08A5" w:rsidRPr="00EE08A5" w:rsidRDefault="00EE08A5" w:rsidP="00EE08A5">
      <w:pPr>
        <w:numPr>
          <w:ilvl w:val="0"/>
          <w:numId w:val="6"/>
        </w:numPr>
      </w:pPr>
      <w:r w:rsidRPr="00EE08A5">
        <w:rPr>
          <w:b/>
          <w:bCs/>
        </w:rPr>
        <w:t>API Robusta:</w:t>
      </w:r>
      <w:r w:rsidRPr="00EE08A5">
        <w:t xml:space="preserve"> Ofrece una API RESTful fácil de integrar, con webhooks para procesamiento asíncrono, ideal para manejar picos de carga.</w:t>
      </w:r>
    </w:p>
    <w:p w14:paraId="562CC524" w14:textId="77777777" w:rsidR="00EE08A5" w:rsidRPr="00EE08A5" w:rsidRDefault="00EE08A5" w:rsidP="00EE08A5">
      <w:pPr>
        <w:rPr>
          <w:b/>
          <w:bCs/>
        </w:rPr>
      </w:pPr>
      <w:r w:rsidRPr="00EE08A5">
        <w:rPr>
          <w:b/>
          <w:bCs/>
        </w:rPr>
        <w:t>3.1.3. Mindee: Flexibilidad para Desarrolladores</w:t>
      </w:r>
    </w:p>
    <w:p w14:paraId="0E93E068" w14:textId="77777777" w:rsidR="00EE08A5" w:rsidRPr="00EE08A5" w:rsidRDefault="00EE08A5" w:rsidP="00EE08A5">
      <w:r w:rsidRPr="00EE08A5">
        <w:t>Mindee ofrece un enfoque más orientado al desarrollador, con una capa gratuita generosa (250 páginas/mes) y SDKs bien documentados. Aunque históricamente menos preciso en ítems de línea complejos que Veryfi, su capacidad de personalización y entrenamiento de modelos propios es una ventaja a largo plazo.</w:t>
      </w:r>
      <w:r w:rsidRPr="00EE08A5">
        <w:rPr>
          <w:vertAlign w:val="superscript"/>
        </w:rPr>
        <w:t>26</w:t>
      </w:r>
    </w:p>
    <w:p w14:paraId="5A149F97" w14:textId="77777777" w:rsidR="00EE08A5" w:rsidRPr="00EE08A5" w:rsidRDefault="00EE08A5" w:rsidP="00EE08A5">
      <w:r w:rsidRPr="00EE08A5">
        <w:rPr>
          <w:b/>
          <w:bCs/>
        </w:rPr>
        <w:lastRenderedPageBreak/>
        <w:t>Recomendación Estratégica:</w:t>
      </w:r>
      <w:r w:rsidRPr="00EE08A5">
        <w:t xml:space="preserve"> Se sugiere una arquitectura de "Backend Agnóstico". Iniciar el MVP con </w:t>
      </w:r>
      <w:r w:rsidRPr="00EE08A5">
        <w:rPr>
          <w:b/>
          <w:bCs/>
        </w:rPr>
        <w:t>Tabscanner</w:t>
      </w:r>
      <w:r w:rsidRPr="00EE08A5">
        <w:t xml:space="preserve"> o </w:t>
      </w:r>
      <w:r w:rsidRPr="00EE08A5">
        <w:rPr>
          <w:b/>
          <w:bCs/>
        </w:rPr>
        <w:t>Mindee</w:t>
      </w:r>
      <w:r w:rsidRPr="00EE08A5">
        <w:t xml:space="preserve"> para validar el modelo con costes controlados, y diseñar la interfaz del backend (usando el patrón Adapter) para migrar o balancear carga hacia </w:t>
      </w:r>
      <w:r w:rsidRPr="00EE08A5">
        <w:rPr>
          <w:b/>
          <w:bCs/>
        </w:rPr>
        <w:t>Veryfi</w:t>
      </w:r>
      <w:r w:rsidRPr="00EE08A5">
        <w:t xml:space="preserve"> cuando el volumen de usuarios y la exigencia de velocidad lo justifiquen.</w:t>
      </w:r>
    </w:p>
    <w:p w14:paraId="643B4B54" w14:textId="77777777" w:rsidR="00EE08A5" w:rsidRPr="00EE08A5" w:rsidRDefault="00EE08A5" w:rsidP="00EE08A5">
      <w:pPr>
        <w:rPr>
          <w:b/>
          <w:bCs/>
        </w:rPr>
      </w:pPr>
      <w:r w:rsidRPr="00EE08A5">
        <w:rPr>
          <w:b/>
          <w:bCs/>
        </w:rPr>
        <w:t>3.2. Pipeline de Procesamiento de Datos (Ingesta)</w:t>
      </w:r>
    </w:p>
    <w:p w14:paraId="51C5CFCC" w14:textId="77777777" w:rsidR="00EE08A5" w:rsidRPr="00EE08A5" w:rsidRDefault="00EE08A5" w:rsidP="00EE08A5">
      <w:r w:rsidRPr="00EE08A5">
        <w:t>El flujo técnico desde la captura hasta la base de datos es el siguiente:</w:t>
      </w:r>
    </w:p>
    <w:p w14:paraId="2CC1AFBC" w14:textId="77777777" w:rsidR="00EE08A5" w:rsidRPr="00EE08A5" w:rsidRDefault="00EE08A5" w:rsidP="00EE08A5">
      <w:pPr>
        <w:numPr>
          <w:ilvl w:val="0"/>
          <w:numId w:val="7"/>
        </w:numPr>
      </w:pPr>
      <w:r w:rsidRPr="00EE08A5">
        <w:rPr>
          <w:b/>
          <w:bCs/>
        </w:rPr>
        <w:t>Recepción y Cola:</w:t>
      </w:r>
      <w:r w:rsidRPr="00EE08A5">
        <w:t xml:space="preserve"> La API (Node.js/Python) recibe la imagen y la coloca en una cola de mensajes (e.g., RabbitMQ o AWS SQS) para desacoplar la recepción del procesamiento, garantizando escalabilidad.</w:t>
      </w:r>
    </w:p>
    <w:p w14:paraId="1D7F84FC" w14:textId="77777777" w:rsidR="00EE08A5" w:rsidRPr="00EE08A5" w:rsidRDefault="00EE08A5" w:rsidP="00EE08A5">
      <w:pPr>
        <w:numPr>
          <w:ilvl w:val="0"/>
          <w:numId w:val="7"/>
        </w:numPr>
      </w:pPr>
      <w:r w:rsidRPr="00EE08A5">
        <w:rPr>
          <w:b/>
          <w:bCs/>
        </w:rPr>
        <w:t>Llamada OCR:</w:t>
      </w:r>
      <w:r w:rsidRPr="00EE08A5">
        <w:t xml:space="preserve"> Un worker consume la tarea y envía la imagen al proveedor OCR seleccionado.</w:t>
      </w:r>
    </w:p>
    <w:p w14:paraId="401D682D" w14:textId="77777777" w:rsidR="00EE08A5" w:rsidRPr="00EE08A5" w:rsidRDefault="00EE08A5" w:rsidP="00EE08A5">
      <w:pPr>
        <w:numPr>
          <w:ilvl w:val="0"/>
          <w:numId w:val="7"/>
        </w:numPr>
      </w:pPr>
      <w:r w:rsidRPr="00EE08A5">
        <w:rPr>
          <w:b/>
          <w:bCs/>
        </w:rPr>
        <w:t>Normalización de Respuesta:</w:t>
      </w:r>
      <w:r w:rsidRPr="00EE08A5">
        <w:t xml:space="preserve"> La respuesta JSON del OCR, que varía según el proveedor, se normaliza a un esquema interno estándar.</w:t>
      </w:r>
    </w:p>
    <w:p w14:paraId="43325BC4" w14:textId="77777777" w:rsidR="00EE08A5" w:rsidRPr="00EE08A5" w:rsidRDefault="00EE08A5" w:rsidP="00EE08A5">
      <w:pPr>
        <w:numPr>
          <w:ilvl w:val="1"/>
          <w:numId w:val="7"/>
        </w:numPr>
      </w:pPr>
      <w:r w:rsidRPr="00EE08A5">
        <w:rPr>
          <w:i/>
          <w:iCs/>
        </w:rPr>
        <w:t>Desafío:</w:t>
      </w:r>
      <w:r w:rsidRPr="00EE08A5">
        <w:t xml:space="preserve"> Un ticket puede listar "LCHE SEMI HACEND".</w:t>
      </w:r>
    </w:p>
    <w:p w14:paraId="7DF74ABC" w14:textId="77777777" w:rsidR="00EE08A5" w:rsidRPr="00EE08A5" w:rsidRDefault="00EE08A5" w:rsidP="00EE08A5">
      <w:pPr>
        <w:numPr>
          <w:ilvl w:val="1"/>
          <w:numId w:val="7"/>
        </w:numPr>
      </w:pPr>
      <w:r w:rsidRPr="00EE08A5">
        <w:rPr>
          <w:i/>
          <w:iCs/>
        </w:rPr>
        <w:t>Solución:</w:t>
      </w:r>
      <w:r w:rsidRPr="00EE08A5">
        <w:t xml:space="preserve"> El sistema debe mapear este texto crudo a una entidad canónica. Esto se logra mediante algoritmos de </w:t>
      </w:r>
      <w:r w:rsidRPr="00EE08A5">
        <w:rPr>
          <w:b/>
          <w:bCs/>
        </w:rPr>
        <w:t>Fuzzy Matching</w:t>
      </w:r>
      <w:r w:rsidRPr="00EE08A5">
        <w:t xml:space="preserve"> (coincidencia difusa) contra una base de datos maestra de productos (e.g., base de datos GS1 GDSN o un catálogo propio construido progresivamente).</w:t>
      </w:r>
    </w:p>
    <w:p w14:paraId="12FB1B04" w14:textId="77777777" w:rsidR="00EE08A5" w:rsidRPr="00EE08A5" w:rsidRDefault="00EE08A5" w:rsidP="00EE08A5">
      <w:pPr>
        <w:numPr>
          <w:ilvl w:val="0"/>
          <w:numId w:val="7"/>
        </w:numPr>
      </w:pPr>
      <w:r w:rsidRPr="00EE08A5">
        <w:rPr>
          <w:b/>
          <w:bCs/>
        </w:rPr>
        <w:t>Clasificación Automática:</w:t>
      </w:r>
      <w:r w:rsidRPr="00EE08A5">
        <w:t xml:space="preserve"> Si el OCR no categoriza el producto (o lo hace genéricamente como "Comida"), se utiliza un modelo de clasificación de texto (NLP) entrenado para asignar categorías específicas (e.g., "Lácteos &gt; Leche &gt; Semidesnatada") basándose en la descripción y el comercio.</w:t>
      </w:r>
      <w:r w:rsidRPr="00EE08A5">
        <w:rPr>
          <w:vertAlign w:val="superscript"/>
        </w:rPr>
        <w:t>29</w:t>
      </w:r>
    </w:p>
    <w:p w14:paraId="464820B9" w14:textId="77777777" w:rsidR="00EE08A5" w:rsidRPr="00EE08A5" w:rsidRDefault="00EE08A5" w:rsidP="00EE08A5">
      <w:r w:rsidRPr="00EE08A5">
        <w:pict w14:anchorId="448A3592">
          <v:rect id="_x0000_i1063" style="width:0;height:1.5pt" o:hralign="center" o:hrstd="t" o:hr="t" fillcolor="#a0a0a0" stroked="f"/>
        </w:pict>
      </w:r>
    </w:p>
    <w:p w14:paraId="581C42DB" w14:textId="77777777" w:rsidR="00EE08A5" w:rsidRPr="00EE08A5" w:rsidRDefault="00EE08A5" w:rsidP="00EE08A5">
      <w:pPr>
        <w:rPr>
          <w:b/>
          <w:bCs/>
        </w:rPr>
      </w:pPr>
      <w:r w:rsidRPr="00EE08A5">
        <w:rPr>
          <w:b/>
          <w:bCs/>
        </w:rPr>
        <w:t>4. Ingeniería de Datos y Diseño en MongoDB</w:t>
      </w:r>
    </w:p>
    <w:p w14:paraId="4F3DA9BE" w14:textId="77777777" w:rsidR="00EE08A5" w:rsidRPr="00EE08A5" w:rsidRDefault="00EE08A5" w:rsidP="00EE08A5">
      <w:r w:rsidRPr="00EE08A5">
        <w:t>MongoDB es la base de datos seleccionada debido a su modelo de documentos (JSON-like), que se adapta perfectamente a la naturaleza variable y jerárquica de los tickets de compra.</w:t>
      </w:r>
      <w:r w:rsidRPr="00EE08A5">
        <w:rPr>
          <w:vertAlign w:val="superscript"/>
        </w:rPr>
        <w:t>29</w:t>
      </w:r>
      <w:r w:rsidRPr="00EE08A5">
        <w:t xml:space="preserve"> Sin embargo, un diseño de esquema ingenuo puede llevar a problemas de rendimiento y privacidad. Se propone una arquitectura de datos dual.</w:t>
      </w:r>
    </w:p>
    <w:p w14:paraId="0BA5C43B" w14:textId="77777777" w:rsidR="00EE08A5" w:rsidRPr="00EE08A5" w:rsidRDefault="00EE08A5" w:rsidP="00EE08A5">
      <w:pPr>
        <w:rPr>
          <w:b/>
          <w:bCs/>
        </w:rPr>
      </w:pPr>
      <w:r w:rsidRPr="00EE08A5">
        <w:rPr>
          <w:b/>
          <w:bCs/>
        </w:rPr>
        <w:t>4.1. Separación Lógica: Operacional vs. Analítica</w:t>
      </w:r>
    </w:p>
    <w:p w14:paraId="7165B59E" w14:textId="77777777" w:rsidR="00EE08A5" w:rsidRPr="00EE08A5" w:rsidRDefault="00EE08A5" w:rsidP="00EE08A5">
      <w:r w:rsidRPr="00EE08A5">
        <w:t>Para cumplir con el requisito de "separar el inventario de usuario de una capa de datos analíticos", se implementarán dos estrategias de almacenamiento distintas, optimizadas para sus respectivos casos de uso (OLTP vs. OLAP).</w:t>
      </w:r>
    </w:p>
    <w:p w14:paraId="65F5525A" w14:textId="77777777" w:rsidR="00EE08A5" w:rsidRPr="00EE08A5" w:rsidRDefault="00EE08A5" w:rsidP="00EE08A5">
      <w:pPr>
        <w:rPr>
          <w:b/>
          <w:bCs/>
        </w:rPr>
      </w:pPr>
      <w:r w:rsidRPr="00EE08A5">
        <w:rPr>
          <w:b/>
          <w:bCs/>
        </w:rPr>
        <w:lastRenderedPageBreak/>
        <w:t>4.1.1. Capa Operacional (Inventario de Usuario)</w:t>
      </w:r>
    </w:p>
    <w:p w14:paraId="0F652C87" w14:textId="77777777" w:rsidR="00EE08A5" w:rsidRPr="00EE08A5" w:rsidRDefault="00EE08A5" w:rsidP="00EE08A5">
      <w:r w:rsidRPr="00EE08A5">
        <w:t>Esta capa soporta la funcionalidad de la app en tiempo real. Debe ser rápida en lecturas y escrituras puntuales.</w:t>
      </w:r>
    </w:p>
    <w:p w14:paraId="3769E4C0" w14:textId="77777777" w:rsidR="00EE08A5" w:rsidRPr="00EE08A5" w:rsidRDefault="00EE08A5" w:rsidP="00EE08A5">
      <w:pPr>
        <w:numPr>
          <w:ilvl w:val="0"/>
          <w:numId w:val="8"/>
        </w:numPr>
      </w:pPr>
      <w:r w:rsidRPr="00EE08A5">
        <w:rPr>
          <w:b/>
          <w:bCs/>
        </w:rPr>
        <w:t>Colección users:</w:t>
      </w:r>
      <w:r w:rsidRPr="00EE08A5">
        <w:t xml:space="preserve"> Almacena perfiles, preferencias (dietas, alergias) y metadatos de consentimiento RGPD.</w:t>
      </w:r>
    </w:p>
    <w:p w14:paraId="74796BF2" w14:textId="77777777" w:rsidR="00EE08A5" w:rsidRPr="00EE08A5" w:rsidRDefault="00EE08A5" w:rsidP="00EE08A5">
      <w:pPr>
        <w:numPr>
          <w:ilvl w:val="0"/>
          <w:numId w:val="8"/>
        </w:numPr>
      </w:pPr>
      <w:r w:rsidRPr="00EE08A5">
        <w:rPr>
          <w:b/>
          <w:bCs/>
        </w:rPr>
        <w:t>Colección inventory:</w:t>
      </w:r>
      <w:r w:rsidRPr="00EE08A5">
        <w:t xml:space="preserve"> Representa el estado actual de la despensa del usuario.</w:t>
      </w:r>
    </w:p>
    <w:p w14:paraId="712F06B7" w14:textId="77777777" w:rsidR="00EE08A5" w:rsidRPr="00EE08A5" w:rsidRDefault="00EE08A5" w:rsidP="00EE08A5">
      <w:pPr>
        <w:numPr>
          <w:ilvl w:val="1"/>
          <w:numId w:val="8"/>
        </w:numPr>
      </w:pPr>
      <w:r w:rsidRPr="00EE08A5">
        <w:rPr>
          <w:i/>
          <w:iCs/>
        </w:rPr>
        <w:t>Esquema Propuesto:</w:t>
      </w:r>
    </w:p>
    <w:p w14:paraId="34219896" w14:textId="77777777" w:rsidR="00EE08A5" w:rsidRPr="00EE08A5" w:rsidRDefault="00EE08A5" w:rsidP="00EE08A5">
      <w:r w:rsidRPr="00EE08A5">
        <w:t>JSON</w:t>
      </w:r>
    </w:p>
    <w:p w14:paraId="07E780F2" w14:textId="77777777" w:rsidR="00EE08A5" w:rsidRPr="00EE08A5" w:rsidRDefault="00EE08A5" w:rsidP="00EE08A5">
      <w:r w:rsidRPr="00EE08A5">
        <w:t>{</w:t>
      </w:r>
    </w:p>
    <w:p w14:paraId="574A7E35" w14:textId="77777777" w:rsidR="00EE08A5" w:rsidRPr="00EE08A5" w:rsidRDefault="00EE08A5" w:rsidP="00EE08A5">
      <w:r w:rsidRPr="00EE08A5">
        <w:t xml:space="preserve">  "_id": ObjectId("..."),</w:t>
      </w:r>
    </w:p>
    <w:p w14:paraId="5FD89D3B" w14:textId="77777777" w:rsidR="00EE08A5" w:rsidRPr="00EE08A5" w:rsidRDefault="00EE08A5" w:rsidP="00EE08A5">
      <w:r w:rsidRPr="00EE08A5">
        <w:t xml:space="preserve">  "user_id": ObjectId("Ref_User"),</w:t>
      </w:r>
    </w:p>
    <w:p w14:paraId="1414C271" w14:textId="77777777" w:rsidR="00EE08A5" w:rsidRPr="00EE08A5" w:rsidRDefault="00EE08A5" w:rsidP="00EE08A5">
      <w:r w:rsidRPr="00EE08A5">
        <w:t xml:space="preserve">  "product_normalized_id": ObjectId("Ref_MasterProduct"),</w:t>
      </w:r>
    </w:p>
    <w:p w14:paraId="7B743300" w14:textId="77777777" w:rsidR="00EE08A5" w:rsidRPr="00EE08A5" w:rsidRDefault="00EE08A5" w:rsidP="00EE08A5">
      <w:r w:rsidRPr="00EE08A5">
        <w:t xml:space="preserve">  "raw_name": "LECHE SEMI HACENDADO",</w:t>
      </w:r>
    </w:p>
    <w:p w14:paraId="33D591EB" w14:textId="77777777" w:rsidR="00EE08A5" w:rsidRPr="00EE08A5" w:rsidRDefault="00EE08A5" w:rsidP="00EE08A5">
      <w:r w:rsidRPr="00EE08A5">
        <w:t xml:space="preserve">  "quantity": 2,</w:t>
      </w:r>
    </w:p>
    <w:p w14:paraId="234BB539" w14:textId="77777777" w:rsidR="00EE08A5" w:rsidRPr="00EE08A5" w:rsidRDefault="00EE08A5" w:rsidP="00EE08A5">
      <w:r w:rsidRPr="00EE08A5">
        <w:t xml:space="preserve">  "unit": "unit",</w:t>
      </w:r>
    </w:p>
    <w:p w14:paraId="2A73FECF" w14:textId="77777777" w:rsidR="00EE08A5" w:rsidRPr="00EE08A5" w:rsidRDefault="00EE08A5" w:rsidP="00EE08A5">
      <w:r w:rsidRPr="00EE08A5">
        <w:t xml:space="preserve">  "purchase_date": ISODate("2025-01-12"),</w:t>
      </w:r>
    </w:p>
    <w:p w14:paraId="3F032065" w14:textId="77777777" w:rsidR="00EE08A5" w:rsidRPr="00EE08A5" w:rsidRDefault="00EE08A5" w:rsidP="00EE08A5">
      <w:r w:rsidRPr="00EE08A5">
        <w:t xml:space="preserve">  "expiration_date_est": ISODate("2025-01-20"),</w:t>
      </w:r>
    </w:p>
    <w:p w14:paraId="75FE8A52" w14:textId="77777777" w:rsidR="00EE08A5" w:rsidRPr="00EE08A5" w:rsidRDefault="00EE08A5" w:rsidP="00EE08A5">
      <w:r w:rsidRPr="00EE08A5">
        <w:t xml:space="preserve">  "status": "active", // active, consumed, trashed</w:t>
      </w:r>
    </w:p>
    <w:p w14:paraId="410D5E81" w14:textId="77777777" w:rsidR="00EE08A5" w:rsidRPr="00EE08A5" w:rsidRDefault="00EE08A5" w:rsidP="00EE08A5">
      <w:r w:rsidRPr="00EE08A5">
        <w:t xml:space="preserve">  "nutrition_score": "A"</w:t>
      </w:r>
    </w:p>
    <w:p w14:paraId="38EF584D" w14:textId="77777777" w:rsidR="00EE08A5" w:rsidRPr="00EE08A5" w:rsidRDefault="00EE08A5" w:rsidP="00EE08A5">
      <w:r w:rsidRPr="00EE08A5">
        <w:t>}</w:t>
      </w:r>
    </w:p>
    <w:p w14:paraId="511B48DB" w14:textId="77777777" w:rsidR="00EE08A5" w:rsidRPr="00EE08A5" w:rsidRDefault="00EE08A5" w:rsidP="00EE08A5">
      <w:pPr>
        <w:numPr>
          <w:ilvl w:val="1"/>
          <w:numId w:val="8"/>
        </w:numPr>
      </w:pPr>
      <w:r w:rsidRPr="00EE08A5">
        <w:rPr>
          <w:i/>
          <w:iCs/>
        </w:rPr>
        <w:t>Índices:</w:t>
      </w:r>
      <w:r w:rsidRPr="00EE08A5">
        <w:t xml:space="preserve"> { user_id: 1, status: 1 } para consultas rápidas tipo "Muéstrame mi comida activa".</w:t>
      </w:r>
    </w:p>
    <w:p w14:paraId="1EC6CCF5" w14:textId="77777777" w:rsidR="00EE08A5" w:rsidRPr="00EE08A5" w:rsidRDefault="00EE08A5" w:rsidP="00EE08A5">
      <w:pPr>
        <w:rPr>
          <w:b/>
          <w:bCs/>
        </w:rPr>
      </w:pPr>
      <w:r w:rsidRPr="00EE08A5">
        <w:rPr>
          <w:b/>
          <w:bCs/>
        </w:rPr>
        <w:t>4.1.2. Capa Analítica (Data Lakehouse)</w:t>
      </w:r>
    </w:p>
    <w:p w14:paraId="4BB18CD9" w14:textId="77777777" w:rsidR="00EE08A5" w:rsidRPr="00EE08A5" w:rsidRDefault="00EE08A5" w:rsidP="00EE08A5">
      <w:r w:rsidRPr="00EE08A5">
        <w:t xml:space="preserve">Esta capa está diseñada para la venta de datos. Los datos fluyen aquí de manera asíncrona y, crucialmente, </w:t>
      </w:r>
      <w:r w:rsidRPr="00EE08A5">
        <w:rPr>
          <w:b/>
          <w:bCs/>
        </w:rPr>
        <w:t>anonimizada</w:t>
      </w:r>
      <w:r w:rsidRPr="00EE08A5">
        <w:t>.</w:t>
      </w:r>
    </w:p>
    <w:p w14:paraId="7575435C" w14:textId="77777777" w:rsidR="00EE08A5" w:rsidRPr="00EE08A5" w:rsidRDefault="00EE08A5" w:rsidP="00EE08A5">
      <w:r w:rsidRPr="00EE08A5">
        <w:t>Patrón de Series Temporales (Time Series Collections):</w:t>
      </w:r>
    </w:p>
    <w:p w14:paraId="2EA61B28" w14:textId="77777777" w:rsidR="00EE08A5" w:rsidRPr="00EE08A5" w:rsidRDefault="00EE08A5" w:rsidP="00EE08A5">
      <w:r w:rsidRPr="00EE08A5">
        <w:t>MongoDB ofrece colecciones nativas de series temporales, ideales para registrar transacciones de venta de manera eficiente.31</w:t>
      </w:r>
    </w:p>
    <w:p w14:paraId="356C9563" w14:textId="77777777" w:rsidR="00EE08A5" w:rsidRPr="00EE08A5" w:rsidRDefault="00EE08A5" w:rsidP="00EE08A5">
      <w:pPr>
        <w:numPr>
          <w:ilvl w:val="0"/>
          <w:numId w:val="9"/>
        </w:numPr>
      </w:pPr>
      <w:r w:rsidRPr="00EE08A5">
        <w:rPr>
          <w:b/>
          <w:bCs/>
        </w:rPr>
        <w:t>Colección market_transactions:</w:t>
      </w:r>
    </w:p>
    <w:p w14:paraId="21ABD839" w14:textId="77777777" w:rsidR="00EE08A5" w:rsidRPr="00EE08A5" w:rsidRDefault="00EE08A5" w:rsidP="00EE08A5">
      <w:pPr>
        <w:numPr>
          <w:ilvl w:val="1"/>
          <w:numId w:val="9"/>
        </w:numPr>
      </w:pPr>
      <w:r w:rsidRPr="00EE08A5">
        <w:rPr>
          <w:b/>
          <w:bCs/>
        </w:rPr>
        <w:lastRenderedPageBreak/>
        <w:t>timeField:</w:t>
      </w:r>
      <w:r w:rsidRPr="00EE08A5">
        <w:t xml:space="preserve"> transaction_timestamp</w:t>
      </w:r>
    </w:p>
    <w:p w14:paraId="5892D3B4" w14:textId="77777777" w:rsidR="00EE08A5" w:rsidRPr="00EE08A5" w:rsidRDefault="00EE08A5" w:rsidP="00EE08A5">
      <w:pPr>
        <w:numPr>
          <w:ilvl w:val="1"/>
          <w:numId w:val="9"/>
        </w:numPr>
      </w:pPr>
      <w:r w:rsidRPr="00EE08A5">
        <w:rPr>
          <w:b/>
          <w:bCs/>
        </w:rPr>
        <w:t>metaField:</w:t>
      </w:r>
      <w:r w:rsidRPr="00EE08A5">
        <w:t xml:space="preserve"> metadata (Contiene datos de segmentación: Código Postal, Cadena de Supermercado, Categoría del Producto).</w:t>
      </w:r>
    </w:p>
    <w:p w14:paraId="13D087CB" w14:textId="77777777" w:rsidR="00EE08A5" w:rsidRPr="00EE08A5" w:rsidRDefault="00EE08A5" w:rsidP="00EE08A5">
      <w:pPr>
        <w:numPr>
          <w:ilvl w:val="1"/>
          <w:numId w:val="9"/>
        </w:numPr>
      </w:pPr>
      <w:r w:rsidRPr="00EE08A5">
        <w:rPr>
          <w:b/>
          <w:bCs/>
        </w:rPr>
        <w:t>granularity:</w:t>
      </w:r>
      <w:r w:rsidRPr="00EE08A5">
        <w:t xml:space="preserve"> seconds.</w:t>
      </w:r>
    </w:p>
    <w:p w14:paraId="41F643B3" w14:textId="77777777" w:rsidR="00EE08A5" w:rsidRPr="00EE08A5" w:rsidRDefault="00EE08A5" w:rsidP="00EE08A5">
      <w:pPr>
        <w:numPr>
          <w:ilvl w:val="1"/>
          <w:numId w:val="9"/>
        </w:numPr>
      </w:pPr>
      <w:r w:rsidRPr="00EE08A5">
        <w:rPr>
          <w:i/>
          <w:iCs/>
        </w:rPr>
        <w:t>Esquema:</w:t>
      </w:r>
    </w:p>
    <w:p w14:paraId="1F8FF269" w14:textId="77777777" w:rsidR="00EE08A5" w:rsidRPr="00EE08A5" w:rsidRDefault="00EE08A5" w:rsidP="00EE08A5">
      <w:r w:rsidRPr="00EE08A5">
        <w:t>JSON</w:t>
      </w:r>
    </w:p>
    <w:p w14:paraId="70536B73" w14:textId="77777777" w:rsidR="00EE08A5" w:rsidRPr="00EE08A5" w:rsidRDefault="00EE08A5" w:rsidP="00EE08A5">
      <w:r w:rsidRPr="00EE08A5">
        <w:t>{</w:t>
      </w:r>
    </w:p>
    <w:p w14:paraId="4B4E1BA7" w14:textId="77777777" w:rsidR="00EE08A5" w:rsidRPr="00EE08A5" w:rsidRDefault="00EE08A5" w:rsidP="00EE08A5">
      <w:r w:rsidRPr="00EE08A5">
        <w:t xml:space="preserve">  "transaction_timestamp": ISODate("2025-01-12T10:00:00Z"),</w:t>
      </w:r>
    </w:p>
    <w:p w14:paraId="0E87BFB2" w14:textId="77777777" w:rsidR="00EE08A5" w:rsidRPr="00EE08A5" w:rsidRDefault="00EE08A5" w:rsidP="00EE08A5">
      <w:r w:rsidRPr="00EE08A5">
        <w:t xml:space="preserve">  "metadata": {</w:t>
      </w:r>
    </w:p>
    <w:p w14:paraId="08D1C3F8" w14:textId="77777777" w:rsidR="00EE08A5" w:rsidRPr="00EE08A5" w:rsidRDefault="00EE08A5" w:rsidP="00EE08A5">
      <w:r w:rsidRPr="00EE08A5">
        <w:t xml:space="preserve">    "store": "Mercadona",</w:t>
      </w:r>
    </w:p>
    <w:p w14:paraId="7257AC53" w14:textId="77777777" w:rsidR="00EE08A5" w:rsidRPr="00EE08A5" w:rsidRDefault="00EE08A5" w:rsidP="00EE08A5">
      <w:r w:rsidRPr="00EE08A5">
        <w:t xml:space="preserve">    "postal_code": "28001",</w:t>
      </w:r>
    </w:p>
    <w:p w14:paraId="287AE4F0" w14:textId="77777777" w:rsidR="00EE08A5" w:rsidRPr="00EE08A5" w:rsidRDefault="00EE08A5" w:rsidP="00EE08A5">
      <w:r w:rsidRPr="00EE08A5">
        <w:t xml:space="preserve">    "product_id": "HASH_12345",</w:t>
      </w:r>
    </w:p>
    <w:p w14:paraId="0DAD9D89" w14:textId="77777777" w:rsidR="00EE08A5" w:rsidRPr="00EE08A5" w:rsidRDefault="00EE08A5" w:rsidP="00EE08A5">
      <w:r w:rsidRPr="00EE08A5">
        <w:t xml:space="preserve">    "brand": "Hacendado"</w:t>
      </w:r>
    </w:p>
    <w:p w14:paraId="58815C25" w14:textId="77777777" w:rsidR="00EE08A5" w:rsidRPr="00EE08A5" w:rsidRDefault="00EE08A5" w:rsidP="00EE08A5">
      <w:r w:rsidRPr="00EE08A5">
        <w:t xml:space="preserve">  },</w:t>
      </w:r>
    </w:p>
    <w:p w14:paraId="75B8ED4D" w14:textId="77777777" w:rsidR="00EE08A5" w:rsidRPr="00EE08A5" w:rsidRDefault="00EE08A5" w:rsidP="00EE08A5">
      <w:r w:rsidRPr="00EE08A5">
        <w:t xml:space="preserve">  "price": 0.95,</w:t>
      </w:r>
    </w:p>
    <w:p w14:paraId="52749876" w14:textId="77777777" w:rsidR="00EE08A5" w:rsidRPr="00EE08A5" w:rsidRDefault="00EE08A5" w:rsidP="00EE08A5">
      <w:r w:rsidRPr="00EE08A5">
        <w:t xml:space="preserve">  "quantity": 1,</w:t>
      </w:r>
    </w:p>
    <w:p w14:paraId="5E09B983" w14:textId="77777777" w:rsidR="00EE08A5" w:rsidRPr="00EE08A5" w:rsidRDefault="00EE08A5" w:rsidP="00EE08A5">
      <w:r w:rsidRPr="00EE08A5">
        <w:t xml:space="preserve">  "promotion_applied": false</w:t>
      </w:r>
    </w:p>
    <w:p w14:paraId="361EBDD8" w14:textId="77777777" w:rsidR="00EE08A5" w:rsidRPr="00EE08A5" w:rsidRDefault="00EE08A5" w:rsidP="00EE08A5">
      <w:r w:rsidRPr="00EE08A5">
        <w:t>}</w:t>
      </w:r>
    </w:p>
    <w:p w14:paraId="5465C67C" w14:textId="77777777" w:rsidR="00EE08A5" w:rsidRPr="00EE08A5" w:rsidRDefault="00EE08A5" w:rsidP="00EE08A5">
      <w:pPr>
        <w:numPr>
          <w:ilvl w:val="1"/>
          <w:numId w:val="9"/>
        </w:numPr>
      </w:pPr>
      <w:r w:rsidRPr="00EE08A5">
        <w:rPr>
          <w:b/>
          <w:bCs/>
        </w:rPr>
        <w:t>Ventaja:</w:t>
      </w:r>
      <w:r w:rsidRPr="00EE08A5">
        <w:t xml:space="preserve"> Este formato comprime los datos enormemente y acelera las agregaciones masivas (e.g., "Precio medio de la leche en Madrid en Enero").</w:t>
      </w:r>
    </w:p>
    <w:p w14:paraId="5F7C53AB" w14:textId="77777777" w:rsidR="00EE08A5" w:rsidRPr="00EE08A5" w:rsidRDefault="00EE08A5" w:rsidP="00EE08A5">
      <w:r w:rsidRPr="00EE08A5">
        <w:t>Patrón de "Bucket" para Historiales:</w:t>
      </w:r>
    </w:p>
    <w:p w14:paraId="3FA2B20B" w14:textId="77777777" w:rsidR="00EE08A5" w:rsidRPr="00EE08A5" w:rsidRDefault="00EE08A5" w:rsidP="00EE08A5">
      <w:r w:rsidRPr="00EE08A5">
        <w:t>Para análisis de comportamiento de usuario (Brand Switching) sin comprometer la privacidad individual, se utiliza el Bucket Pattern.33</w:t>
      </w:r>
    </w:p>
    <w:p w14:paraId="5F95318D" w14:textId="77777777" w:rsidR="00EE08A5" w:rsidRPr="00EE08A5" w:rsidRDefault="00EE08A5" w:rsidP="00EE08A5">
      <w:pPr>
        <w:numPr>
          <w:ilvl w:val="0"/>
          <w:numId w:val="10"/>
        </w:numPr>
      </w:pPr>
      <w:r w:rsidRPr="00EE08A5">
        <w:t>Se agrupan todas las compras de un usuario anónimo (identificado por un hash rotativo) en documentos mensuales. Esto reduce el número de documentos y facilita la lectura secuencial de la historia de compra de un perfil anónimo.</w:t>
      </w:r>
    </w:p>
    <w:p w14:paraId="799ADB17" w14:textId="77777777" w:rsidR="00EE08A5" w:rsidRPr="00EE08A5" w:rsidRDefault="00EE08A5" w:rsidP="00EE08A5">
      <w:pPr>
        <w:rPr>
          <w:b/>
          <w:bCs/>
        </w:rPr>
      </w:pPr>
      <w:r w:rsidRPr="00EE08A5">
        <w:rPr>
          <w:b/>
          <w:bCs/>
        </w:rPr>
        <w:t>4.2. Estrategia de Índices y Escalabilidad</w:t>
      </w:r>
    </w:p>
    <w:p w14:paraId="44D3FEA3" w14:textId="77777777" w:rsidR="00EE08A5" w:rsidRPr="00EE08A5" w:rsidRDefault="00EE08A5" w:rsidP="00EE08A5">
      <w:pPr>
        <w:numPr>
          <w:ilvl w:val="0"/>
          <w:numId w:val="11"/>
        </w:numPr>
      </w:pPr>
      <w:r w:rsidRPr="00EE08A5">
        <w:rPr>
          <w:b/>
          <w:bCs/>
        </w:rPr>
        <w:t>Sharding:</w:t>
      </w:r>
      <w:r w:rsidRPr="00EE08A5">
        <w:t xml:space="preserve"> A medida que la base de datos analítica crezca (Big Data), se implementará </w:t>
      </w:r>
      <w:r w:rsidRPr="00EE08A5">
        <w:rPr>
          <w:i/>
          <w:iCs/>
        </w:rPr>
        <w:t>Sharding</w:t>
      </w:r>
      <w:r w:rsidRPr="00EE08A5">
        <w:t xml:space="preserve"> (fragmentación) basado en la clave </w:t>
      </w:r>
      <w:r w:rsidRPr="00EE08A5">
        <w:lastRenderedPageBreak/>
        <w:t>metadata.postal_code o transaction_timestamp para distribuir la carga entre múltiples servidores.</w:t>
      </w:r>
      <w:r w:rsidRPr="00EE08A5">
        <w:rPr>
          <w:vertAlign w:val="superscript"/>
        </w:rPr>
        <w:t>29</w:t>
      </w:r>
    </w:p>
    <w:p w14:paraId="13DC81AB" w14:textId="77777777" w:rsidR="00EE08A5" w:rsidRPr="00EE08A5" w:rsidRDefault="00EE08A5" w:rsidP="00EE08A5">
      <w:pPr>
        <w:numPr>
          <w:ilvl w:val="0"/>
          <w:numId w:val="11"/>
        </w:numPr>
      </w:pPr>
      <w:r w:rsidRPr="00EE08A5">
        <w:rPr>
          <w:b/>
          <w:bCs/>
        </w:rPr>
        <w:t>Atlas Search:</w:t>
      </w:r>
      <w:r w:rsidRPr="00EE08A5">
        <w:t xml:space="preserve"> Para la búsqueda de productos dentro de la app (e.g., añadir manualmente "Tomates"), se utilizará MongoDB Atlas Search (basado en Lucene), que permite búsqueda de texto completo y autocompletado con soporte para errores tipográficos (fuzzy search).</w:t>
      </w:r>
      <w:r w:rsidRPr="00EE08A5">
        <w:rPr>
          <w:vertAlign w:val="superscript"/>
        </w:rPr>
        <w:t>35</w:t>
      </w:r>
    </w:p>
    <w:p w14:paraId="0D67376B" w14:textId="77777777" w:rsidR="00EE08A5" w:rsidRPr="00EE08A5" w:rsidRDefault="00EE08A5" w:rsidP="00EE08A5">
      <w:r w:rsidRPr="00EE08A5">
        <w:pict w14:anchorId="0536009A">
          <v:rect id="_x0000_i1064" style="width:0;height:1.5pt" o:hralign="center" o:hrstd="t" o:hr="t" fillcolor="#a0a0a0" stroked="f"/>
        </w:pict>
      </w:r>
    </w:p>
    <w:p w14:paraId="4BC5C37C" w14:textId="77777777" w:rsidR="00EE08A5" w:rsidRPr="00EE08A5" w:rsidRDefault="00EE08A5" w:rsidP="00EE08A5">
      <w:pPr>
        <w:rPr>
          <w:b/>
          <w:bCs/>
        </w:rPr>
      </w:pPr>
      <w:r w:rsidRPr="00EE08A5">
        <w:rPr>
          <w:b/>
          <w:bCs/>
        </w:rPr>
        <w:t>5. Inteligencia Artificial Generativa y Sistemas Cognitivos</w:t>
      </w:r>
    </w:p>
    <w:p w14:paraId="7CE94E0D" w14:textId="77777777" w:rsidR="00EE08A5" w:rsidRPr="00EE08A5" w:rsidRDefault="00EE08A5" w:rsidP="00EE08A5">
      <w:r w:rsidRPr="00EE08A5">
        <w:t xml:space="preserve">La inclusión de un "chatbot de recetas" eleva la aplicación de una herramienta pasiva a un asistente activo. La implementación utilizará arquitecturas de </w:t>
      </w:r>
      <w:r w:rsidRPr="00EE08A5">
        <w:rPr>
          <w:b/>
          <w:bCs/>
        </w:rPr>
        <w:t>Generación Aumentada por Recuperación (RAG)</w:t>
      </w:r>
      <w:r w:rsidRPr="00EE08A5">
        <w:t xml:space="preserve"> para garantizar que las sugerencias sean relevantes y factibles con el inventario disponible.</w:t>
      </w:r>
    </w:p>
    <w:p w14:paraId="1D64390B" w14:textId="77777777" w:rsidR="00EE08A5" w:rsidRPr="00EE08A5" w:rsidRDefault="00EE08A5" w:rsidP="00EE08A5">
      <w:pPr>
        <w:rPr>
          <w:b/>
          <w:bCs/>
        </w:rPr>
      </w:pPr>
      <w:r w:rsidRPr="00EE08A5">
        <w:rPr>
          <w:b/>
          <w:bCs/>
        </w:rPr>
        <w:t>5.1. Arquitectura RAG (Retrieval-Augmented Generation)</w:t>
      </w:r>
    </w:p>
    <w:p w14:paraId="28ED1943" w14:textId="77777777" w:rsidR="00EE08A5" w:rsidRPr="00EE08A5" w:rsidRDefault="00EE08A5" w:rsidP="00EE08A5">
      <w:r w:rsidRPr="00EE08A5">
        <w:t>Los Modelos de Lenguaje Grande (LLMs) genéricos pueden alucinar recetas o sugerir ingredientes que el usuario no tiene. RAG soluciona esto inyectando contexto real en el prompt.</w:t>
      </w:r>
      <w:r w:rsidRPr="00EE08A5">
        <w:rPr>
          <w:vertAlign w:val="superscript"/>
        </w:rPr>
        <w:t>36</w:t>
      </w:r>
    </w:p>
    <w:p w14:paraId="2AEEF702" w14:textId="77777777" w:rsidR="00EE08A5" w:rsidRPr="00EE08A5" w:rsidRDefault="00EE08A5" w:rsidP="00EE08A5">
      <w:pPr>
        <w:numPr>
          <w:ilvl w:val="0"/>
          <w:numId w:val="12"/>
        </w:numPr>
      </w:pPr>
      <w:r w:rsidRPr="00EE08A5">
        <w:rPr>
          <w:b/>
          <w:bCs/>
        </w:rPr>
        <w:t>Vector Store en MongoDB:</w:t>
      </w:r>
    </w:p>
    <w:p w14:paraId="2C86CF22" w14:textId="77777777" w:rsidR="00EE08A5" w:rsidRPr="00EE08A5" w:rsidRDefault="00EE08A5" w:rsidP="00EE08A5">
      <w:pPr>
        <w:numPr>
          <w:ilvl w:val="1"/>
          <w:numId w:val="12"/>
        </w:numPr>
      </w:pPr>
      <w:r w:rsidRPr="00EE08A5">
        <w:t>Se ingesta una base de conocimiento de recetas culinarias. Cada receta se convierte en un vector (embedding) utilizando modelos como OpenAI text-embedding-3-small o modelos open-source (HuggingFace).</w:t>
      </w:r>
    </w:p>
    <w:p w14:paraId="4AC52929" w14:textId="77777777" w:rsidR="00EE08A5" w:rsidRPr="00EE08A5" w:rsidRDefault="00EE08A5" w:rsidP="00EE08A5">
      <w:pPr>
        <w:numPr>
          <w:ilvl w:val="1"/>
          <w:numId w:val="12"/>
        </w:numPr>
      </w:pPr>
      <w:r w:rsidRPr="00EE08A5">
        <w:t>Estos vectores se almacenan en MongoDB Atlas Vector Search, permitiendo búsquedas semánticas (e.g., buscar "cena ligera" encuentra ensaladas aunque no contengan la palabra "ligera").</w:t>
      </w:r>
      <w:r w:rsidRPr="00EE08A5">
        <w:rPr>
          <w:vertAlign w:val="superscript"/>
        </w:rPr>
        <w:t>35</w:t>
      </w:r>
    </w:p>
    <w:p w14:paraId="08C8F39F" w14:textId="77777777" w:rsidR="00EE08A5" w:rsidRPr="00EE08A5" w:rsidRDefault="00EE08A5" w:rsidP="00EE08A5">
      <w:pPr>
        <w:numPr>
          <w:ilvl w:val="0"/>
          <w:numId w:val="12"/>
        </w:numPr>
      </w:pPr>
      <w:r w:rsidRPr="00EE08A5">
        <w:rPr>
          <w:b/>
          <w:bCs/>
        </w:rPr>
        <w:t>Flujo de Inferencia:</w:t>
      </w:r>
    </w:p>
    <w:p w14:paraId="2036D98E" w14:textId="77777777" w:rsidR="00EE08A5" w:rsidRPr="00EE08A5" w:rsidRDefault="00EE08A5" w:rsidP="00EE08A5">
      <w:pPr>
        <w:numPr>
          <w:ilvl w:val="1"/>
          <w:numId w:val="12"/>
        </w:numPr>
      </w:pPr>
      <w:r w:rsidRPr="00EE08A5">
        <w:rPr>
          <w:b/>
          <w:bCs/>
        </w:rPr>
        <w:t>Input:</w:t>
      </w:r>
      <w:r w:rsidRPr="00EE08A5">
        <w:t xml:space="preserve"> Usuario pregunta "¿Qué ceno hoy?"</w:t>
      </w:r>
    </w:p>
    <w:p w14:paraId="7344D84D" w14:textId="77777777" w:rsidR="00EE08A5" w:rsidRPr="00EE08A5" w:rsidRDefault="00EE08A5" w:rsidP="00EE08A5">
      <w:pPr>
        <w:numPr>
          <w:ilvl w:val="1"/>
          <w:numId w:val="12"/>
        </w:numPr>
      </w:pPr>
      <w:r w:rsidRPr="00EE08A5">
        <w:rPr>
          <w:b/>
          <w:bCs/>
        </w:rPr>
        <w:t>Recuperación de Inventario:</w:t>
      </w:r>
      <w:r w:rsidRPr="00EE08A5">
        <w:t xml:space="preserve"> El sistema consulta la colección inventory y recupera: [Pollo, Pimientos, Arroz].</w:t>
      </w:r>
    </w:p>
    <w:p w14:paraId="332AF942" w14:textId="77777777" w:rsidR="00EE08A5" w:rsidRPr="00EE08A5" w:rsidRDefault="00EE08A5" w:rsidP="00EE08A5">
      <w:pPr>
        <w:numPr>
          <w:ilvl w:val="1"/>
          <w:numId w:val="12"/>
        </w:numPr>
      </w:pPr>
      <w:r w:rsidRPr="00EE08A5">
        <w:rPr>
          <w:b/>
          <w:bCs/>
        </w:rPr>
        <w:t>Búsqueda Vectorial:</w:t>
      </w:r>
      <w:r w:rsidRPr="00EE08A5">
        <w:t xml:space="preserve"> Se buscan recetas en la base de datos vectorial que tengan alta similitud con los ingredientes disponibles.</w:t>
      </w:r>
    </w:p>
    <w:p w14:paraId="12A9396A" w14:textId="77777777" w:rsidR="00EE08A5" w:rsidRPr="00EE08A5" w:rsidRDefault="00EE08A5" w:rsidP="00EE08A5">
      <w:pPr>
        <w:numPr>
          <w:ilvl w:val="1"/>
          <w:numId w:val="12"/>
        </w:numPr>
      </w:pPr>
      <w:r w:rsidRPr="00EE08A5">
        <w:rPr>
          <w:b/>
          <w:bCs/>
        </w:rPr>
        <w:t>Generación (LLM):</w:t>
      </w:r>
      <w:r w:rsidRPr="00EE08A5">
        <w:t xml:space="preserve"> Se construye un prompt para el LLM (e.g., GPT-4o):</w:t>
      </w:r>
    </w:p>
    <w:p w14:paraId="010C4239" w14:textId="77777777" w:rsidR="00EE08A5" w:rsidRPr="00EE08A5" w:rsidRDefault="00EE08A5" w:rsidP="00EE08A5">
      <w:r w:rsidRPr="00EE08A5">
        <w:t xml:space="preserve">"Eres un chef experto. El usuario tiene ESTOS ingredientes: [Pollo, Pimientos, Arroz]. Aquí tienes 3 recetas posibles recuperadas de la base de datos:. Sugiere </w:t>
      </w:r>
      <w:r w:rsidRPr="00EE08A5">
        <w:lastRenderedPageBreak/>
        <w:t>una receta explicada paso a paso, priorizando el uso de los ingredientes disponibles y sugiriendo sustitutos para lo que falte."</w:t>
      </w:r>
    </w:p>
    <w:p w14:paraId="4E552659" w14:textId="77777777" w:rsidR="00EE08A5" w:rsidRPr="00EE08A5" w:rsidRDefault="00EE08A5" w:rsidP="00EE08A5">
      <w:pPr>
        <w:numPr>
          <w:ilvl w:val="1"/>
          <w:numId w:val="12"/>
        </w:numPr>
      </w:pPr>
      <w:r w:rsidRPr="00EE08A5">
        <w:rPr>
          <w:b/>
          <w:bCs/>
        </w:rPr>
        <w:t>Resultado:</w:t>
      </w:r>
      <w:r w:rsidRPr="00EE08A5">
        <w:t xml:space="preserve"> Una respuesta personalizada y realizable, aumentando la confianza del usuario.</w:t>
      </w:r>
    </w:p>
    <w:p w14:paraId="33AD1387" w14:textId="77777777" w:rsidR="00EE08A5" w:rsidRPr="00EE08A5" w:rsidRDefault="00EE08A5" w:rsidP="00EE08A5">
      <w:pPr>
        <w:rPr>
          <w:b/>
          <w:bCs/>
        </w:rPr>
      </w:pPr>
      <w:r w:rsidRPr="00EE08A5">
        <w:rPr>
          <w:b/>
          <w:bCs/>
        </w:rPr>
        <w:t>5.2. Agentes Inteligentes y Text-to-MQL</w:t>
      </w:r>
    </w:p>
    <w:p w14:paraId="11D2F644" w14:textId="77777777" w:rsidR="00EE08A5" w:rsidRPr="00EE08A5" w:rsidRDefault="00EE08A5" w:rsidP="00EE08A5">
      <w:r w:rsidRPr="00EE08A5">
        <w:t xml:space="preserve">Para consultas analíticas del propio usuario sobre sus gastos (e.g., "¿Cuánto gasté en cerveza el mes pasado?"), se utilizará un enfoque de </w:t>
      </w:r>
      <w:r w:rsidRPr="00EE08A5">
        <w:rPr>
          <w:b/>
          <w:bCs/>
        </w:rPr>
        <w:t>Agentes</w:t>
      </w:r>
      <w:r w:rsidRPr="00EE08A5">
        <w:t xml:space="preserve"> con capacidades </w:t>
      </w:r>
      <w:r w:rsidRPr="00EE08A5">
        <w:rPr>
          <w:b/>
          <w:bCs/>
        </w:rPr>
        <w:t>Text-to-MQL</w:t>
      </w:r>
      <w:r w:rsidRPr="00EE08A5">
        <w:t xml:space="preserve"> (Texto a Lenguaje de Consulta MongoDB).</w:t>
      </w:r>
      <w:r w:rsidRPr="00EE08A5">
        <w:rPr>
          <w:vertAlign w:val="superscript"/>
        </w:rPr>
        <w:t>40</w:t>
      </w:r>
    </w:p>
    <w:p w14:paraId="653E4879" w14:textId="77777777" w:rsidR="00EE08A5" w:rsidRPr="00EE08A5" w:rsidRDefault="00EE08A5" w:rsidP="00EE08A5">
      <w:pPr>
        <w:numPr>
          <w:ilvl w:val="0"/>
          <w:numId w:val="13"/>
        </w:numPr>
      </w:pPr>
      <w:r w:rsidRPr="00EE08A5">
        <w:rPr>
          <w:b/>
          <w:bCs/>
        </w:rPr>
        <w:t>Implementación con LangChain:</w:t>
      </w:r>
      <w:r w:rsidRPr="00EE08A5">
        <w:t xml:space="preserve"> Se utiliza el toolkit de MongoDB en LangChain. El LLM recibe el esquema de la base de datos y la pregunta en lenguaje natural.</w:t>
      </w:r>
    </w:p>
    <w:p w14:paraId="216F2586" w14:textId="77777777" w:rsidR="00EE08A5" w:rsidRPr="00EE08A5" w:rsidRDefault="00EE08A5" w:rsidP="00EE08A5">
      <w:pPr>
        <w:numPr>
          <w:ilvl w:val="0"/>
          <w:numId w:val="13"/>
        </w:numPr>
      </w:pPr>
      <w:r w:rsidRPr="00EE08A5">
        <w:rPr>
          <w:b/>
          <w:bCs/>
        </w:rPr>
        <w:t>Traducción:</w:t>
      </w:r>
      <w:r w:rsidRPr="00EE08A5">
        <w:t xml:space="preserve"> El modelo genera la sintaxis de agregación de MongoDB (db.collection.aggregate(...)) correspondiente a la pregunta.</w:t>
      </w:r>
    </w:p>
    <w:p w14:paraId="3FFF37CF" w14:textId="77777777" w:rsidR="00EE08A5" w:rsidRPr="00EE08A5" w:rsidRDefault="00EE08A5" w:rsidP="00EE08A5">
      <w:pPr>
        <w:numPr>
          <w:ilvl w:val="0"/>
          <w:numId w:val="13"/>
        </w:numPr>
      </w:pPr>
      <w:r w:rsidRPr="00EE08A5">
        <w:rPr>
          <w:b/>
          <w:bCs/>
        </w:rPr>
        <w:t>Ejecución y Respuesta:</w:t>
      </w:r>
      <w:r w:rsidRPr="00EE08A5">
        <w:t xml:space="preserve"> El agente ejecuta la consulta de forma segura (solo lectura) y traduce el resultado numérico (JSON) a una respuesta explicativa en lenguaje natural.</w:t>
      </w:r>
    </w:p>
    <w:p w14:paraId="3D0CC788" w14:textId="77777777" w:rsidR="00EE08A5" w:rsidRPr="00EE08A5" w:rsidRDefault="00EE08A5" w:rsidP="00EE08A5">
      <w:r w:rsidRPr="00EE08A5">
        <w:pict w14:anchorId="03C1D044">
          <v:rect id="_x0000_i1065" style="width:0;height:1.5pt" o:hralign="center" o:hrstd="t" o:hr="t" fillcolor="#a0a0a0" stroked="f"/>
        </w:pict>
      </w:r>
    </w:p>
    <w:p w14:paraId="2E4F8340" w14:textId="77777777" w:rsidR="00EE08A5" w:rsidRPr="00EE08A5" w:rsidRDefault="00EE08A5" w:rsidP="00EE08A5">
      <w:pPr>
        <w:rPr>
          <w:b/>
          <w:bCs/>
        </w:rPr>
      </w:pPr>
      <w:r w:rsidRPr="00EE08A5">
        <w:rPr>
          <w:b/>
          <w:bCs/>
        </w:rPr>
        <w:t>6. Gobernanza del Dato, Privacidad y Marco Legal (RGPD)</w:t>
      </w:r>
    </w:p>
    <w:p w14:paraId="3B6AF5BB" w14:textId="77777777" w:rsidR="00EE08A5" w:rsidRPr="00EE08A5" w:rsidRDefault="00EE08A5" w:rsidP="00EE08A5">
      <w:r w:rsidRPr="00EE08A5">
        <w:t>Dado que el modelo de negocio implica la venta de insights derivados de datos de consumo, el cumplimiento del Reglamento General de Protección de Datos (RGPD) es el pilar fundamental de la operación, especialmente en España.</w:t>
      </w:r>
      <w:r w:rsidRPr="00EE08A5">
        <w:rPr>
          <w:vertAlign w:val="superscript"/>
        </w:rPr>
        <w:t>43</w:t>
      </w:r>
    </w:p>
    <w:p w14:paraId="1161EBB7" w14:textId="77777777" w:rsidR="00EE08A5" w:rsidRPr="00EE08A5" w:rsidRDefault="00EE08A5" w:rsidP="00EE08A5">
      <w:pPr>
        <w:rPr>
          <w:b/>
          <w:bCs/>
        </w:rPr>
      </w:pPr>
      <w:r w:rsidRPr="00EE08A5">
        <w:rPr>
          <w:b/>
          <w:bCs/>
        </w:rPr>
        <w:t>6.1. Anonimización vs. Seudonimización</w:t>
      </w:r>
    </w:p>
    <w:p w14:paraId="749C8AB8" w14:textId="77777777" w:rsidR="00EE08A5" w:rsidRPr="00EE08A5" w:rsidRDefault="00EE08A5" w:rsidP="00EE08A5">
      <w:r w:rsidRPr="00EE08A5">
        <w:t>Es vital distinguir entre estos dos conceptos para la comercialización de datos.</w:t>
      </w:r>
    </w:p>
    <w:p w14:paraId="34829A5F" w14:textId="77777777" w:rsidR="00EE08A5" w:rsidRPr="00EE08A5" w:rsidRDefault="00EE08A5" w:rsidP="00EE08A5">
      <w:pPr>
        <w:numPr>
          <w:ilvl w:val="0"/>
          <w:numId w:val="14"/>
        </w:numPr>
      </w:pPr>
      <w:r w:rsidRPr="00EE08A5">
        <w:rPr>
          <w:b/>
          <w:bCs/>
        </w:rPr>
        <w:t>Datos Operativos (Seudonimizados):</w:t>
      </w:r>
      <w:r w:rsidRPr="00EE08A5">
        <w:t xml:space="preserve"> En la app, los datos están vinculados a un user_id. Aunque separados de los datos de registro (email, nombre), son re-identificables y por tanto, datos personales sujetos a RGPD.</w:t>
      </w:r>
    </w:p>
    <w:p w14:paraId="11690D26" w14:textId="77777777" w:rsidR="00EE08A5" w:rsidRPr="00EE08A5" w:rsidRDefault="00EE08A5" w:rsidP="00EE08A5">
      <w:pPr>
        <w:numPr>
          <w:ilvl w:val="0"/>
          <w:numId w:val="14"/>
        </w:numPr>
      </w:pPr>
      <w:r w:rsidRPr="00EE08A5">
        <w:rPr>
          <w:b/>
          <w:bCs/>
        </w:rPr>
        <w:t>Datos Comerciales (Anonimizados):</w:t>
      </w:r>
      <w:r w:rsidRPr="00EE08A5">
        <w:t xml:space="preserve"> Para vender los datos, deben romperse todos los vínculos con la identidad original de manera irreversible. La AEPD exige garantías de que el riesgo de re-identificación es despreciable.</w:t>
      </w:r>
      <w:r w:rsidRPr="00EE08A5">
        <w:rPr>
          <w:vertAlign w:val="superscript"/>
        </w:rPr>
        <w:t>46</w:t>
      </w:r>
    </w:p>
    <w:p w14:paraId="062A2E18" w14:textId="77777777" w:rsidR="00EE08A5" w:rsidRPr="00EE08A5" w:rsidRDefault="00EE08A5" w:rsidP="00EE08A5">
      <w:pPr>
        <w:rPr>
          <w:b/>
          <w:bCs/>
        </w:rPr>
      </w:pPr>
      <w:r w:rsidRPr="00EE08A5">
        <w:rPr>
          <w:b/>
          <w:bCs/>
        </w:rPr>
        <w:t>6.2. Técnicas de Anonimización Implementadas</w:t>
      </w:r>
    </w:p>
    <w:p w14:paraId="1B37068B" w14:textId="77777777" w:rsidR="00EE08A5" w:rsidRPr="00EE08A5" w:rsidRDefault="00EE08A5" w:rsidP="00EE08A5">
      <w:r w:rsidRPr="00EE08A5">
        <w:t xml:space="preserve">Para la capa analítica (analytics_sales), se aplicarán las siguientes técnicas antes de que los datos aterricen en el Data Lake </w:t>
      </w:r>
      <w:r w:rsidRPr="00EE08A5">
        <w:rPr>
          <w:vertAlign w:val="superscript"/>
        </w:rPr>
        <w:t>45</w:t>
      </w:r>
      <w:r w:rsidRPr="00EE08A5">
        <w:t>:</w:t>
      </w:r>
    </w:p>
    <w:p w14:paraId="2902C256" w14:textId="77777777" w:rsidR="00EE08A5" w:rsidRPr="00EE08A5" w:rsidRDefault="00EE08A5" w:rsidP="00EE08A5">
      <w:pPr>
        <w:numPr>
          <w:ilvl w:val="0"/>
          <w:numId w:val="15"/>
        </w:numPr>
      </w:pPr>
      <w:r w:rsidRPr="00EE08A5">
        <w:rPr>
          <w:b/>
          <w:bCs/>
        </w:rPr>
        <w:lastRenderedPageBreak/>
        <w:t>Supresión:</w:t>
      </w:r>
      <w:r w:rsidRPr="00EE08A5">
        <w:t xml:space="preserve"> Eliminación total de identificadores directos (ID de usuario, ID de dispositivo, ID de transacción original).</w:t>
      </w:r>
    </w:p>
    <w:p w14:paraId="69E62DCA" w14:textId="77777777" w:rsidR="00EE08A5" w:rsidRPr="00EE08A5" w:rsidRDefault="00EE08A5" w:rsidP="00EE08A5">
      <w:pPr>
        <w:numPr>
          <w:ilvl w:val="0"/>
          <w:numId w:val="15"/>
        </w:numPr>
      </w:pPr>
      <w:r w:rsidRPr="00EE08A5">
        <w:rPr>
          <w:b/>
          <w:bCs/>
        </w:rPr>
        <w:t>Generalización (K-Anonimato):</w:t>
      </w:r>
      <w:r w:rsidRPr="00EE08A5">
        <w:t xml:space="preserve"> Los atributos cuasi-identificadores se generalizan.</w:t>
      </w:r>
    </w:p>
    <w:p w14:paraId="3E778256" w14:textId="77777777" w:rsidR="00EE08A5" w:rsidRPr="00EE08A5" w:rsidRDefault="00EE08A5" w:rsidP="00EE08A5">
      <w:pPr>
        <w:numPr>
          <w:ilvl w:val="1"/>
          <w:numId w:val="15"/>
        </w:numPr>
      </w:pPr>
      <w:r w:rsidRPr="00EE08A5">
        <w:rPr>
          <w:i/>
          <w:iCs/>
        </w:rPr>
        <w:t>Código Postal:</w:t>
      </w:r>
      <w:r w:rsidRPr="00EE08A5">
        <w:t xml:space="preserve"> Se trunca a los primeros 3 dígitos (e.g., 280XX) si la densidad de población es baja.</w:t>
      </w:r>
    </w:p>
    <w:p w14:paraId="09D002EC" w14:textId="77777777" w:rsidR="00EE08A5" w:rsidRPr="00EE08A5" w:rsidRDefault="00EE08A5" w:rsidP="00EE08A5">
      <w:pPr>
        <w:numPr>
          <w:ilvl w:val="1"/>
          <w:numId w:val="15"/>
        </w:numPr>
      </w:pPr>
      <w:r w:rsidRPr="00EE08A5">
        <w:rPr>
          <w:i/>
          <w:iCs/>
        </w:rPr>
        <w:t>Fecha:</w:t>
      </w:r>
      <w:r w:rsidRPr="00EE08A5">
        <w:t xml:space="preserve"> Se redondea a la hora o día, eliminando la marca de tiempo exacta del segundo.</w:t>
      </w:r>
    </w:p>
    <w:p w14:paraId="0C0CDDDF" w14:textId="77777777" w:rsidR="00EE08A5" w:rsidRPr="00EE08A5" w:rsidRDefault="00EE08A5" w:rsidP="00EE08A5">
      <w:pPr>
        <w:numPr>
          <w:ilvl w:val="1"/>
          <w:numId w:val="15"/>
        </w:numPr>
      </w:pPr>
      <w:r w:rsidRPr="00EE08A5">
        <w:rPr>
          <w:i/>
          <w:iCs/>
        </w:rPr>
        <w:t>Objetivo:</w:t>
      </w:r>
      <w:r w:rsidRPr="00EE08A5">
        <w:t xml:space="preserve"> Asegurar que cualquier registro sea indistinguible de al menos </w:t>
      </w:r>
      <w:r w:rsidRPr="00EE08A5">
        <w:rPr>
          <w:i/>
          <w:iCs/>
        </w:rPr>
        <w:t>k</w:t>
      </w:r>
      <w:r w:rsidRPr="00EE08A5">
        <w:t xml:space="preserve"> otros registros (donde k podría ser &gt; 50).</w:t>
      </w:r>
    </w:p>
    <w:p w14:paraId="64A86816" w14:textId="77777777" w:rsidR="00EE08A5" w:rsidRPr="00EE08A5" w:rsidRDefault="00EE08A5" w:rsidP="00EE08A5">
      <w:pPr>
        <w:numPr>
          <w:ilvl w:val="0"/>
          <w:numId w:val="15"/>
        </w:numPr>
      </w:pPr>
      <w:r w:rsidRPr="00EE08A5">
        <w:rPr>
          <w:b/>
          <w:bCs/>
        </w:rPr>
        <w:t>Privacidad Diferencial (Differential Privacy):</w:t>
      </w:r>
      <w:r w:rsidRPr="00EE08A5">
        <w:t xml:space="preserve"> Al generar informes agregados, se inyecta ruido matemático aleatorio (ruido Laplaciano o Gaussiano) en los resultados estadísticos. Esto permite conocer tendencias macro (e.g., "Las ventas subieron un 5%") impidiendo matemáticamente deducir si un individuo específico participó en el dataset.</w:t>
      </w:r>
    </w:p>
    <w:p w14:paraId="2BADF70D" w14:textId="77777777" w:rsidR="00EE08A5" w:rsidRPr="00EE08A5" w:rsidRDefault="00EE08A5" w:rsidP="00EE08A5">
      <w:pPr>
        <w:rPr>
          <w:b/>
          <w:bCs/>
        </w:rPr>
      </w:pPr>
      <w:r w:rsidRPr="00EE08A5">
        <w:rPr>
          <w:b/>
          <w:bCs/>
        </w:rPr>
        <w:t>6.3. Gestión del Consentimiento (Consent Management)</w:t>
      </w:r>
    </w:p>
    <w:p w14:paraId="4BEB6625" w14:textId="77777777" w:rsidR="00EE08A5" w:rsidRPr="00EE08A5" w:rsidRDefault="00EE08A5" w:rsidP="00EE08A5">
      <w:r w:rsidRPr="00EE08A5">
        <w:t>El usuario debe tener control total. La app implementará un CMP (Consent Management Platform) nativo:</w:t>
      </w:r>
    </w:p>
    <w:p w14:paraId="20BA6AAA" w14:textId="77777777" w:rsidR="00EE08A5" w:rsidRPr="00EE08A5" w:rsidRDefault="00EE08A5" w:rsidP="00EE08A5">
      <w:pPr>
        <w:numPr>
          <w:ilvl w:val="0"/>
          <w:numId w:val="16"/>
        </w:numPr>
      </w:pPr>
      <w:r w:rsidRPr="00EE08A5">
        <w:rPr>
          <w:b/>
          <w:bCs/>
        </w:rPr>
        <w:t>Opt-in Granular:</w:t>
      </w:r>
      <w:r w:rsidRPr="00EE08A5">
        <w:t xml:space="preserve"> Consentimiento separado para "Mejorar la app" vs. "Compartir datos anónimos para estudios de mercado".</w:t>
      </w:r>
    </w:p>
    <w:p w14:paraId="2A9AD1B4" w14:textId="77777777" w:rsidR="00EE08A5" w:rsidRPr="00EE08A5" w:rsidRDefault="00EE08A5" w:rsidP="00EE08A5">
      <w:pPr>
        <w:numPr>
          <w:ilvl w:val="0"/>
          <w:numId w:val="16"/>
        </w:numPr>
      </w:pPr>
      <w:r w:rsidRPr="00EE08A5">
        <w:rPr>
          <w:b/>
          <w:bCs/>
        </w:rPr>
        <w:t>Transparencia:</w:t>
      </w:r>
      <w:r w:rsidRPr="00EE08A5">
        <w:t xml:space="preserve"> Explicación clara de que los datos vendidos nunca incluirán información personal y que ayudan a reducir el desperdicio alimentario o mejorar ofertas.</w:t>
      </w:r>
    </w:p>
    <w:p w14:paraId="106BA6FB" w14:textId="77777777" w:rsidR="00EE08A5" w:rsidRPr="00EE08A5" w:rsidRDefault="00EE08A5" w:rsidP="00EE08A5">
      <w:r w:rsidRPr="00EE08A5">
        <w:pict w14:anchorId="3D5F7CA5">
          <v:rect id="_x0000_i1066" style="width:0;height:1.5pt" o:hralign="center" o:hrstd="t" o:hr="t" fillcolor="#a0a0a0" stroked="f"/>
        </w:pict>
      </w:r>
    </w:p>
    <w:p w14:paraId="0CF1B4B1" w14:textId="77777777" w:rsidR="00EE08A5" w:rsidRPr="00EE08A5" w:rsidRDefault="00EE08A5" w:rsidP="00EE08A5">
      <w:pPr>
        <w:rPr>
          <w:b/>
          <w:bCs/>
        </w:rPr>
      </w:pPr>
      <w:r w:rsidRPr="00EE08A5">
        <w:rPr>
          <w:b/>
          <w:bCs/>
        </w:rPr>
        <w:t>7. Infraestructura, Despliegue y Roadmap Técnico</w:t>
      </w:r>
    </w:p>
    <w:p w14:paraId="2FADA50C" w14:textId="77777777" w:rsidR="00EE08A5" w:rsidRPr="00EE08A5" w:rsidRDefault="00EE08A5" w:rsidP="00EE08A5">
      <w:pPr>
        <w:rPr>
          <w:b/>
          <w:bCs/>
        </w:rPr>
      </w:pPr>
      <w:r w:rsidRPr="00EE08A5">
        <w:rPr>
          <w:b/>
          <w:bCs/>
        </w:rPr>
        <w:t>7.1. Arquitectura Cloud (Backend)</w:t>
      </w:r>
    </w:p>
    <w:p w14:paraId="33A1806C" w14:textId="77777777" w:rsidR="00EE08A5" w:rsidRPr="00EE08A5" w:rsidRDefault="00EE08A5" w:rsidP="00EE08A5">
      <w:r w:rsidRPr="00EE08A5">
        <w:t>Se recomienda una arquitectura de microservicios o modular-monolito desplegada en la nube (AWS o Google Cloud).</w:t>
      </w:r>
    </w:p>
    <w:p w14:paraId="55C87883" w14:textId="77777777" w:rsidR="00EE08A5" w:rsidRPr="00EE08A5" w:rsidRDefault="00EE08A5" w:rsidP="00EE08A5">
      <w:pPr>
        <w:numPr>
          <w:ilvl w:val="0"/>
          <w:numId w:val="17"/>
        </w:numPr>
      </w:pPr>
      <w:r w:rsidRPr="00EE08A5">
        <w:rPr>
          <w:b/>
          <w:bCs/>
        </w:rPr>
        <w:t>API Gateway:</w:t>
      </w:r>
      <w:r w:rsidRPr="00EE08A5">
        <w:t xml:space="preserve"> Gestiona la autenticación (JWT), ratelimiting y enrutamiento.</w:t>
      </w:r>
    </w:p>
    <w:p w14:paraId="06C42C29" w14:textId="77777777" w:rsidR="00EE08A5" w:rsidRPr="00EE08A5" w:rsidRDefault="00EE08A5" w:rsidP="00EE08A5">
      <w:pPr>
        <w:numPr>
          <w:ilvl w:val="0"/>
          <w:numId w:val="17"/>
        </w:numPr>
      </w:pPr>
      <w:r w:rsidRPr="00EE08A5">
        <w:rPr>
          <w:b/>
          <w:bCs/>
        </w:rPr>
        <w:t>Servicio de Ingesta:</w:t>
      </w:r>
      <w:r w:rsidRPr="00EE08A5">
        <w:t xml:space="preserve"> Node.js/NestJS. Maneja la subida de imágenes y la comunicación con la API de OCR.</w:t>
      </w:r>
    </w:p>
    <w:p w14:paraId="2EDEC9F5" w14:textId="77777777" w:rsidR="00EE08A5" w:rsidRPr="00EE08A5" w:rsidRDefault="00EE08A5" w:rsidP="00EE08A5">
      <w:pPr>
        <w:numPr>
          <w:ilvl w:val="0"/>
          <w:numId w:val="17"/>
        </w:numPr>
      </w:pPr>
      <w:r w:rsidRPr="00EE08A5">
        <w:rPr>
          <w:b/>
          <w:bCs/>
        </w:rPr>
        <w:lastRenderedPageBreak/>
        <w:t>Servicio de Inventario:</w:t>
      </w:r>
      <w:r w:rsidRPr="00EE08A5">
        <w:t xml:space="preserve"> Gestiona la lógica CRUD de la despensa y alertas de caducidad.</w:t>
      </w:r>
    </w:p>
    <w:p w14:paraId="33F68429" w14:textId="77777777" w:rsidR="00EE08A5" w:rsidRPr="00EE08A5" w:rsidRDefault="00EE08A5" w:rsidP="00EE08A5">
      <w:pPr>
        <w:numPr>
          <w:ilvl w:val="0"/>
          <w:numId w:val="17"/>
        </w:numPr>
      </w:pPr>
      <w:r w:rsidRPr="00EE08A5">
        <w:rPr>
          <w:b/>
          <w:bCs/>
        </w:rPr>
        <w:t>Servicio de IA:</w:t>
      </w:r>
      <w:r w:rsidRPr="00EE08A5">
        <w:t xml:space="preserve"> Python/FastAPI. Aloja la lógica de LangChain y RAG.</w:t>
      </w:r>
    </w:p>
    <w:p w14:paraId="1338EFAA" w14:textId="77777777" w:rsidR="00EE08A5" w:rsidRPr="00EE08A5" w:rsidRDefault="00EE08A5" w:rsidP="00EE08A5">
      <w:pPr>
        <w:numPr>
          <w:ilvl w:val="0"/>
          <w:numId w:val="17"/>
        </w:numPr>
      </w:pPr>
      <w:r w:rsidRPr="00EE08A5">
        <w:rPr>
          <w:b/>
          <w:bCs/>
        </w:rPr>
        <w:t>Base de Datos:</w:t>
      </w:r>
      <w:r w:rsidRPr="00EE08A5">
        <w:t xml:space="preserve"> MongoDB Atlas (gestionado). Configurado con </w:t>
      </w:r>
      <w:r w:rsidRPr="00EE08A5">
        <w:rPr>
          <w:i/>
          <w:iCs/>
        </w:rPr>
        <w:t>VPC Peering</w:t>
      </w:r>
      <w:r w:rsidRPr="00EE08A5">
        <w:t xml:space="preserve"> para máxima seguridad.</w:t>
      </w:r>
    </w:p>
    <w:p w14:paraId="0A4F0D46" w14:textId="77777777" w:rsidR="00EE08A5" w:rsidRPr="00EE08A5" w:rsidRDefault="00EE08A5" w:rsidP="00EE08A5">
      <w:pPr>
        <w:rPr>
          <w:b/>
          <w:bCs/>
        </w:rPr>
      </w:pPr>
      <w:r w:rsidRPr="00EE08A5">
        <w:rPr>
          <w:b/>
          <w:bCs/>
        </w:rPr>
        <w:t>7.2. Pipeline de CI/CD</w:t>
      </w:r>
    </w:p>
    <w:p w14:paraId="15BCF8F8" w14:textId="77777777" w:rsidR="00EE08A5" w:rsidRPr="00EE08A5" w:rsidRDefault="00EE08A5" w:rsidP="00EE08A5">
      <w:r w:rsidRPr="00EE08A5">
        <w:t>Para mantener la calidad del "diseño profesional" y la estabilidad:</w:t>
      </w:r>
    </w:p>
    <w:p w14:paraId="0DA800F6" w14:textId="77777777" w:rsidR="00EE08A5" w:rsidRPr="00EE08A5" w:rsidRDefault="00EE08A5" w:rsidP="00EE08A5">
      <w:pPr>
        <w:numPr>
          <w:ilvl w:val="0"/>
          <w:numId w:val="18"/>
        </w:numPr>
      </w:pPr>
      <w:r w:rsidRPr="00EE08A5">
        <w:rPr>
          <w:b/>
          <w:bCs/>
        </w:rPr>
        <w:t>CI (Integración Continua):</w:t>
      </w:r>
      <w:r w:rsidRPr="00EE08A5">
        <w:t xml:space="preserve"> Pruebas unitarias automáticas en Flutter y Backend. Análisis estático de código (Linters).</w:t>
      </w:r>
    </w:p>
    <w:p w14:paraId="0139A00F" w14:textId="77777777" w:rsidR="00EE08A5" w:rsidRPr="00EE08A5" w:rsidRDefault="00EE08A5" w:rsidP="00EE08A5">
      <w:pPr>
        <w:numPr>
          <w:ilvl w:val="0"/>
          <w:numId w:val="18"/>
        </w:numPr>
      </w:pPr>
      <w:r w:rsidRPr="00EE08A5">
        <w:rPr>
          <w:b/>
          <w:bCs/>
        </w:rPr>
        <w:t>CD (Despliegue Continuo):</w:t>
      </w:r>
      <w:r w:rsidRPr="00EE08A5">
        <w:t xml:space="preserve"> Automatización de lanzamientos a Apple App Store y Google Play Store usando </w:t>
      </w:r>
      <w:r w:rsidRPr="00EE08A5">
        <w:rPr>
          <w:i/>
          <w:iCs/>
        </w:rPr>
        <w:t>Fastlane</w:t>
      </w:r>
      <w:r w:rsidRPr="00EE08A5">
        <w:t>. Despliegue automático del backend a entornos de Staging/Producción mediante GitHub Actions o GitLab CI.</w:t>
      </w:r>
    </w:p>
    <w:p w14:paraId="1ABE05E4" w14:textId="77777777" w:rsidR="00EE08A5" w:rsidRPr="00EE08A5" w:rsidRDefault="00EE08A5" w:rsidP="00EE08A5">
      <w:pPr>
        <w:rPr>
          <w:b/>
          <w:bCs/>
        </w:rPr>
      </w:pPr>
      <w:r w:rsidRPr="00EE08A5">
        <w:rPr>
          <w:b/>
          <w:bCs/>
        </w:rPr>
        <w:t>7.3. Conclusiones y Próximos Pasos</w:t>
      </w:r>
    </w:p>
    <w:p w14:paraId="06F4B647" w14:textId="77777777" w:rsidR="00EE08A5" w:rsidRPr="00EE08A5" w:rsidRDefault="00EE08A5" w:rsidP="00EE08A5">
      <w:r w:rsidRPr="00EE08A5">
        <w:t xml:space="preserve">Este informe valida la viabilidad técnica y comercial de la plataforma propuesta. La combinación de </w:t>
      </w:r>
      <w:r w:rsidRPr="00EE08A5">
        <w:rPr>
          <w:b/>
          <w:bCs/>
        </w:rPr>
        <w:t>Flutter</w:t>
      </w:r>
      <w:r w:rsidRPr="00EE08A5">
        <w:t xml:space="preserve"> para una experiencia de usuario superior, </w:t>
      </w:r>
      <w:r w:rsidRPr="00EE08A5">
        <w:rPr>
          <w:b/>
          <w:bCs/>
        </w:rPr>
        <w:t>OCR especializado</w:t>
      </w:r>
      <w:r w:rsidRPr="00EE08A5">
        <w:t xml:space="preserve"> (Veryfi/Tabscanner) para la precisión del dato, y </w:t>
      </w:r>
      <w:r w:rsidRPr="00EE08A5">
        <w:rPr>
          <w:b/>
          <w:bCs/>
        </w:rPr>
        <w:t>MongoDB</w:t>
      </w:r>
      <w:r w:rsidRPr="00EE08A5">
        <w:t xml:space="preserve"> con una arquitectura de datos segregada, crea una base sólida. La integración de </w:t>
      </w:r>
      <w:r w:rsidRPr="00EE08A5">
        <w:rPr>
          <w:b/>
          <w:bCs/>
        </w:rPr>
        <w:t>IA Generativa (RAG)</w:t>
      </w:r>
      <w:r w:rsidRPr="00EE08A5">
        <w:t xml:space="preserve"> aporta el valor diferencial necesario para retener al usuario, asegurando así el flujo constante de datos necesario para alimentar el negocio B2B de monetización. El éxito dependerá de una ejecución rigurosa en la captura del dato (UX del escáner) y un cumplimiento escrupuloso de la privacidad (RGPD) para generar confianza en el mercado.</w:t>
      </w:r>
    </w:p>
    <w:p w14:paraId="7E38492B" w14:textId="77777777" w:rsidR="00090EBB" w:rsidRDefault="00090EBB"/>
    <w:sectPr w:rsidR="00090E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74D"/>
    <w:multiLevelType w:val="multilevel"/>
    <w:tmpl w:val="89D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12A2"/>
    <w:multiLevelType w:val="multilevel"/>
    <w:tmpl w:val="E55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816"/>
    <w:multiLevelType w:val="multilevel"/>
    <w:tmpl w:val="C36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1413C"/>
    <w:multiLevelType w:val="multilevel"/>
    <w:tmpl w:val="B69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5FEB"/>
    <w:multiLevelType w:val="multilevel"/>
    <w:tmpl w:val="EDF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2B34"/>
    <w:multiLevelType w:val="multilevel"/>
    <w:tmpl w:val="31A27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75423"/>
    <w:multiLevelType w:val="multilevel"/>
    <w:tmpl w:val="F16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20839"/>
    <w:multiLevelType w:val="multilevel"/>
    <w:tmpl w:val="213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96C21"/>
    <w:multiLevelType w:val="multilevel"/>
    <w:tmpl w:val="0C94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7587A"/>
    <w:multiLevelType w:val="multilevel"/>
    <w:tmpl w:val="F4C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153EF"/>
    <w:multiLevelType w:val="multilevel"/>
    <w:tmpl w:val="872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140BD"/>
    <w:multiLevelType w:val="multilevel"/>
    <w:tmpl w:val="C64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47699"/>
    <w:multiLevelType w:val="multilevel"/>
    <w:tmpl w:val="46FC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C2703"/>
    <w:multiLevelType w:val="multilevel"/>
    <w:tmpl w:val="D32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86447"/>
    <w:multiLevelType w:val="multilevel"/>
    <w:tmpl w:val="7E62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32BAF"/>
    <w:multiLevelType w:val="multilevel"/>
    <w:tmpl w:val="3BD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7480E"/>
    <w:multiLevelType w:val="multilevel"/>
    <w:tmpl w:val="15AC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B40365"/>
    <w:multiLevelType w:val="multilevel"/>
    <w:tmpl w:val="B6A0B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177010">
    <w:abstractNumId w:val="0"/>
  </w:num>
  <w:num w:numId="2" w16cid:durableId="1067534137">
    <w:abstractNumId w:val="16"/>
  </w:num>
  <w:num w:numId="3" w16cid:durableId="1841694902">
    <w:abstractNumId w:val="4"/>
  </w:num>
  <w:num w:numId="4" w16cid:durableId="1721903265">
    <w:abstractNumId w:val="13"/>
  </w:num>
  <w:num w:numId="5" w16cid:durableId="7488484">
    <w:abstractNumId w:val="10"/>
  </w:num>
  <w:num w:numId="6" w16cid:durableId="1790512064">
    <w:abstractNumId w:val="7"/>
  </w:num>
  <w:num w:numId="7" w16cid:durableId="20014389">
    <w:abstractNumId w:val="17"/>
  </w:num>
  <w:num w:numId="8" w16cid:durableId="347605044">
    <w:abstractNumId w:val="14"/>
  </w:num>
  <w:num w:numId="9" w16cid:durableId="258418648">
    <w:abstractNumId w:val="12"/>
  </w:num>
  <w:num w:numId="10" w16cid:durableId="1856534953">
    <w:abstractNumId w:val="9"/>
  </w:num>
  <w:num w:numId="11" w16cid:durableId="579951479">
    <w:abstractNumId w:val="2"/>
  </w:num>
  <w:num w:numId="12" w16cid:durableId="815414591">
    <w:abstractNumId w:val="8"/>
  </w:num>
  <w:num w:numId="13" w16cid:durableId="2011180846">
    <w:abstractNumId w:val="11"/>
  </w:num>
  <w:num w:numId="14" w16cid:durableId="1607346516">
    <w:abstractNumId w:val="6"/>
  </w:num>
  <w:num w:numId="15" w16cid:durableId="1159228660">
    <w:abstractNumId w:val="5"/>
  </w:num>
  <w:num w:numId="16" w16cid:durableId="2128692455">
    <w:abstractNumId w:val="3"/>
  </w:num>
  <w:num w:numId="17" w16cid:durableId="1148941605">
    <w:abstractNumId w:val="1"/>
  </w:num>
  <w:num w:numId="18" w16cid:durableId="2052613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A5"/>
    <w:rsid w:val="00090EBB"/>
    <w:rsid w:val="004318C7"/>
    <w:rsid w:val="007B70EA"/>
    <w:rsid w:val="009A2594"/>
    <w:rsid w:val="00EE08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FBC0"/>
  <w15:chartTrackingRefBased/>
  <w15:docId w15:val="{EA5168E9-D02F-4EB4-BFDA-558E7A36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0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0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08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08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08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08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08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08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08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8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08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08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08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08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08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08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08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08A5"/>
    <w:rPr>
      <w:rFonts w:eastAsiaTheme="majorEastAsia" w:cstheme="majorBidi"/>
      <w:color w:val="272727" w:themeColor="text1" w:themeTint="D8"/>
    </w:rPr>
  </w:style>
  <w:style w:type="paragraph" w:styleId="Ttulo">
    <w:name w:val="Title"/>
    <w:basedOn w:val="Normal"/>
    <w:next w:val="Normal"/>
    <w:link w:val="TtuloCar"/>
    <w:uiPriority w:val="10"/>
    <w:qFormat/>
    <w:rsid w:val="00EE0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08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08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08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08A5"/>
    <w:pPr>
      <w:spacing w:before="160"/>
      <w:jc w:val="center"/>
    </w:pPr>
    <w:rPr>
      <w:i/>
      <w:iCs/>
      <w:color w:val="404040" w:themeColor="text1" w:themeTint="BF"/>
    </w:rPr>
  </w:style>
  <w:style w:type="character" w:customStyle="1" w:styleId="CitaCar">
    <w:name w:val="Cita Car"/>
    <w:basedOn w:val="Fuentedeprrafopredeter"/>
    <w:link w:val="Cita"/>
    <w:uiPriority w:val="29"/>
    <w:rsid w:val="00EE08A5"/>
    <w:rPr>
      <w:i/>
      <w:iCs/>
      <w:color w:val="404040" w:themeColor="text1" w:themeTint="BF"/>
    </w:rPr>
  </w:style>
  <w:style w:type="paragraph" w:styleId="Prrafodelista">
    <w:name w:val="List Paragraph"/>
    <w:basedOn w:val="Normal"/>
    <w:uiPriority w:val="34"/>
    <w:qFormat/>
    <w:rsid w:val="00EE08A5"/>
    <w:pPr>
      <w:ind w:left="720"/>
      <w:contextualSpacing/>
    </w:pPr>
  </w:style>
  <w:style w:type="character" w:styleId="nfasisintenso">
    <w:name w:val="Intense Emphasis"/>
    <w:basedOn w:val="Fuentedeprrafopredeter"/>
    <w:uiPriority w:val="21"/>
    <w:qFormat/>
    <w:rsid w:val="00EE08A5"/>
    <w:rPr>
      <w:i/>
      <w:iCs/>
      <w:color w:val="0F4761" w:themeColor="accent1" w:themeShade="BF"/>
    </w:rPr>
  </w:style>
  <w:style w:type="paragraph" w:styleId="Citadestacada">
    <w:name w:val="Intense Quote"/>
    <w:basedOn w:val="Normal"/>
    <w:next w:val="Normal"/>
    <w:link w:val="CitadestacadaCar"/>
    <w:uiPriority w:val="30"/>
    <w:qFormat/>
    <w:rsid w:val="00EE0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08A5"/>
    <w:rPr>
      <w:i/>
      <w:iCs/>
      <w:color w:val="0F4761" w:themeColor="accent1" w:themeShade="BF"/>
    </w:rPr>
  </w:style>
  <w:style w:type="character" w:styleId="Referenciaintensa">
    <w:name w:val="Intense Reference"/>
    <w:basedOn w:val="Fuentedeprrafopredeter"/>
    <w:uiPriority w:val="32"/>
    <w:qFormat/>
    <w:rsid w:val="00EE0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3425</Words>
  <Characters>18841</Characters>
  <Application>Microsoft Office Word</Application>
  <DocSecurity>0</DocSecurity>
  <Lines>157</Lines>
  <Paragraphs>44</Paragraphs>
  <ScaleCrop>false</ScaleCrop>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LUIS TORNAY</dc:creator>
  <cp:keywords/>
  <dc:description/>
  <cp:lastModifiedBy>BRUNO LUIS TORNAY</cp:lastModifiedBy>
  <cp:revision>1</cp:revision>
  <dcterms:created xsi:type="dcterms:W3CDTF">2026-01-11T16:51:00Z</dcterms:created>
  <dcterms:modified xsi:type="dcterms:W3CDTF">2026-01-11T16:52:00Z</dcterms:modified>
</cp:coreProperties>
</file>