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D7767">
      <w:bookmarkStart w:id="0" w:name="_GoBack"/>
      <w:bookmarkEnd w:id="0"/>
      <w:r>
        <w:t>文档中包含多组表格，主要记录企业基础信息，核心结构及内容如下：</w:t>
      </w:r>
    </w:p>
    <w:p w14:paraId="6CBB80B4">
      <w:pPr>
        <w:pStyle w:val="5"/>
      </w:pPr>
      <w:r>
        <w:t>表格核心内容</w:t>
      </w:r>
    </w:p>
    <w:p w14:paraId="1293420E">
      <w:r>
        <w:t>表格主要围绕</w:t>
      </w:r>
      <w:r>
        <w:rPr>
          <w:b/>
        </w:rPr>
        <w:t>企业注册信息</w:t>
      </w:r>
      <w:r>
        <w:t>展开，包含的关键字段有：</w:t>
      </w:r>
    </w:p>
    <w:p w14:paraId="34569C0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节点ID</w:t>
      </w:r>
      <w:r>
        <w:t>：企业唯一标识（如10000001、10000002等）；</w:t>
      </w:r>
    </w:p>
    <w:p w14:paraId="4DCBCCF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名称相关</w:t>
      </w:r>
      <w:r>
        <w:t>：包括“节点ID名称”“原始名称”“旧名称”等（如“天神”“宁波S”“HOTFOCUS”等）；</w:t>
      </w:r>
    </w:p>
    <w:p w14:paraId="231BA89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管辖区域</w:t>
      </w:r>
      <w:r>
        <w:t>：多数企业注册于</w:t>
      </w:r>
      <w:r>
        <w:rPr>
          <w:b/>
        </w:rPr>
        <w:t>萨摩亚群岛</w:t>
      </w:r>
      <w:r>
        <w:t>，少数分布在巴拿马、英国、内华达州等地；</w:t>
      </w:r>
    </w:p>
    <w:p w14:paraId="0F12606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管辖范围</w:t>
      </w:r>
      <w:r>
        <w:t>：即关联方信息，常见主体有“猎户座HO”“MOSSACK”“DI SAN DI”“GO SHINE”等；</w:t>
      </w:r>
    </w:p>
    <w:p w14:paraId="415850C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其他信息</w:t>
      </w:r>
      <w:r>
        <w:t>：部分表格包含“公司类型”“地址”等字段，但内容较简略。</w:t>
      </w:r>
    </w:p>
    <w:p w14:paraId="26707FEF">
      <w:pPr>
        <w:pStyle w:val="5"/>
      </w:pPr>
      <w:r>
        <w:t>表格特点</w:t>
      </w:r>
    </w:p>
    <w:p w14:paraId="6B8EFD3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格式不规整</w:t>
      </w:r>
      <w:r>
        <w:t>：部分表格存在字段缺失、信息分隔不清晰的情况（如名称与其他信息混排）；</w:t>
      </w:r>
    </w:p>
    <w:p w14:paraId="0258240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地域集中</w:t>
      </w:r>
      <w:r>
        <w:t>：约90%以上企业的管辖区域为萨摩亚群岛，少数涉及巴拿马（如10000212、10000313）、英国（如10000580、10000584）等；</w:t>
      </w:r>
    </w:p>
    <w:p w14:paraId="2DD7143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关联方重复率高</w:t>
      </w:r>
      <w:r>
        <w:t>：“猎户座HO”出现频率最高，是最主要的关联主体，其次为“MOSSACK”“DI SAN DI”。</w:t>
      </w:r>
    </w:p>
    <w:p w14:paraId="4846C79A">
      <w:pPr>
        <w:pStyle w:val="5"/>
      </w:pPr>
      <w:r>
        <w:t>典型表格示例（简化版）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215572F">
        <w:tc>
          <w:tcPr>
            <w:tcW w:w="0" w:type="auto"/>
            <w:vAlign w:val="center"/>
          </w:tcPr>
          <w:p w14:paraId="1DD9235D">
            <w:pPr>
              <w:jc w:val="center"/>
              <w:rPr>
                <w:b/>
              </w:rPr>
            </w:pPr>
            <w:r>
              <w:rPr>
                <w:b/>
              </w:rPr>
              <w:t>节点ID</w:t>
            </w:r>
          </w:p>
        </w:tc>
        <w:tc>
          <w:tcPr>
            <w:tcW w:w="0" w:type="auto"/>
            <w:vAlign w:val="center"/>
          </w:tcPr>
          <w:p w14:paraId="3FB2E8A3">
            <w:pPr>
              <w:jc w:val="center"/>
              <w:rPr>
                <w:b/>
              </w:rPr>
            </w:pPr>
            <w:r>
              <w:rPr>
                <w:b/>
              </w:rPr>
              <w:t>名称相关</w:t>
            </w:r>
          </w:p>
        </w:tc>
        <w:tc>
          <w:tcPr>
            <w:tcW w:w="0" w:type="auto"/>
            <w:vAlign w:val="center"/>
          </w:tcPr>
          <w:p w14:paraId="69952E47">
            <w:pPr>
              <w:jc w:val="center"/>
              <w:rPr>
                <w:b/>
              </w:rPr>
            </w:pPr>
            <w:r>
              <w:rPr>
                <w:b/>
              </w:rPr>
              <w:t>管辖区域</w:t>
            </w:r>
          </w:p>
        </w:tc>
        <w:tc>
          <w:tcPr>
            <w:tcW w:w="0" w:type="auto"/>
            <w:vAlign w:val="center"/>
          </w:tcPr>
          <w:p w14:paraId="4FE04AA1">
            <w:pPr>
              <w:jc w:val="center"/>
              <w:rPr>
                <w:b/>
              </w:rPr>
            </w:pPr>
            <w:r>
              <w:rPr>
                <w:b/>
              </w:rPr>
              <w:t>管辖范围</w:t>
            </w:r>
          </w:p>
        </w:tc>
      </w:tr>
      <w:tr w14:paraId="56B85FC0">
        <w:tc>
          <w:tcPr>
            <w:tcW w:w="0" w:type="auto"/>
            <w:vAlign w:val="center"/>
          </w:tcPr>
          <w:p w14:paraId="3482AD78">
            <w:r>
              <w:t>10000001</w:t>
            </w:r>
          </w:p>
        </w:tc>
        <w:tc>
          <w:tcPr>
            <w:tcW w:w="0" w:type="auto"/>
            <w:vAlign w:val="center"/>
          </w:tcPr>
          <w:p w14:paraId="7DAC0329">
            <w:r>
              <w:t>天神、天盛工业</w:t>
            </w:r>
          </w:p>
        </w:tc>
        <w:tc>
          <w:tcPr>
            <w:tcW w:w="0" w:type="auto"/>
            <w:vAlign w:val="center"/>
          </w:tcPr>
          <w:p w14:paraId="158050EE">
            <w:r>
              <w:t>萨摩亚群岛</w:t>
            </w:r>
          </w:p>
        </w:tc>
        <w:tc>
          <w:tcPr>
            <w:tcW w:w="0" w:type="auto"/>
            <w:vAlign w:val="center"/>
          </w:tcPr>
          <w:p w14:paraId="5D165506">
            <w:r>
              <w:t>猎户座HO</w:t>
            </w:r>
          </w:p>
        </w:tc>
      </w:tr>
      <w:tr w14:paraId="640E6A01">
        <w:tc>
          <w:tcPr>
            <w:tcW w:w="0" w:type="auto"/>
            <w:vAlign w:val="center"/>
          </w:tcPr>
          <w:p w14:paraId="11BED045">
            <w:r>
              <w:t>10000002</w:t>
            </w:r>
          </w:p>
        </w:tc>
        <w:tc>
          <w:tcPr>
            <w:tcW w:w="0" w:type="auto"/>
            <w:vAlign w:val="center"/>
          </w:tcPr>
          <w:p w14:paraId="209C2BEE">
            <w:r>
              <w:t>宁波S、宁波日出</w:t>
            </w:r>
          </w:p>
        </w:tc>
        <w:tc>
          <w:tcPr>
            <w:tcW w:w="0" w:type="auto"/>
            <w:vAlign w:val="center"/>
          </w:tcPr>
          <w:p w14:paraId="632EFB71">
            <w:r>
              <w:t>萨摩亚群岛</w:t>
            </w:r>
          </w:p>
        </w:tc>
        <w:tc>
          <w:tcPr>
            <w:tcW w:w="0" w:type="auto"/>
            <w:vAlign w:val="center"/>
          </w:tcPr>
          <w:p w14:paraId="5220569F">
            <w:r>
              <w:t>猎户座HO</w:t>
            </w:r>
          </w:p>
        </w:tc>
      </w:tr>
      <w:tr w14:paraId="2DBF9240">
        <w:tc>
          <w:tcPr>
            <w:tcW w:w="0" w:type="auto"/>
            <w:vAlign w:val="center"/>
          </w:tcPr>
          <w:p w14:paraId="28196741">
            <w:r>
              <w:t>10000212</w:t>
            </w:r>
          </w:p>
        </w:tc>
        <w:tc>
          <w:tcPr>
            <w:tcW w:w="0" w:type="auto"/>
            <w:vAlign w:val="center"/>
          </w:tcPr>
          <w:p w14:paraId="410B011D">
            <w:r>
              <w:t>BABINGTON FINANC</w:t>
            </w:r>
          </w:p>
        </w:tc>
        <w:tc>
          <w:tcPr>
            <w:tcW w:w="0" w:type="auto"/>
            <w:vAlign w:val="center"/>
          </w:tcPr>
          <w:p w14:paraId="4CF4EBC6">
            <w:r>
              <w:t>巴拿马</w:t>
            </w:r>
          </w:p>
        </w:tc>
        <w:tc>
          <w:tcPr>
            <w:tcW w:w="0" w:type="auto"/>
            <w:vAlign w:val="center"/>
          </w:tcPr>
          <w:p w14:paraId="412B25F9">
            <w:r>
              <w:t>OFFSHOR</w:t>
            </w:r>
          </w:p>
        </w:tc>
      </w:tr>
      <w:tr w14:paraId="48B87C46">
        <w:tc>
          <w:tcPr>
            <w:tcW w:w="0" w:type="auto"/>
            <w:vAlign w:val="center"/>
          </w:tcPr>
          <w:p w14:paraId="75A08B72">
            <w:r>
              <w:t>10000580</w:t>
            </w:r>
          </w:p>
        </w:tc>
        <w:tc>
          <w:tcPr>
            <w:tcW w:w="0" w:type="auto"/>
            <w:vAlign w:val="center"/>
          </w:tcPr>
          <w:p w14:paraId="08A5C0B9">
            <w:r>
              <w:t>GRANARIS LLP</w:t>
            </w:r>
          </w:p>
        </w:tc>
        <w:tc>
          <w:tcPr>
            <w:tcW w:w="0" w:type="auto"/>
            <w:vAlign w:val="center"/>
          </w:tcPr>
          <w:p w14:paraId="7124BED7">
            <w:r>
              <w:t>英国</w:t>
            </w:r>
          </w:p>
        </w:tc>
        <w:tc>
          <w:tcPr>
            <w:tcW w:w="0" w:type="auto"/>
            <w:vAlign w:val="center"/>
          </w:tcPr>
          <w:p w14:paraId="037C58C8">
            <w:r>
              <w:t>GRANARI</w:t>
            </w:r>
          </w:p>
        </w:tc>
      </w:tr>
    </w:tbl>
    <w:p w14:paraId="5BA253C8">
      <w:r>
        <w:t>整体来看，表格是企业注册信息的汇总，核心价值在于呈现萨摩亚群岛及少数其他地区企业的基础关联关系。</w:t>
      </w:r>
    </w:p>
    <w:p w14:paraId="37EA4208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4EF3BB4C"/>
    <w:multiLevelType w:val="singleLevel"/>
    <w:tmpl w:val="4EF3BB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7EBAC211"/>
    <w:multiLevelType w:val="singleLevel"/>
    <w:tmpl w:val="7EBAC21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D5DDA6BE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WWO_wpscloud_20260407221448-b27c90b247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2026-04-10T17:15:10Z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2052-12.9.0.25957</vt:lpwstr>
  </property>
  <property fmtid="{D5CDD505-2E9C-101B-9397-08002B2CF9AE}" pid="3" name="ICV">
    <vt:lpwstr>6D59CEDAB8B232BA9EBFD8698F93FDB3_43</vt:lpwstr>
  </property>
</Properties>
</file>