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ACB20">
      <w:bookmarkStart w:id="0" w:name="_GoBack"/>
      <w:bookmarkEnd w:id="0"/>
      <w:r>
        <w:t>根据文档内容，当前文件排版确实存在信息密度高、表格结构复杂、部分字段内容重叠等问题。以下是针对排版优化的具体建议：</w:t>
      </w:r>
    </w:p>
    <w:p w14:paraId="594B9391">
      <w:pPr>
        <w:pStyle w:val="5"/>
      </w:pPr>
      <w:r>
        <w:rPr>
          <w:b/>
        </w:rPr>
        <w:t>一、排版问题分析</w:t>
      </w:r>
    </w:p>
    <w:p w14:paraId="7F664DA0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表格结构混乱</w:t>
      </w:r>
    </w:p>
    <w:p w14:paraId="5DABE67A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部分表格缺少明确列标题（如“管辖区域”“公司类型”等字段未在表格中清晰划分），导致信息对应关系模糊。</w:t>
      </w:r>
    </w:p>
    <w:p w14:paraId="17A0E373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单元格内容换行、合并不规范（如“10000002宁波S宁波日出ENSAM 萨摩亚群岛”跨列显示），影响阅读连贯性。</w:t>
      </w:r>
    </w:p>
    <w:p w14:paraId="49E0E09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文本与表格混杂</w:t>
      </w:r>
    </w:p>
    <w:p w14:paraId="11469924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部分数据未纳入表格（如“10000259强势I强势INTERNATI SAM 萨摩亚群岛 猎户座HO”等单行文本），格式不统一。</w:t>
      </w:r>
    </w:p>
    <w:p w14:paraId="6F53229B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字段冗余与重复</w:t>
      </w:r>
    </w:p>
    <w:p w14:paraId="1B8F94C5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“萨摩亚群岛”作为主要管辖区域重复出现，可通过表头统一标注减少冗余。</w:t>
      </w:r>
    </w:p>
    <w:p w14:paraId="42D096B0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部分公司名称存在缩写或不规范表述（如“ENSAM”“TSAM”），需补充全称或说明。</w:t>
      </w:r>
    </w:p>
    <w:p w14:paraId="1119E8D4">
      <w:pPr>
        <w:pStyle w:val="5"/>
      </w:pPr>
      <w:r>
        <w:rPr>
          <w:b/>
        </w:rPr>
        <w:t>二、优化建议</w:t>
      </w:r>
    </w:p>
    <w:p w14:paraId="1406A609">
      <w:pPr>
        <w:pStyle w:val="6"/>
      </w:pPr>
      <w:r>
        <w:rPr>
          <w:b/>
        </w:rPr>
        <w:t>1. 表格规范化</w:t>
      </w:r>
    </w:p>
    <w:p w14:paraId="2860F544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统一表头</w:t>
      </w:r>
      <w:r>
        <w:t>：明确列标题为</w:t>
      </w:r>
      <w:r>
        <w:rPr>
          <w:b/>
        </w:rPr>
        <w:t>节点ID、原始名称、旧名称、管辖区域、管辖范围、公司类型、地址</w:t>
      </w:r>
      <w:r>
        <w:t>，确保每列信息对应清晰。</w:t>
      </w:r>
    </w:p>
    <w:p w14:paraId="0BAE9CFE">
      <w:pPr>
        <w:spacing w:before="0" w:beforeAutospacing="1" w:after="0" w:afterAutospacing="1"/>
        <w:ind w:left="720"/>
      </w:pPr>
      <w:r>
        <w:rPr>
          <w:rStyle w:val="21"/>
        </w:rPr>
        <w:t>示例：</w:t>
      </w:r>
    </w:p>
    <w:p w14:paraId="2EA6FE54">
      <w:pPr>
        <w:spacing w:before="0" w:beforeAutospacing="1" w:after="0" w:afterAutospacing="1"/>
        <w:ind w:left="720"/>
      </w:pPr>
      <w:r>
        <w:t>| 节点ID | 原始名称 | 旧名称 | 管辖区域 | 管辖范围 | 公司类型 | 地址 |</w:t>
      </w:r>
    </w:p>
    <w:p w14:paraId="38B79031">
      <w:pPr>
        <w:spacing w:before="0" w:beforeAutospacing="1" w:after="0" w:afterAutospacing="1"/>
        <w:ind w:left="720"/>
      </w:pPr>
      <w:r>
        <w:t>|--------------|------------------------|--------------|----------------|------------|----------------|------------|</w:t>
      </w:r>
    </w:p>
    <w:p w14:paraId="35B2F979">
      <w:pPr>
        <w:spacing w:before="0" w:beforeAutospacing="1" w:after="0" w:afterAutospacing="1"/>
        <w:ind w:left="720"/>
      </w:pPr>
      <w:r>
        <w:t>| 10000001 | 天神 | 天盛工业 | SAM 萨摩亚群岛 | 猎户座HO | — | — |</w:t>
      </w:r>
    </w:p>
    <w:p w14:paraId="3555E8FC">
      <w:pPr>
        <w:spacing w:before="0" w:beforeAutospacing="1" w:after="0" w:afterAutospacing="1"/>
        <w:ind w:left="720"/>
      </w:pPr>
      <w:r>
        <w:t>| 10000002 | 宁波S | 宁波日出 | SAM 萨摩亚群岛 | 猎户座HO | ENSAM | — |</w:t>
      </w:r>
    </w:p>
    <w:p w14:paraId="5766D844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拆分合并单元格</w:t>
      </w:r>
      <w:r>
        <w:t>：将跨列内容（如“10000002宁波S宁波日出ENSAM 萨摩亚群岛”）拆分为独立字段，避免信息堆砌。</w:t>
      </w:r>
    </w:p>
    <w:p w14:paraId="0EFC94BA">
      <w:pPr>
        <w:pStyle w:val="6"/>
      </w:pPr>
      <w:r>
        <w:rPr>
          <w:b/>
        </w:rPr>
        <w:t>2. 文本与表格分离</w:t>
      </w:r>
    </w:p>
    <w:p w14:paraId="114557FA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将所有结构化数据（如节点ID、公司信息）统一纳入表格，非结构化说明（如备注、特殊说明）单独列出，避免混排。</w:t>
      </w:r>
    </w:p>
    <w:p w14:paraId="1AA5B092">
      <w:pPr>
        <w:pStyle w:val="6"/>
      </w:pPr>
      <w:r>
        <w:rPr>
          <w:b/>
        </w:rPr>
        <w:t>3. 冗余信息简化</w:t>
      </w:r>
    </w:p>
    <w:p w14:paraId="22E743B2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管辖区域若统一为“萨摩亚群岛”，可在表格上方添加说明（如“以下公司管辖区域均为萨摩亚群岛”），减少重复字段。</w:t>
      </w:r>
    </w:p>
    <w:p w14:paraId="7E53B84A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对缩写词（如“HO”“PO”）添加脚注说明（如“HO：猎户座管辖范围；PO：忠诚管辖范围”）。</w:t>
      </w:r>
    </w:p>
    <w:p w14:paraId="1A12DB9F">
      <w:pPr>
        <w:pStyle w:val="6"/>
      </w:pPr>
      <w:r>
        <w:rPr>
          <w:b/>
        </w:rPr>
        <w:t>4. 视觉层次优化</w:t>
      </w:r>
    </w:p>
    <w:p w14:paraId="18F588E6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使用</w:t>
      </w:r>
      <w:r>
        <w:rPr>
          <w:b/>
        </w:rPr>
        <w:t>加粗标题</w:t>
      </w:r>
      <w:r>
        <w:t>区分不同数据模块（如“萨摩亚群岛公司列表”“巴拿马公司列表”）。</w:t>
      </w:r>
    </w:p>
    <w:p w14:paraId="743B1445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对关键信息（如节点ID、公司类型）使用醒目标识，便于快速定位。</w:t>
      </w:r>
    </w:p>
    <w:p w14:paraId="0E394345">
      <w:pPr>
        <w:pStyle w:val="5"/>
      </w:pPr>
      <w:r>
        <w:rPr>
          <w:b/>
        </w:rPr>
        <w:t>三、效果示例（局部优化）</w:t>
      </w:r>
    </w:p>
    <w:p w14:paraId="749753C9">
      <w:r>
        <w:rPr>
          <w:b/>
        </w:rPr>
        <w:t>优化前</w:t>
      </w:r>
      <w:r>
        <w:t>：</w:t>
      </w:r>
    </w:p>
    <w:p w14:paraId="37C90D74">
      <w:r>
        <w:t>10000003 HOTFOCU HOTFOCUS有限公司SAM 萨摩亚群岛 | | 猎户座HO</w:t>
      </w:r>
    </w:p>
    <w:p w14:paraId="1B2B6396">
      <w:r>
        <w:rPr>
          <w:b/>
        </w:rPr>
        <w:t>优化后</w:t>
      </w:r>
      <w:r>
        <w:t>：</w:t>
      </w:r>
    </w:p>
    <w:p w14:paraId="55AB9714">
      <w:r>
        <w:t>| 节点ID | 原始名称 | 旧名称 | 管辖范围 | 公司类型 |</w:t>
      </w:r>
    </w:p>
    <w:p w14:paraId="3B2C1A87">
      <w:r>
        <w:t>|--------------|----------------|------------------|------------|----------------|</w:t>
      </w:r>
    </w:p>
    <w:p w14:paraId="65B1D82D">
      <w:r>
        <w:t>| 10000003 | HOTFOCU | HOTFOCUS有限公司 | 猎户座HO | — |</w:t>
      </w:r>
    </w:p>
    <w:p w14:paraId="0A5507E4">
      <w:r>
        <w:t>通过以上调整，可显著提升文档的可读性和信息检索效率。如需进一步细化某类数据的排版，可提供具体模块需求，我将协助优化。</w:t>
      </w:r>
    </w:p>
    <w:p w14:paraId="5788DCB5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FF94DD"/>
    <w:multiLevelType w:val="multilevel"/>
    <w:tmpl w:val="9AFF94D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9EDFF24D"/>
    <w:multiLevelType w:val="singleLevel"/>
    <w:tmpl w:val="9EDFF24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F7A2001"/>
    <w:multiLevelType w:val="singleLevel"/>
    <w:tmpl w:val="AF7A200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E3AC3F0B"/>
    <w:multiLevelType w:val="singleLevel"/>
    <w:tmpl w:val="E3AC3F0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SimHei" w:hAnsi="SimHei" w:eastAsia="SimHei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5">
    <w:nsid w:val="37F88A6B"/>
    <w:multiLevelType w:val="singleLevel"/>
    <w:tmpl w:val="37F88A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E469114B"/>
    <w:rsid w:val="FF38D3B7"/>
    <w:rsid w:val="FFF38BDE"/>
    <w:rsid w:val="FFFDA8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Emphasis"/>
    <w:basedOn w:val="20"/>
    <w:uiPriority w:val="0"/>
    <w:rPr>
      <w:i/>
    </w:rPr>
  </w:style>
  <w:style w:type="character" w:styleId="22">
    <w:name w:val="Hyperlink"/>
    <w:basedOn w:val="23"/>
    <w:qFormat/>
    <w:uiPriority w:val="0"/>
    <w:rPr>
      <w:color w:val="0070C0"/>
      <w:u w:val="single"/>
    </w:rPr>
  </w:style>
  <w:style w:type="character" w:customStyle="1" w:styleId="23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paragraph" w:customStyle="1" w:styleId="31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3">
    <w:name w:val="Definition Term"/>
    <w:basedOn w:val="1"/>
    <w:next w:val="34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4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5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6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7">
    <w:name w:val="Figure"/>
    <w:basedOn w:val="1"/>
    <w:qFormat/>
    <w:uiPriority w:val="0"/>
  </w:style>
  <w:style w:type="paragraph" w:customStyle="1" w:styleId="38">
    <w:name w:val="Captioned Figure"/>
    <w:basedOn w:val="37"/>
    <w:qFormat/>
    <w:uiPriority w:val="0"/>
    <w:pPr>
      <w:keepNext/>
    </w:pPr>
  </w:style>
  <w:style w:type="character" w:customStyle="1" w:styleId="39">
    <w:name w:val="Verbatim Char"/>
    <w:basedOn w:val="23"/>
    <w:qFormat/>
    <w:uiPriority w:val="0"/>
    <w:rPr>
      <w:rFonts w:ascii="Consolas" w:hAnsi="Consolas"/>
      <w:sz w:val="22"/>
    </w:rPr>
  </w:style>
  <w:style w:type="character" w:customStyle="1" w:styleId="40">
    <w:name w:val="Section Number"/>
    <w:basedOn w:val="23"/>
    <w:qFormat/>
    <w:uiPriority w:val="0"/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2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3">
    <w:name w:val="KeywordTok"/>
    <w:qFormat/>
    <w:uiPriority w:val="0"/>
    <w:rPr>
      <w:b/>
      <w:color w:val="007020"/>
    </w:rPr>
  </w:style>
  <w:style w:type="character" w:customStyle="1" w:styleId="44">
    <w:name w:val="DataTypeTok"/>
    <w:qFormat/>
    <w:uiPriority w:val="0"/>
    <w:rPr>
      <w:color w:val="902000"/>
    </w:rPr>
  </w:style>
  <w:style w:type="character" w:customStyle="1" w:styleId="45">
    <w:name w:val="DecValTok"/>
    <w:qFormat/>
    <w:uiPriority w:val="0"/>
    <w:rPr>
      <w:color w:val="40A070"/>
    </w:rPr>
  </w:style>
  <w:style w:type="character" w:customStyle="1" w:styleId="46">
    <w:name w:val="BaseNTok"/>
    <w:qFormat/>
    <w:uiPriority w:val="0"/>
    <w:rPr>
      <w:color w:val="40A070"/>
    </w:rPr>
  </w:style>
  <w:style w:type="character" w:customStyle="1" w:styleId="47">
    <w:name w:val="FloatTok"/>
    <w:qFormat/>
    <w:uiPriority w:val="0"/>
    <w:rPr>
      <w:color w:val="40A070"/>
    </w:rPr>
  </w:style>
  <w:style w:type="character" w:customStyle="1" w:styleId="48">
    <w:name w:val="ConstantTok"/>
    <w:qFormat/>
    <w:uiPriority w:val="0"/>
    <w:rPr>
      <w:color w:val="880000"/>
    </w:rPr>
  </w:style>
  <w:style w:type="character" w:customStyle="1" w:styleId="49">
    <w:name w:val="CharTok"/>
    <w:qFormat/>
    <w:uiPriority w:val="0"/>
    <w:rPr>
      <w:color w:val="4070A0"/>
    </w:rPr>
  </w:style>
  <w:style w:type="character" w:customStyle="1" w:styleId="50">
    <w:name w:val="SpecialCharTok"/>
    <w:qFormat/>
    <w:uiPriority w:val="0"/>
    <w:rPr>
      <w:color w:val="4070A0"/>
    </w:rPr>
  </w:style>
  <w:style w:type="character" w:customStyle="1" w:styleId="51">
    <w:name w:val="StringTok"/>
    <w:qFormat/>
    <w:uiPriority w:val="0"/>
    <w:rPr>
      <w:color w:val="4070A0"/>
    </w:rPr>
  </w:style>
  <w:style w:type="character" w:customStyle="1" w:styleId="52">
    <w:name w:val="VerbatimStringTok"/>
    <w:qFormat/>
    <w:uiPriority w:val="0"/>
    <w:rPr>
      <w:color w:val="4070A0"/>
    </w:rPr>
  </w:style>
  <w:style w:type="character" w:customStyle="1" w:styleId="53">
    <w:name w:val="SpecialStringTok"/>
    <w:qFormat/>
    <w:uiPriority w:val="0"/>
    <w:rPr>
      <w:color w:val="BB6688"/>
    </w:rPr>
  </w:style>
  <w:style w:type="character" w:customStyle="1" w:styleId="54">
    <w:name w:val="ImportTok"/>
    <w:qFormat/>
    <w:uiPriority w:val="0"/>
    <w:rPr>
      <w:b/>
      <w:color w:val="008000"/>
    </w:rPr>
  </w:style>
  <w:style w:type="character" w:customStyle="1" w:styleId="55">
    <w:name w:val="CommentTok"/>
    <w:qFormat/>
    <w:uiPriority w:val="0"/>
    <w:rPr>
      <w:i/>
      <w:color w:val="60A0B0"/>
    </w:rPr>
  </w:style>
  <w:style w:type="character" w:customStyle="1" w:styleId="56">
    <w:name w:val="DocumentationTok"/>
    <w:qFormat/>
    <w:uiPriority w:val="0"/>
    <w:rPr>
      <w:i/>
      <w:color w:val="BA2121"/>
    </w:rPr>
  </w:style>
  <w:style w:type="character" w:customStyle="1" w:styleId="57">
    <w:name w:val="AnnotationTok"/>
    <w:qFormat/>
    <w:uiPriority w:val="0"/>
    <w:rPr>
      <w:b/>
      <w:i/>
      <w:color w:val="60A0B0"/>
    </w:rPr>
  </w:style>
  <w:style w:type="character" w:customStyle="1" w:styleId="58">
    <w:name w:val="CommentVarTok"/>
    <w:qFormat/>
    <w:uiPriority w:val="0"/>
    <w:rPr>
      <w:b/>
      <w:i/>
      <w:color w:val="60A0B0"/>
    </w:rPr>
  </w:style>
  <w:style w:type="character" w:customStyle="1" w:styleId="59">
    <w:name w:val="OtherTok"/>
    <w:qFormat/>
    <w:uiPriority w:val="0"/>
    <w:rPr>
      <w:color w:val="007020"/>
    </w:rPr>
  </w:style>
  <w:style w:type="character" w:customStyle="1" w:styleId="60">
    <w:name w:val="FunctionTok"/>
    <w:qFormat/>
    <w:uiPriority w:val="0"/>
    <w:rPr>
      <w:color w:val="06287E"/>
    </w:rPr>
  </w:style>
  <w:style w:type="character" w:customStyle="1" w:styleId="61">
    <w:name w:val="VariableTok"/>
    <w:qFormat/>
    <w:uiPriority w:val="0"/>
    <w:rPr>
      <w:color w:val="19177C"/>
    </w:rPr>
  </w:style>
  <w:style w:type="character" w:customStyle="1" w:styleId="62">
    <w:name w:val="ControlFlowTok"/>
    <w:qFormat/>
    <w:uiPriority w:val="0"/>
    <w:rPr>
      <w:b/>
      <w:color w:val="007020"/>
    </w:rPr>
  </w:style>
  <w:style w:type="character" w:customStyle="1" w:styleId="63">
    <w:name w:val="OperatorTok"/>
    <w:qFormat/>
    <w:uiPriority w:val="0"/>
    <w:rPr>
      <w:color w:val="666666"/>
    </w:rPr>
  </w:style>
  <w:style w:type="character" w:customStyle="1" w:styleId="64">
    <w:name w:val="BuiltInTok"/>
    <w:qFormat/>
    <w:uiPriority w:val="0"/>
    <w:rPr>
      <w:color w:val="008000"/>
    </w:rPr>
  </w:style>
  <w:style w:type="character" w:customStyle="1" w:styleId="65">
    <w:name w:val="ExtensionTok"/>
    <w:qFormat/>
    <w:uiPriority w:val="0"/>
  </w:style>
  <w:style w:type="character" w:customStyle="1" w:styleId="66">
    <w:name w:val="PreprocessorTok"/>
    <w:qFormat/>
    <w:uiPriority w:val="0"/>
    <w:rPr>
      <w:color w:val="BC7A00"/>
    </w:rPr>
  </w:style>
  <w:style w:type="character" w:customStyle="1" w:styleId="67">
    <w:name w:val="AttributeTok"/>
    <w:qFormat/>
    <w:uiPriority w:val="0"/>
    <w:rPr>
      <w:color w:val="7D9029"/>
    </w:rPr>
  </w:style>
  <w:style w:type="character" w:customStyle="1" w:styleId="68">
    <w:name w:val="RegionMarkerTok"/>
    <w:qFormat/>
    <w:uiPriority w:val="0"/>
  </w:style>
  <w:style w:type="character" w:customStyle="1" w:styleId="69">
    <w:name w:val="InformationTok"/>
    <w:qFormat/>
    <w:uiPriority w:val="0"/>
    <w:rPr>
      <w:b/>
      <w:i/>
      <w:color w:val="60A0B0"/>
    </w:rPr>
  </w:style>
  <w:style w:type="character" w:customStyle="1" w:styleId="70">
    <w:name w:val="WarningTok"/>
    <w:qFormat/>
    <w:uiPriority w:val="0"/>
    <w:rPr>
      <w:b/>
      <w:i/>
      <w:color w:val="60A0B0"/>
    </w:rPr>
  </w:style>
  <w:style w:type="character" w:customStyle="1" w:styleId="71">
    <w:name w:val="AlertTok"/>
    <w:qFormat/>
    <w:uiPriority w:val="0"/>
    <w:rPr>
      <w:b/>
      <w:color w:val="FF0000"/>
    </w:rPr>
  </w:style>
  <w:style w:type="character" w:customStyle="1" w:styleId="72">
    <w:name w:val="ErrorTok"/>
    <w:qFormat/>
    <w:uiPriority w:val="0"/>
    <w:rPr>
      <w:b/>
      <w:color w:val="FF0000"/>
    </w:rPr>
  </w:style>
  <w:style w:type="character" w:customStyle="1" w:styleId="73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3682</Words>
  <Characters>3780</Characters>
  <Lines>12</Lines>
  <Paragraphs>8</Paragraphs>
  <TotalTime>81</TotalTime>
  <ScaleCrop>false</ScaleCrop>
  <LinksUpToDate>false</LinksUpToDate>
  <CharactersWithSpaces>3780</CharactersWithSpaces>
  <Application>WPS Office WWO_wpscloud_20260407221448-b27c90b247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伍冠任</cp:lastModifiedBy>
  <dcterms:modified xsi:type="dcterms:W3CDTF">2026-04-10T16:43:49Z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2052-12.9.0.25957</vt:lpwstr>
  </property>
  <property fmtid="{D5CDD505-2E9C-101B-9397-08002B2CF9AE}" pid="3" name="ICV">
    <vt:lpwstr>4867B4443809021945B8D869E34B56C1_43</vt:lpwstr>
  </property>
</Properties>
</file>