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e7809e72ee744e0" /><Relationship Type="http://schemas.openxmlformats.org/package/2006/relationships/metadata/core-properties" Target="/docProps/core.xml" Id="R9a68f86f6e7c4692" /><Relationship Type="http://schemas.openxmlformats.org/officeDocument/2006/relationships/extended-properties" Target="/docProps/app.xml" Id="Rded6b959c24d4d30" /><Relationship Type="http://schemas.openxmlformats.org/officeDocument/2006/relationships/custom-properties" Target="/docProps/custom.xml" Id="Rcca669330c1f44a5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/>
        <w:t xml:space="preserve">需求背景（required）</w:t>
      </w:r>
    </w:p>
    <w:p w14:paraId="00100002" w14:textId="00100003">
      <w:pPr>
        <w:pStyle w:val="Heading2"/>
      </w:pPr>
      <w:r>
        <w:rPr/>
        <w:t xml:space="preserve">1.1 需求来源</w:t>
      </w:r>
    </w:p>
    <w:p w14:paraId="00100004" w14:textId="00100005">
      <w:pPr/>
      <w:r>
        <w:rPr/>
        <w:t xml:space="preserve">本算子为CANN Summer Camp 2026西安交通大学暑期训练营项目需求，旨在实现TruncateMod（截断取模）算子的Ascend C优化版本。TruncateMod是逐元素除法取模算子，数学定义为 y = x1 - trunc(x1 / x2) * x2，其中trunc为向0取整。需支持BF16/FP16/FP32三种数据类型及numpy右对齐广播语义。</w:t>
      </w:r>
    </w:p>
    <w:p w14:paraId="00100006" w14:textId="00100007">
      <w:pPr>
        <w:pStyle w:val="Heading2"/>
      </w:pPr>
      <w:r>
        <w:rPr/>
        <w:t xml:space="preserve">1.2 背景介绍</w:t>
      </w:r>
    </w:p>
    <w:p w14:paraId="00100008" w14:textId="00100009">
      <w:pPr>
        <w:pStyle w:val="Heading3"/>
      </w:pPr>
      <w:r>
        <w:rPr/>
        <w:t xml:space="preserve">1.2.1 TruncateMod算子实现优化</w:t>
      </w:r>
    </w:p>
    <w:p w14:paraId="0010000A" w14:textId="0010000B">
      <w:pPr/>
      <w:r>
        <w:rPr/>
        <w:t xml:space="preserve">基于TruncateMod算子的数学定义 y = x1 - trunc(x1 / x2) * x2，使用Ascend C编程语言进行高性能实现。相比于传统TBE实现，Ascend C提供了更底层的硬件控制能力，能够充分利用Ascend 910B芯片的计算资源。</w:t>
      </w:r>
    </w:p>
    <w:p w14:paraId="0010000C" w14:textId="0010000D">
      <w:pPr/>
      <w:r>
        <w:rPr/>
        <w:t xml:space="preserve">TruncateMod算子实现路径为：op_kernel/truncate_mod.cpp、op_kernel/truncate_mod.h</w:t>
      </w:r>
    </w:p>
    <w:p w14:paraId="0010000E" w14:textId="0010000F">
      <w:pPr/>
      <w:r>
        <w:rPr/>
        <w:t xml:space="preserve">TruncateMod算子涉及API路径：AscendC::Div、AscendC::Mul、AscendC::Sub、AscendC::Cast、AscendC::Duplicate、AscendC::DataCopyPad、AscendC::Copy</w:t>
      </w:r>
    </w:p>
    <w:p w14:paraId="00100010" w14:textId="00100011">
      <w:pPr>
        <w:pStyle w:val="Heading3"/>
      </w:pPr>
      <w:r>
        <w:rPr/>
        <w:t xml:space="preserve">1.2.2 TruncateMod算子现状分析</w:t>
      </w:r>
    </w:p>
    <w:p w14:paraId="00100012" w14:textId="00100013">
      <w:pPr/>
      <w:r>
        <w:rPr/>
        <w:t xml:space="preserve">通过对TruncateMod算子功能分析，当前支持的能力如下：</w:t>
      </w:r>
    </w:p>
    <w:p w14:paraId="00100014" w14:textId="00100015">
      <w:pPr/>
      <w:r>
        <w:rPr/>
        <w:t xml:space="preserve">① x1、x2支持float16、float32、bfloat16三种格式的输入，输出y与输入数据类型保持一致。</w:t>
      </w:r>
    </w:p>
    <w:p w14:paraId="00100016" w14:textId="00100017">
      <w:pPr/>
      <w:r>
        <w:rPr/>
        <w:t xml:space="preserve">② TruncateMod算子涉及对输入数据进行广播（输入数据的shape调整到相同大小），遵循numpy右对齐广播规则。</w:t>
      </w:r>
    </w:p>
    <w:p w14:paraId="00100018" w14:textId="00100019">
      <w:pPr/>
      <w:r>
        <w:rPr/>
        <w:t xml:space="preserve">③ 在对输入数据进行广播操作后，核心计算公式为 y = x1 - trunc(x1 / x2) * x2，其中trunc为向0截断取整。FP16/BF16需升精度至FP32计算以满足精度要求，FP32直算。除零按IEEE语义输出Inf/NaN。</w:t>
      </w:r>
    </w:p>
    <w:p w14:paraId="0010001A" w14:textId="0010001B">
      <w:pPr>
        <w:pStyle w:val="Heading1"/>
      </w:pPr>
      <w:r>
        <w:rPr/>
        <w:t xml:space="preserve">2 需求分析</w:t>
      </w:r>
    </w:p>
    <w:p w14:paraId="0010001C" w14:textId="0010001D">
      <w:pPr>
        <w:pStyle w:val="Heading2"/>
      </w:pPr>
      <w:r>
        <w:rPr/>
        <w:t xml:space="preserve">2.1 外部组件依赖</w:t>
      </w:r>
    </w:p>
    <w:p w14:paraId="0010001E" w14:textId="0010001F">
      <w:pPr/>
      <w:r>
        <w:rPr/>
        <w:t xml:space="preserve">不涉及外部组件依赖。仅依赖Ascend C基础计算库及CANN运行时基础设施。</w:t>
      </w:r>
    </w:p>
    <w:p w14:paraId="00100020" w14:textId="00100021">
      <w:pPr>
        <w:pStyle w:val="Heading2"/>
      </w:pPr>
      <w:r>
        <w:rPr/>
        <w:t xml:space="preserve">2.2 内部适配模块</w:t>
      </w:r>
    </w:p>
    <w:p w14:paraId="00100022" w14:textId="00100023">
      <w:pPr/>
      <w:r>
        <w:rPr/>
        <w:t xml:space="preserve">适配Aclnn接口和图模式调用。支持Ascend 910B3（DAV_2201架构）验证环境，兼容Ascend 950（DAV_3510架构）。</w:t>
      </w:r>
    </w:p>
    <w:p w14:paraId="00100024" w14:textId="00100025">
      <w:pPr>
        <w:pStyle w:val="Heading2"/>
      </w:pPr>
      <w:r>
        <w:rPr/>
        <w:t xml:space="preserve">2.3 需求模块设计</w:t>
      </w:r>
    </w:p>
    <w:p w14:paraId="00100026" w14:textId="00100027">
      <w:pPr>
        <w:pStyle w:val="Heading3"/>
      </w:pPr>
      <w:r>
        <w:rPr/>
        <w:t xml:space="preserve">2.3.1 算子原型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c>
          <w:tcPr/>
          <w:p w14:paraId="00100028" w14:textId="00100029">
            <w:r>
              <w:t xml:space="preserve">参数名</w:t>
            </w:r>
          </w:p>
        </w:tc>
        <w:tc>
          <w:tcPr/>
          <w:p w14:paraId="0010002A" w14:textId="0010002B">
            <w:r>
              <w:t xml:space="preserve">类型</w:t>
            </w:r>
          </w:p>
        </w:tc>
        <w:tc>
          <w:tcPr/>
          <w:p w14:paraId="0010002C" w14:textId="0010002D">
            <w:r>
              <w:t xml:space="preserve">方向</w:t>
            </w:r>
          </w:p>
        </w:tc>
        <w:tc>
          <w:tcPr/>
          <w:p w14:paraId="0010002E" w14:textId="0010002F">
            <w:r>
              <w:t xml:space="preserve">说明</w:t>
            </w:r>
          </w:p>
        </w:tc>
      </w:tr>
      <w:tr>
        <w:tc>
          <w:tcPr/>
          <w:p w14:paraId="00100030" w14:textId="00100031">
            <w:r>
              <w:t xml:space="preserve">x1</w:t>
            </w:r>
          </w:p>
        </w:tc>
        <w:tc>
          <w:tcPr/>
          <w:p w14:paraId="00100032" w14:textId="00100033">
            <w:r>
              <w:t xml:space="preserve">Tensor</w:t>
            </w:r>
          </w:p>
        </w:tc>
        <w:tc>
          <w:tcPr/>
          <w:p w14:paraId="00100034" w14:textId="00100035">
            <w:r>
              <w:t xml:space="preserve">Input</w:t>
            </w:r>
          </w:p>
        </w:tc>
        <w:tc>
          <w:tcPr/>
          <w:p w14:paraId="00100036" w14:textId="00100037">
            <w:r>
              <w:t xml:space="preserve">被除数，支持BF16/FP16/FP32</w:t>
            </w:r>
          </w:p>
        </w:tc>
      </w:tr>
      <w:tr>
        <w:tc>
          <w:tcPr/>
          <w:p w14:paraId="00100038" w14:textId="00100039">
            <w:r>
              <w:t xml:space="preserve">x2</w:t>
            </w:r>
          </w:p>
        </w:tc>
        <w:tc>
          <w:tcPr/>
          <w:p w14:paraId="0010003A" w14:textId="0010003B">
            <w:r>
              <w:t xml:space="preserve">Tensor</w:t>
            </w:r>
          </w:p>
        </w:tc>
        <w:tc>
          <w:tcPr/>
          <w:p w14:paraId="0010003C" w14:textId="0010003D">
            <w:r>
              <w:t xml:space="preserve">Input</w:t>
            </w:r>
          </w:p>
        </w:tc>
        <w:tc>
          <w:tcPr/>
          <w:p w14:paraId="0010003E" w14:textId="0010003F">
            <w:r>
              <w:t xml:space="preserve">除数，支持BF16/FP16/FP32，与x1同dtype</w:t>
            </w:r>
          </w:p>
        </w:tc>
      </w:tr>
      <w:tr>
        <w:tc>
          <w:tcPr/>
          <w:p w14:paraId="00100040" w14:textId="00100041">
            <w:r>
              <w:t xml:space="preserve">y</w:t>
            </w:r>
          </w:p>
        </w:tc>
        <w:tc>
          <w:tcPr/>
          <w:p w14:paraId="00100042" w14:textId="00100043">
            <w:r>
              <w:t xml:space="preserve">Tensor</w:t>
            </w:r>
          </w:p>
        </w:tc>
        <w:tc>
          <w:tcPr/>
          <w:p w14:paraId="00100044" w14:textId="00100045">
            <w:r>
              <w:t xml:space="preserve">Output</w:t>
            </w:r>
          </w:p>
        </w:tc>
        <w:tc>
          <w:tcPr/>
          <w:p w14:paraId="00100046" w14:textId="00100047">
            <w:r>
              <w:t xml:space="preserve">结果，y = x1 - trunc(x1/x2)*x2，dtype与输入一致</w:t>
            </w:r>
          </w:p>
        </w:tc>
      </w:tr>
      <w:tr>
        <w:tc>
          <w:tcPr/>
          <w:p w14:paraId="00100048" w14:textId="00100049">
            <w:r>
              <w:t xml:space="preserve">dtype</w:t>
            </w:r>
          </w:p>
        </w:tc>
        <w:tc>
          <w:tcPr/>
          <w:p w14:paraId="0010004A" w14:textId="0010004B">
            <w:r>
              <w:t xml:space="preserve">Attr</w:t>
            </w:r>
          </w:p>
        </w:tc>
        <w:tc>
          <w:tcPr/>
          <w:p w14:paraId="0010004C" w14:textId="0010004D">
            <w:r>
              <w:t xml:space="preserve">Input</w:t>
            </w:r>
          </w:p>
        </w:tc>
        <w:tc>
          <w:tcPr/>
          <w:p w14:paraId="0010004E" w14:textId="0010004F">
            <w:r>
              <w:t xml:space="preserve">数据类型属性：DT_FLOAT16/DT_BF16/DT_FLOAT</w:t>
            </w:r>
          </w:p>
        </w:tc>
      </w:tr>
      <w:tr>
        <w:tc>
          <w:tcPr/>
          <w:p w14:paraId="00100050" w14:textId="00100051">
            <w:r>
              <w:t xml:space="preserve">约束</w:t>
            </w:r>
          </w:p>
        </w:tc>
        <w:tc>
          <w:tcPr/>
          <w:p w14:paraId="00100052" w14:textId="00100053">
            <w:r>
              <w:t xml:space="preserve">—</w:t>
            </w:r>
          </w:p>
        </w:tc>
        <w:tc>
          <w:tcPr/>
          <w:p w14:paraId="00100054" w14:textId="00100055">
            <w:r>
              <w:t xml:space="preserve">—</w:t>
            </w:r>
          </w:p>
        </w:tc>
        <w:tc>
          <w:tcPr/>
          <w:p w14:paraId="00100056" w14:textId="00100057">
            <w:r>
              <w:t xml:space="preserve">x1/x2 dtype必须一致；支持numpy右对齐广播；除零按IEEE语义</w:t>
            </w:r>
          </w:p>
        </w:tc>
      </w:tr>
    </w:tbl>
    <w:p w14:paraId="00100058" w14:textId="00100059">
      <w:pPr>
        <w:pStyle w:val="Heading1"/>
      </w:pPr>
      <w:r>
        <w:rPr/>
        <w:t xml:space="preserve">3 需求详细设计</w:t>
      </w:r>
    </w:p>
    <w:p w14:paraId="0010005A" w14:textId="0010005B">
      <w:pPr>
        <w:pStyle w:val="Heading2"/>
      </w:pPr>
      <w:r>
        <w:rPr/>
        <w:t xml:space="preserve">3.1 使能方式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tcPr/>
          <w:p w14:paraId="0010005C" w14:textId="0010005D">
            <w:r>
              <w:t xml:space="preserve">使能方式</w:t>
            </w:r>
          </w:p>
        </w:tc>
        <w:tc>
          <w:tcPr/>
          <w:p w14:paraId="0010005E" w14:textId="0010005F">
            <w:r>
              <w:t xml:space="preserve">说明</w:t>
            </w:r>
          </w:p>
        </w:tc>
        <w:tc>
          <w:tcPr/>
          <w:p w14:paraId="00100060" w14:textId="00100061">
            <w:r>
              <w:t xml:space="preserve">备注</w:t>
            </w:r>
          </w:p>
        </w:tc>
      </w:tr>
      <w:tr>
        <w:tc>
          <w:tcPr/>
          <w:p w14:paraId="00100062" w14:textId="00100063">
            <w:r>
              <w:t xml:space="preserve">Aclnn接口</w:t>
            </w:r>
          </w:p>
        </w:tc>
        <w:tc>
          <w:tcPr/>
          <w:p w14:paraId="00100064" w14:textId="00100065">
            <w:r>
              <w:t xml:space="preserve">aclnnTruncateModGetWorkspaceSize / aclnnTruncateMod</w:t>
            </w:r>
          </w:p>
        </w:tc>
        <w:tc>
          <w:tcPr/>
          <w:p w14:paraId="00100066" w14:textId="00100067">
            <w:r>
              <w:t xml:space="preserve">推荐方式</w:t>
            </w:r>
          </w:p>
        </w:tc>
      </w:tr>
      <w:tr>
        <w:tc>
          <w:tcPr/>
          <w:p w14:paraId="00100068" w14:textId="00100069">
            <w:r>
              <w:t xml:space="preserve">图模式</w:t>
            </w:r>
          </w:p>
        </w:tc>
        <w:tc>
          <w:tcPr/>
          <w:p w14:paraId="0010006A" w14:textId="0010006B">
            <w:r>
              <w:t xml:space="preserve">通过GE图编译自动下发</w:t>
            </w:r>
          </w:p>
        </w:tc>
        <w:tc>
          <w:tcPr/>
          <w:p w14:paraId="0010006C" w14:textId="0010006D">
            <w:r>
              <w:t xml:space="preserve">自动使能</w:t>
            </w:r>
          </w:p>
        </w:tc>
      </w:tr>
      <w:tr>
        <w:tc>
          <w:tcPr/>
          <w:p w14:paraId="0010006E" w14:textId="0010006F">
            <w:r>
              <w:t xml:space="preserve">TilingKey MODE_0</w:t>
            </w:r>
          </w:p>
        </w:tc>
        <w:tc>
          <w:tcPr/>
          <w:p w14:paraId="00100070" w14:textId="00100071">
            <w:r>
              <w:t xml:space="preserve">FP16输入，T=half模板</w:t>
            </w:r>
          </w:p>
        </w:tc>
        <w:tc>
          <w:tcPr/>
          <w:p w14:paraId="00100072" w14:textId="00100073">
            <w:r>
              <w:t xml:space="preserve">升FP32计算</w:t>
            </w:r>
          </w:p>
        </w:tc>
      </w:tr>
      <w:tr>
        <w:tc>
          <w:tcPr/>
          <w:p w14:paraId="00100074" w14:textId="00100075">
            <w:r>
              <w:t xml:space="preserve">TilingKey MODE_1</w:t>
            </w:r>
          </w:p>
        </w:tc>
        <w:tc>
          <w:tcPr/>
          <w:p w14:paraId="00100076" w14:textId="00100077">
            <w:r>
              <w:t xml:space="preserve">BF16输入，T=bfloat16_t模板</w:t>
            </w:r>
          </w:p>
        </w:tc>
        <w:tc>
          <w:tcPr/>
          <w:p w14:paraId="00100078" w14:textId="00100079">
            <w:r>
              <w:t xml:space="preserve">升FP32计算（910b API硬约束）</w:t>
            </w:r>
          </w:p>
        </w:tc>
      </w:tr>
      <w:tr>
        <w:tc>
          <w:tcPr/>
          <w:p w14:paraId="0010007A" w14:textId="0010007B">
            <w:r>
              <w:t xml:space="preserve">TilingKey MODE_2</w:t>
            </w:r>
          </w:p>
        </w:tc>
        <w:tc>
          <w:tcPr/>
          <w:p w14:paraId="0010007C" w14:textId="0010007D">
            <w:r>
              <w:t xml:space="preserve">FP32输入，T=float模板</w:t>
            </w:r>
          </w:p>
        </w:tc>
        <w:tc>
          <w:tcPr/>
          <w:p w14:paraId="0010007E" w14:textId="0010007F">
            <w:r>
              <w:t xml:space="preserve">FP32直算</w:t>
            </w:r>
          </w:p>
        </w:tc>
      </w:tr>
      <w:tr>
        <w:tc>
          <w:tcPr/>
          <w:p w14:paraId="00100080" w14:textId="00100081">
            <w:r>
              <w:t xml:space="preserve">Workspace</w:t>
            </w:r>
          </w:p>
        </w:tc>
        <w:tc>
          <w:tcPr/>
          <w:p w14:paraId="00100082" w14:textId="00100083">
            <w:r>
              <w:t xml:space="preserve">0字节</w:t>
            </w:r>
          </w:p>
        </w:tc>
        <w:tc>
          <w:tcPr/>
          <w:p w14:paraId="00100084" w14:textId="00100085">
            <w:r>
              <w:t xml:space="preserve">trunc用Cast实现，无需tmp缓冲</w:t>
            </w:r>
          </w:p>
        </w:tc>
      </w:tr>
    </w:tbl>
    <w:p w14:paraId="00100086" w14:textId="00100087">
      <w:pPr>
        <w:pStyle w:val="Heading2"/>
      </w:pPr>
      <w:r>
        <w:rPr/>
        <w:t xml:space="preserve">3.2 需求总体设计</w:t>
      </w:r>
    </w:p>
    <w:p w14:paraId="00100088" w14:textId="00100089">
      <w:pPr>
        <w:pStyle w:val="Heading3"/>
      </w:pPr>
      <w:r>
        <w:rPr/>
        <w:t xml:space="preserve">3.2.1 host侧设计</w:t>
      </w:r>
    </w:p>
    <w:p w14:paraId="0010008A" w14:textId="0010008B">
      <w:pPr/>
      <w:r>
        <w:rPr/>
        <w:t xml:space="preserve">Tiling策略：当不需要广播的情况下（ELEWISE），算子计算过程不涉及数据的维度信息，故在host侧将数据视为一维向量，仅考虑数据个数，不考虑数据维度信息。在广播的情况下，在host侧获取x1、x2输入的相应shape大小以及各自的维度dim信息，首先通过函数实现输入的shape维度补全和统一，遍历所有输入对应的维度大小得到其中最大的维度数，维度缺失的输入在首部维度补1实现维度扩充。再根据对应的广播规则，遍历各输入对应的shape，纵向比较求得最大的维度数以此得到最终的广播形状，根据最终广播形状获得total_length。需要将host侧获取的输入形状、最终广播形状以及total_length变量传到kernel侧。</w:t>
      </w:r>
    </w:p>
    <w:p w14:paraId="0010008C" w14:textId="0010008D">
      <w:pPr/>
      <w:r>
        <w:rPr/>
        <w:t xml:space="preserve">任务均分：coreNum 根据输入长度和块大小动态调整，确保每个核心处理的数据块数均匀。每核至少4KB数据，blockFactor按512元素对齐。</w:t>
      </w:r>
    </w:p>
    <w:p w14:paraId="0010008E" w14:textId="0010008F">
      <w:pPr/>
      <w:r>
        <w:rPr/>
        <w:t xml:space="preserve">批量搬运：tileBlockNum 和 tileDataNum 计算单次搬运的数据量，通过 finalSmallTileNum 和 finalBigTileNum 确定小核/大核的搬运次数，将多次搬运合并为批量操作，减少冗余开销。尾块的处理逻辑确保不完整块也能被合并到计算流程中，避免数据碎片。</w:t>
      </w:r>
    </w:p>
    <w:p w14:paraId="00100090" w14:textId="00100091">
      <w:pPr>
        <w:pStyle w:val="Heading4"/>
      </w:pPr>
      <w:r>
        <w:rPr/>
        <w:t xml:space="preserve">1) 分核策略</w:t>
      </w:r>
    </w:p>
    <w:p w14:paraId="00100092" w14:textId="00100093">
      <w:pPr/>
      <w:r>
        <w:rPr/>
        <w:t xml:space="preserve">优先使用满核的原则。如果核间能均分，可视作无大小核区分，大核小核数据块一致；如果核间不能均分，需要将余出的数据块分配到前几个核上。输入数据大小计算：通过GetInputShape和GetDataTypeLength函数获取输入数据的大小和类型长度，计算出输入数据的总字节数。UB内存大小和核心数量获取：通过平台信息获取UB内存大小和核心数量，并根据这些信息调整核心数量。</w:t>
      </w:r>
    </w:p>
    <w:p w14:paraId="00100094" w14:textId="00100095">
      <w:pPr>
        <w:pStyle w:val="Heading4"/>
      </w:pPr>
      <w:r>
        <w:rPr/>
        <w:t xml:space="preserve">2) 数据分块和内存优化策略</w:t>
      </w:r>
    </w:p>
    <w:p w14:paraId="00100096" w14:textId="00100097">
      <w:pPr/>
      <w:r>
        <w:rPr/>
        <w:t xml:space="preserve">充分使用UB空间的原则。需要考虑不同硬件的UB大小不同、是否开启double buffer、kernel侧API实现过程中是否需要临时数据的储存，综合考虑单核内切分的大小。UB内存大小获取：通过GetCoreMemSize函数获取UB内存的大小，用于后续的数据切分计算。Tile块计算：根据UB内存大小和预定义的BLOCK_SIZE及BUFFER_NUM，计算出每个Tile块的数据数量。数据切分：将输入数据按照计算出的Tile块大小进行切分，计算出每个core需要处理的数据块数量和最后一个block的剩余数据量。设置切分参数：将计算出的切分参数（如每个core的数据量、Tile块大小等）设置到TruncateModTilingData对象中。这些策略确保了数据在多个核心之间的均匀分布，并且在单个核心内进行了合理的切分，以提高并行处理的效率。</w:t>
      </w:r>
    </w:p>
    <w:p w14:paraId="00100098" w14:textId="00100099">
      <w:pPr>
        <w:pStyle w:val="Heading4"/>
      </w:pPr>
      <w:r>
        <w:rPr/>
        <w:t xml:space="preserve">3) TilingKey规划策略</w:t>
      </w:r>
    </w:p>
    <w:p w14:paraId="0010009A" w14:textId="0010009B">
      <w:pPr/>
      <w:r>
        <w:rPr/>
        <w:t xml:space="preserve">需要tilingkey的情况：根据输入数据类型划分三个计算分支。FP16输入对应TilingKey MODE_0（T=half，升FP32计算）；BF16输入对应TilingKey MODE_1（T=bfloat16_t，升FP32计算，910b API硬约束）；FP32输入对应TilingKey MODE_2（T=float，直算）。Kernel入口通过if constexpr三路分派至对应模板实例化。</w:t>
      </w:r>
    </w:p>
    <w:p w14:paraId="0010009C" w14:textId="0010009D">
      <w:pPr/>
      <w:r>
        <w:rPr/>
        <w:t xml:space="preserve">数据检测：对不支持AscendC::Cast() bfloat16向float32转换的硬件直接在tiling策略时返回Get Operator Workspace failed. error code is 561002报错。同时在InferShape阶段校验x1/x2 dtype一致性，混合dtype直接返回GRAPH_FAILED。</w:t>
      </w:r>
    </w:p>
    <w:p w14:paraId="0010009E" w14:textId="0010009F">
      <w:pPr>
        <w:pStyle w:val="Heading3"/>
      </w:pPr>
      <w:r>
        <w:rPr/>
        <w:t xml:space="preserve">3.2.2 kernel侧设计</w:t>
      </w:r>
    </w:p>
    <w:p w14:paraId="001000A0" w14:textId="001000A1">
      <w:pPr/>
      <w:r>
        <w:rPr/>
        <w:t xml:space="preserve">进行Init和Process两个阶段，其中Process包括数据搬入、计算、搬出三个阶段。双缓冲流水线模式，VECIN输入队列、VECCALC计算缓冲、VECOUT输出队列。</w:t>
      </w:r>
    </w:p>
    <w:p w14:paraId="001000A2" w14:textId="001000A3">
      <w:pPr/>
      <w:r>
        <w:rPr/>
        <w:t xml:space="preserve">1) 数据类型处理：FP16/BF16升FP32计算，FP32直算。由于910b不支持Div/Mul/Sub/Trunc的bfloat16_t直接计算，BF16必须升精度；FP16升精度为精度达标所必需（FP16直算商舍入误差约2^-11，trunc翻转概率约2^-11×|q|/元素，击穿max_abs_error_limit=0.1）。全链FP32计算规避了int32溢出风险（|q|≥2^31时Cast&lt;int32&gt;会溢出）。</w:t>
      </w:r>
    </w:p>
    <w:p w14:paraId="001000A4" w14:textId="001000A5">
      <w:pPr/>
      <w:r>
        <w:rPr/>
        <w:t xml:space="preserve">2) 广播加载策略：采用row-run模型描述广播结构。每个输入按输出rank右对齐，从最内维向左扫描匹配段累乘为innerLen，首个广播轴处停止；rowCount = inTotal / innerLen。Kernel按tile位置采用四种加载策略：策略0（标量，inTotal==1）：1元素拷贝→GetValue→Duplicate展开；策略1（单行内）：连续DataCopyPad搬运；策略2（整周期重复，s%period==0且T%period==0且period×sizeof(T) 32B对齐）：搬入一个周期+mask形式Copy扩展，repeatTime≤255分片；策略3（跨周期逐段兜底）：按period边界切段，每段连续DataCopyPad。</w:t>
      </w:r>
    </w:p>
    <w:p w14:paraId="001000A6" w14:textId="001000A7">
      <w:pPr/>
      <w:r>
        <w:rPr/>
        <w:t xml:space="preserve">3) 核心计算流程：商 = Div(x1, x2)；截断 = Cast&lt;float,float,CAST_TRUNC&gt;(商)；乘积 = Mul(截断, x2)；结果 = Sub(x1, 乘积)；mode0/1回写时Cast&lt;float→T,RINT&gt;，mode2直写。全模式统一走VECOUT outQueueY标准输出路径（含mode2），EnQue/DeQue提供PIPE_V→MTE3流水同步与缓冲生命周期管理。</w:t>
      </w:r>
    </w:p>
    <w:p w14:paraId="001000A8" w14:textId="001000A9">
      <w:pPr/>
      <w:r>
        <w:rPr/>
        <w:t xml:space="preserve">4) 越界防护：blockNum = ceil(totalNum / blockFactor) 可能小于实际核数coreNum，尾部核blockIdx &gt;= blockNum时在Process入口直接return，避免start = blockIdx × blockFactor越界执行CopyIn/CopyOut。</w:t>
      </w:r>
    </w:p>
    <w:p w14:paraId="001000AA" w14:textId="001000AB">
      <w:pPr>
        <w:pStyle w:val="Heading2"/>
      </w:pPr>
      <w:r>
        <w:rPr/>
        <w:t xml:space="preserve">3.3 支持硬件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tcPr/>
          <w:p w14:paraId="001000AC" w14:textId="001000AD">
            <w:r>
              <w:t xml:space="preserve">芯片型号</w:t>
            </w:r>
          </w:p>
        </w:tc>
        <w:tc>
          <w:tcPr/>
          <w:p w14:paraId="001000AE" w14:textId="001000AF">
            <w:r>
              <w:t xml:space="preserve">架构</w:t>
            </w:r>
          </w:p>
        </w:tc>
        <w:tc>
          <w:tcPr/>
          <w:p w14:paraId="001000B0" w14:textId="001000B1">
            <w:r>
              <w:t xml:space="preserve">验证状态</w:t>
            </w:r>
          </w:p>
        </w:tc>
      </w:tr>
      <w:tr>
        <w:tc>
          <w:tcPr/>
          <w:p w14:paraId="001000B2" w14:textId="001000B3">
            <w:r>
              <w:t xml:space="preserve">Ascend 910B3</w:t>
            </w:r>
          </w:p>
        </w:tc>
        <w:tc>
          <w:tcPr/>
          <w:p w14:paraId="001000B4" w14:textId="001000B5">
            <w:r>
              <w:t xml:space="preserve">DAV_2201</w:t>
            </w:r>
          </w:p>
        </w:tc>
        <w:tc>
          <w:tcPr/>
          <w:p w14:paraId="001000B6" w14:textId="001000B7">
            <w:r>
              <w:t xml:space="preserve">本环境验证目标（CASCADELAKE）</w:t>
            </w:r>
          </w:p>
        </w:tc>
      </w:tr>
      <w:tr>
        <w:tc>
          <w:tcPr/>
          <w:p w14:paraId="001000B8" w14:textId="001000B9">
            <w:r>
              <w:t xml:space="preserve">Ascend 910B</w:t>
            </w:r>
          </w:p>
        </w:tc>
        <w:tc>
          <w:tcPr/>
          <w:p w14:paraId="001000BA" w14:textId="001000BB">
            <w:r>
              <w:t xml:space="preserve">DAV_2201</w:t>
            </w:r>
          </w:p>
        </w:tc>
        <w:tc>
          <w:tcPr/>
          <w:p w14:paraId="001000BC" w14:textId="001000BD">
            <w:r>
              <w:t xml:space="preserve">兼容（同架构）</w:t>
            </w:r>
          </w:p>
        </w:tc>
      </w:tr>
      <w:tr>
        <w:tc>
          <w:tcPr/>
          <w:p w14:paraId="001000BE" w14:textId="001000BF">
            <w:r>
              <w:t xml:space="preserve">Ascend 950</w:t>
            </w:r>
          </w:p>
        </w:tc>
        <w:tc>
          <w:tcPr/>
          <w:p w14:paraId="001000C0" w14:textId="001000C1">
            <w:r>
              <w:t xml:space="preserve">DAV_3510</w:t>
            </w:r>
          </w:p>
        </w:tc>
        <w:tc>
          <w:tcPr/>
          <w:p w14:paraId="001000C2" w14:textId="001000C3">
            <w:r>
              <w:t xml:space="preserve">API兼容，op_def已注册，未验证</w:t>
            </w:r>
          </w:p>
        </w:tc>
      </w:tr>
    </w:tbl>
    <w:p w14:paraId="001000C4" w14:textId="001000C5">
      <w:pPr>
        <w:pStyle w:val="Heading2"/>
      </w:pPr>
      <w:r>
        <w:rPr/>
        <w:t xml:space="preserve">3.4 算子约束限制</w:t>
      </w:r>
    </w:p>
    <w:p w14:paraId="001000C6" w14:textId="001000C7">
      <w:pPr/>
      <w:r>
        <w:rPr/>
        <w:t xml:space="preserve">1. x1和x2的数据类型必须一致，不支持混合精度输入（InferShape阶段强制校验）。</w:t>
      </w:r>
    </w:p>
    <w:p w14:paraId="001000C8" w14:textId="001000C9">
      <w:pPr/>
      <w:r>
        <w:rPr/>
        <w:t xml:space="preserve">2. 广播语义严格遵循numpy右对齐规则，不支持rowCount&gt;1的列广播/中间轴广播场景（如[64,1]→[64,64]、[2,1,3]→[2,4,3]），tiling阶段检测到rowCount&gt;1直接返回GRAPH_FAILED。</w:t>
      </w:r>
    </w:p>
    <w:p w14:paraId="001000CA" w14:textId="001000CB">
      <w:pPr/>
      <w:r>
        <w:rPr/>
        <w:t xml:space="preserve">3. rank-0标量（0-d张量）统一按{1}处理，输出shape为[1]，与numpy 0-d→0-d语义有偏差，沿用既有骨架EnsureNotScalar行为。</w:t>
      </w:r>
    </w:p>
    <w:p w14:paraId="001000CC" w14:textId="001000CD">
      <w:pPr/>
      <w:r>
        <w:rPr/>
        <w:t xml:space="preserve">4. 除零按IEEE 754语义：x2=0时商为±Inf/NaN，trunc(±Inf)=±Inf，trunc(NaN)=NaN，结果y为Inf/NaN，不做特殊处理。</w:t>
      </w:r>
    </w:p>
    <w:p w14:paraId="001000CE" w14:textId="001000CF">
      <w:pPr/>
      <w:r>
        <w:rPr/>
        <w:t xml:space="preserve">5. 不支持int32等整数类型输入，仅支持BF16/FP16/FP32浮点类型。</w:t>
      </w:r>
    </w:p>
    <w:p w14:paraId="001000D0" w14:textId="001000D1">
      <w:pPr>
        <w:pStyle w:val="Heading1"/>
      </w:pPr>
      <w:r>
        <w:rPr/>
        <w:t xml:space="preserve">4 特性交叉分析</w:t>
      </w:r>
    </w:p>
    <w:p w14:paraId="001000D2" w14:textId="001000D3">
      <w:pPr/>
      <w:r>
        <w:rPr/>
        <w:t xml:space="preserve">TruncateMod算子为新增算子，无现有版本兼容性问题。与FloorMod算子对比：FloorMod为向下取整（floor），TruncateMod为向0取整（trunc），两者在负数商时结果不同。FloorMod: y = x1 - floor(x1/x2)*x2，TruncateMod: y = x1 - trunc(x1/x2)*x2。当商为负数且非整数时，floor向负无穷取整，trunc向0取整，导致结果差异。精度策略上均采用FP32全链计算规避精度翻转风险。</w:t>
      </w:r>
    </w:p>
    <w:p w14:paraId="001000D4" w14:textId="001000D5">
      <w:pPr>
        <w:pStyle w:val="Heading1"/>
      </w:pPr>
      <w:r>
        <w:rPr/>
        <w:t xml:space="preserve">5 可维可测分析</w:t>
      </w:r>
    </w:p>
    <w:p w14:paraId="001000D6" w14:textId="001000D7">
      <w:pPr>
        <w:pStyle w:val="Heading2"/>
      </w:pPr>
      <w:r>
        <w:rPr/>
        <w:t xml:space="preserve">5.1 精度标准/性能标准</w:t>
      </w:r>
    </w:p>
    <w:tbl>
      <w:tblPr>
        <w:tblW w:w="8305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61"/>
        <w:gridCol w:w="1661"/>
        <w:gridCol w:w="1661"/>
        <w:gridCol w:w="1661"/>
        <w:gridCol w:w="1661"/>
      </w:tblGrid>
      <w:tr>
        <w:tc>
          <w:tcPr/>
          <w:p w14:paraId="001000D8" w14:textId="001000D9">
            <w:r>
              <w:t xml:space="preserve">dtype</w:t>
            </w:r>
          </w:p>
        </w:tc>
        <w:tc>
          <w:tcPr/>
          <w:p w14:paraId="001000DA" w14:textId="001000DB">
            <w:r>
              <w:t xml:space="preserve">rtol</w:t>
            </w:r>
          </w:p>
        </w:tc>
        <w:tc>
          <w:tcPr/>
          <w:p w14:paraId="001000DC" w14:textId="001000DD">
            <w:r>
              <w:t xml:space="preserve">atol</w:t>
            </w:r>
          </w:p>
        </w:tc>
        <w:tc>
          <w:tcPr/>
          <w:p w14:paraId="001000DE" w14:textId="001000DF">
            <w:r>
              <w:t xml:space="preserve">max_abs_error_limit</w:t>
            </w:r>
          </w:p>
        </w:tc>
        <w:tc>
          <w:tcPr/>
          <w:p w14:paraId="001000E0" w14:textId="001000E1">
            <w:r>
              <w:t xml:space="preserve">达标途径</w:t>
            </w:r>
          </w:p>
        </w:tc>
      </w:tr>
      <w:tr>
        <w:tc>
          <w:tcPr/>
          <w:p w14:paraId="001000E2" w14:textId="001000E3">
            <w:r>
              <w:t xml:space="preserve">FP16</w:t>
            </w:r>
          </w:p>
        </w:tc>
        <w:tc>
          <w:tcPr/>
          <w:p w14:paraId="001000E4" w14:textId="001000E5">
            <w:r>
              <w:t xml:space="preserve">2^-9 (1.95e-3)</w:t>
            </w:r>
          </w:p>
        </w:tc>
        <w:tc>
          <w:tcPr/>
          <w:p w14:paraId="001000E6" w14:textId="001000E7">
            <w:r>
              <w:t xml:space="preserve">2^-9</w:t>
            </w:r>
          </w:p>
        </w:tc>
        <w:tc>
          <w:tcPr/>
          <w:p w14:paraId="001000E8" w14:textId="001000E9">
            <w:r>
              <w:t xml:space="preserve">0.1</w:t>
            </w:r>
          </w:p>
        </w:tc>
        <w:tc>
          <w:tcPr/>
          <w:p w14:paraId="001000EA" w14:textId="001000EB">
            <w:r>
              <w:t xml:space="preserve">FP32全链计算，商误差~2^-24，trunc翻转概率~2^-23×|q|/元素</w:t>
            </w:r>
          </w:p>
        </w:tc>
      </w:tr>
      <w:tr>
        <w:tc>
          <w:tcPr/>
          <w:p w14:paraId="001000EC" w14:textId="001000ED">
            <w:r>
              <w:t xml:space="preserve">BF16</w:t>
            </w:r>
          </w:p>
        </w:tc>
        <w:tc>
          <w:tcPr/>
          <w:p w14:paraId="001000EE" w14:textId="001000EF">
            <w:r>
              <w:t xml:space="preserve">2^-6 (1.56e-2)</w:t>
            </w:r>
          </w:p>
        </w:tc>
        <w:tc>
          <w:tcPr/>
          <w:p w14:paraId="001000F0" w14:textId="001000F1">
            <w:r>
              <w:t xml:space="preserve">2^-6</w:t>
            </w:r>
          </w:p>
        </w:tc>
        <w:tc>
          <w:tcPr/>
          <w:p w14:paraId="001000F2" w14:textId="001000F3">
            <w:r>
              <w:t xml:space="preserve">1.0</w:t>
            </w:r>
          </w:p>
        </w:tc>
        <w:tc>
          <w:tcPr/>
          <w:p w14:paraId="001000F4" w14:textId="001000F5">
            <w:r>
              <w:t xml:space="preserve">FP32全链计算（910b API硬约束），容差更宽</w:t>
            </w:r>
          </w:p>
        </w:tc>
      </w:tr>
      <w:tr>
        <w:tc>
          <w:tcPr/>
          <w:p w14:paraId="001000F6" w14:textId="001000F7">
            <w:r>
              <w:t xml:space="preserve">FP32</w:t>
            </w:r>
          </w:p>
        </w:tc>
        <w:tc>
          <w:tcPr/>
          <w:p w14:paraId="001000F8" w14:textId="001000F9">
            <w:r>
              <w:t xml:space="preserve">2^-10 (9.77e-4)</w:t>
            </w:r>
          </w:p>
        </w:tc>
        <w:tc>
          <w:tcPr/>
          <w:p w14:paraId="001000FA" w14:textId="001000FB">
            <w:r>
              <w:t xml:space="preserve">2^-16 (1.53e-5)</w:t>
            </w:r>
          </w:p>
        </w:tc>
        <w:tc>
          <w:tcPr/>
          <w:p w14:paraId="001000FC" w14:textId="001000FD">
            <w:r>
              <w:t xml:space="preserve">1e-2</w:t>
            </w:r>
          </w:p>
        </w:tc>
        <w:tc>
          <w:tcPr/>
          <w:p w14:paraId="001000FE" w14:textId="001000FF">
            <w:r>
              <w:t xml:space="preserve">FP32直算，Div 1ulp+各1次round，满足rtol=2^-10</w:t>
            </w:r>
          </w:p>
        </w:tc>
      </w:tr>
    </w:tbl>
    <w:p w14:paraId="00100100" w14:textId="00100101">
      <w:pPr/>
      <w:r>
        <w:rPr/>
        <w:t xml:space="preserve">达标判定：matched_ratio ≥ 0.99 且 max_abs ≤ limit。混合容差单标杆（CPU float64 golden）。</w:t>
      </w:r>
    </w:p>
    <w:p w14:paraId="00100102" w14:textId="00100103">
      <w:pPr/>
      <w:r>
        <w:rPr/>
        <w:t xml:space="preserve">trunc翻转概率与验收数据分布：trunc在整数边界不连续。商经有限精度除法后恰落在整数两侧±|q|×2^-24区间内时，截断结果与float64 golden相差1，进而y误差≈|x2|（FP16下可&gt;0.1、FP32下&gt;1e-2，直接击穿max_abs_error_limit）。单元素翻转概率 P ≈ 2^-23 × |q|，与商幅值线性相关——这是trunc类算子的固有属性。精度验收数据必须把期望翻转数 λ = N × 2^-23 × E|q| 控制在 ≪ 1。大商值用例仅做功能性校验，不纳入精度指标。</w:t>
      </w:r>
    </w:p>
    <w:p w14:paraId="00100104" w14:textId="00100105">
      <w:pPr>
        <w:pStyle w:val="Heading2"/>
      </w:pPr>
      <w:r>
        <w:rPr/>
        <w:t xml:space="preserve">5.2 兼容性分析</w:t>
      </w:r>
    </w:p>
    <w:p w14:paraId="00100106" w14:textId="00100107">
      <w:pPr/>
      <w:r>
        <w:rPr/>
        <w:t xml:space="preserve">新算子，不涉及兼容性分析。op_def已注册支持Ascend 910B/Ascend 950，Ascend C API（Div/Mul/Sub/Cast/Duplicate/DataCopyPad/Copy）在DAV_2201与DAV_3510均受支持，FP32计算链跨架构兼容。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ee2aab54fd84bb4" /><Relationship Type="http://schemas.openxmlformats.org/officeDocument/2006/relationships/styles" Target="/word/styles.xml" Id="Rf346a065b7b34923" /><Relationship Type="http://schemas.openxmlformats.org/officeDocument/2006/relationships/theme" Target="/word/theme/theme1.xml" Id="Rb5ff38951a154d79" /><Relationship Type="http://schemas.openxmlformats.org/officeDocument/2006/relationships/numbering" Target="/word/numbering.xml" Id="R68cbe6b150cb490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2026-07-31T12:56:25Z</dcterms:created>
  <cp:lastModifiedBy>OfficeCLI</cp:lastModifiedBy>
  <dcterms:modified xsi:type="dcterms:W3CDTF">2026-07-31T12:56:25Z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2026-07-31T13:19:44Z</vt:lpwstr>
  </op:property>
</op:Properties>
</file>